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2840" w14:textId="30B606CF" w:rsidR="00C82F5A" w:rsidRPr="00F0226F" w:rsidRDefault="00F0226F">
      <w:pPr>
        <w:pStyle w:val="Titel"/>
        <w:rPr>
          <w:rFonts w:eastAsiaTheme="minorEastAsia"/>
          <w:lang w:val="fr-CH" w:eastAsia="en-US"/>
        </w:rPr>
      </w:pPr>
      <w:bookmarkStart w:id="0" w:name="_Toc518456815"/>
      <w:bookmarkStart w:id="1" w:name="_Toc518480874"/>
      <w:bookmarkStart w:id="2" w:name="_Toc519518502"/>
      <w:bookmarkStart w:id="3" w:name="_Toc520370630"/>
      <w:bookmarkStart w:id="4" w:name="_Toc520376123"/>
      <w:bookmarkStart w:id="5" w:name="_Toc520444160"/>
      <w:bookmarkStart w:id="6" w:name="_Toc526428715"/>
      <w:bookmarkStart w:id="7" w:name="_Toc526941863"/>
      <w:bookmarkStart w:id="8" w:name="_Toc532996365"/>
      <w:bookmarkStart w:id="9" w:name="_Toc359397546"/>
      <w:r>
        <w:rPr>
          <w:rFonts w:eastAsiaTheme="minorEastAsia"/>
          <w:lang w:val="fr-CH" w:eastAsia="en-US"/>
        </w:rPr>
        <w:t>Plan sectoriel</w:t>
      </w:r>
      <w:r w:rsidR="00C82F5A" w:rsidRPr="00F0226F">
        <w:rPr>
          <w:rFonts w:eastAsiaTheme="minorEastAsia"/>
          <w:lang w:val="fr-CH" w:eastAsia="en-US"/>
        </w:rPr>
        <w:t xml:space="preserve"> </w:t>
      </w:r>
      <w:bookmarkEnd w:id="0"/>
      <w:bookmarkEnd w:id="1"/>
      <w:bookmarkEnd w:id="2"/>
      <w:bookmarkEnd w:id="3"/>
      <w:bookmarkEnd w:id="4"/>
      <w:bookmarkEnd w:id="5"/>
      <w:bookmarkEnd w:id="6"/>
      <w:bookmarkEnd w:id="7"/>
      <w:r>
        <w:rPr>
          <w:rFonts w:eastAsiaTheme="minorEastAsia"/>
          <w:lang w:val="fr-CH" w:eastAsia="en-US"/>
        </w:rPr>
        <w:t>des surfaces d’assolement</w:t>
      </w:r>
      <w:bookmarkEnd w:id="8"/>
    </w:p>
    <w:p w14:paraId="5663511C" w14:textId="3BE37A24" w:rsidR="001E7906" w:rsidRPr="00F0226F" w:rsidRDefault="001E7906">
      <w:pPr>
        <w:spacing w:after="160" w:line="259" w:lineRule="auto"/>
        <w:rPr>
          <w:rFonts w:eastAsiaTheme="minorEastAsia" w:cs="Arial"/>
          <w:color w:val="808080" w:themeColor="background1" w:themeShade="80"/>
          <w:lang w:val="fr-CH" w:eastAsia="en-US"/>
        </w:rPr>
      </w:pPr>
      <w:r w:rsidRPr="00F0226F">
        <w:rPr>
          <w:rFonts w:eastAsiaTheme="minorEastAsia" w:cs="Arial"/>
          <w:color w:val="808080" w:themeColor="background1" w:themeShade="80"/>
          <w:lang w:val="fr-CH" w:eastAsia="en-US"/>
        </w:rPr>
        <w:t>(</w:t>
      </w:r>
      <w:r w:rsidR="00F0226F">
        <w:rPr>
          <w:rFonts w:eastAsiaTheme="minorEastAsia" w:cs="Arial"/>
          <w:color w:val="808080" w:themeColor="background1" w:themeShade="80"/>
          <w:lang w:val="fr-CH" w:eastAsia="en-US"/>
        </w:rPr>
        <w:t>Projet pour la consultation</w:t>
      </w:r>
      <w:r w:rsidRPr="00F0226F">
        <w:rPr>
          <w:rFonts w:eastAsiaTheme="minorEastAsia" w:cs="Arial"/>
          <w:color w:val="808080" w:themeColor="background1" w:themeShade="80"/>
          <w:lang w:val="fr-CH" w:eastAsia="en-US"/>
        </w:rPr>
        <w:t xml:space="preserve">, </w:t>
      </w:r>
      <w:r w:rsidR="00222ECC">
        <w:rPr>
          <w:rFonts w:eastAsiaTheme="minorEastAsia" w:cs="Arial"/>
          <w:color w:val="808080" w:themeColor="background1" w:themeShade="80"/>
          <w:lang w:val="fr-CH" w:eastAsia="en-US"/>
        </w:rPr>
        <w:t>décembre</w:t>
      </w:r>
      <w:r w:rsidR="00222ECC" w:rsidRPr="00F0226F">
        <w:rPr>
          <w:rFonts w:eastAsiaTheme="minorEastAsia" w:cs="Arial"/>
          <w:color w:val="808080" w:themeColor="background1" w:themeShade="80"/>
          <w:lang w:val="fr-CH" w:eastAsia="en-US"/>
        </w:rPr>
        <w:t xml:space="preserve"> </w:t>
      </w:r>
      <w:r w:rsidRPr="00F0226F">
        <w:rPr>
          <w:rFonts w:eastAsiaTheme="minorEastAsia" w:cs="Arial"/>
          <w:color w:val="808080" w:themeColor="background1" w:themeShade="80"/>
          <w:lang w:val="fr-CH" w:eastAsia="en-US"/>
        </w:rPr>
        <w:t>2018)</w:t>
      </w:r>
    </w:p>
    <w:p w14:paraId="5BD89F12" w14:textId="473BA630" w:rsidR="00C82F5A" w:rsidRPr="00F0226F" w:rsidRDefault="00C82F5A">
      <w:pPr>
        <w:spacing w:after="160" w:line="259" w:lineRule="auto"/>
        <w:rPr>
          <w:rFonts w:eastAsiaTheme="minorEastAsia" w:cs="Arial"/>
          <w:color w:val="808080" w:themeColor="background1" w:themeShade="80"/>
          <w:lang w:val="fr-CH" w:eastAsia="en-US"/>
        </w:rPr>
      </w:pPr>
      <w:r w:rsidRPr="00F0226F">
        <w:rPr>
          <w:rFonts w:eastAsiaTheme="minorEastAsia" w:cs="Arial"/>
          <w:color w:val="808080" w:themeColor="background1" w:themeShade="80"/>
          <w:lang w:val="fr-CH" w:eastAsia="en-US"/>
        </w:rPr>
        <w:br w:type="page"/>
      </w:r>
    </w:p>
    <w:p w14:paraId="6E7309CF" w14:textId="57BC289D" w:rsidR="00340180" w:rsidRPr="00F0226F" w:rsidRDefault="002B79B8">
      <w:pPr>
        <w:autoSpaceDE w:val="0"/>
        <w:autoSpaceDN w:val="0"/>
        <w:adjustRightInd w:val="0"/>
        <w:jc w:val="both"/>
        <w:rPr>
          <w:rFonts w:eastAsiaTheme="minorEastAsia" w:cs="Arial"/>
          <w:color w:val="000000" w:themeColor="text1"/>
          <w:lang w:val="fr-CH" w:eastAsia="en-US"/>
        </w:rPr>
      </w:pPr>
      <w:r>
        <w:rPr>
          <w:rFonts w:eastAsiaTheme="minorEastAsia" w:cs="Arial"/>
          <w:color w:val="808080" w:themeColor="background1" w:themeShade="80"/>
          <w:lang w:val="fr-CH" w:eastAsia="en-US"/>
        </w:rPr>
        <w:lastRenderedPageBreak/>
        <w:t>L</w:t>
      </w:r>
      <w:r w:rsidRPr="002B79B8">
        <w:rPr>
          <w:rFonts w:eastAsiaTheme="minorEastAsia" w:cs="Arial"/>
          <w:color w:val="808080" w:themeColor="background1" w:themeShade="80"/>
          <w:lang w:val="fr-CH" w:eastAsia="en-US"/>
        </w:rPr>
        <w:t>es conceptions et plans sectoriels au sens de l’art. 13 de la loi sur l’aménagement du territoire du 22 juin 1979 (LAT ; RS 700) constituent les principaux instruments d’aménagement dont dispose la Confédération. Ils lui permettent non seulement de satisfaire à l’exigence légale de planification et de coordination de ses activités à incidence spatiale, mais également de mieux répondre aux problèmes de plus en plus complexes qui se posent dans le cadre de la réalisation des tâches fédérales ayant des effets sur l’organisation du territoire. Dans le cadre de ses conceptions et plans sectoriels, la Confédération montre comment elle prévoit d’accomplir ses tâches dans un domaine sectoriel ou thématique et précise notamment les objectifs qu’elle poursuit ainsi que les conditions ou exigences qu’elle entend respecter. Elaborés sur la base d’un partenariat entre les autorités fédérales et cantonales, ces instruments contribuent à une meilleure harmonisation des efforts des autorités de tous niveaux en matière d’aménagement du territoire.</w:t>
      </w:r>
      <w:r w:rsidR="3120AD34" w:rsidRPr="00F0226F">
        <w:rPr>
          <w:rFonts w:eastAsiaTheme="minorEastAsia" w:cs="Arial"/>
          <w:color w:val="808080" w:themeColor="background1" w:themeShade="80"/>
          <w:lang w:val="fr-CH" w:eastAsia="en-US"/>
        </w:rPr>
        <w:t xml:space="preserve"> </w:t>
      </w:r>
    </w:p>
    <w:p w14:paraId="22579D78" w14:textId="38504829" w:rsidR="004D5429" w:rsidRPr="00F0226F" w:rsidRDefault="00C337A1">
      <w:pPr>
        <w:autoSpaceDE w:val="0"/>
        <w:autoSpaceDN w:val="0"/>
        <w:adjustRightInd w:val="0"/>
        <w:jc w:val="both"/>
        <w:rPr>
          <w:rFonts w:eastAsiaTheme="minorEastAsia" w:cs="Arial"/>
          <w:i/>
          <w:iCs/>
          <w:color w:val="000000" w:themeColor="text1"/>
          <w:lang w:val="fr-CH" w:eastAsia="en-US"/>
        </w:rPr>
      </w:pPr>
      <w:r>
        <w:rPr>
          <w:rFonts w:eastAsiaTheme="minorEastAsia" w:cs="Arial"/>
          <w:i/>
          <w:iCs/>
          <w:color w:val="808080" w:themeColor="background1" w:themeShade="80"/>
          <w:lang w:val="fr-CH" w:eastAsia="en-US"/>
        </w:rPr>
        <w:t>À</w:t>
      </w:r>
      <w:r w:rsidR="00222ECC">
        <w:rPr>
          <w:rFonts w:eastAsiaTheme="minorEastAsia" w:cs="Arial"/>
          <w:i/>
          <w:iCs/>
          <w:color w:val="808080" w:themeColor="background1" w:themeShade="80"/>
          <w:lang w:val="fr-CH" w:eastAsia="en-US"/>
        </w:rPr>
        <w:t xml:space="preserve"> la différence des</w:t>
      </w:r>
      <w:r w:rsidR="00FF17F2">
        <w:rPr>
          <w:rFonts w:eastAsiaTheme="minorEastAsia" w:cs="Arial"/>
          <w:i/>
          <w:iCs/>
          <w:color w:val="808080" w:themeColor="background1" w:themeShade="80"/>
          <w:lang w:val="fr-CH" w:eastAsia="en-US"/>
        </w:rPr>
        <w:t xml:space="preserve"> autres plans sectoriels de la Confédération</w:t>
      </w:r>
      <w:r w:rsidR="0038432A">
        <w:rPr>
          <w:rFonts w:eastAsiaTheme="minorEastAsia" w:cs="Arial"/>
          <w:i/>
          <w:iCs/>
          <w:color w:val="808080" w:themeColor="background1" w:themeShade="80"/>
          <w:lang w:val="fr-CH" w:eastAsia="en-US"/>
        </w:rPr>
        <w:t>, le P</w:t>
      </w:r>
      <w:r w:rsidR="00FF17F2">
        <w:rPr>
          <w:rFonts w:eastAsiaTheme="minorEastAsia" w:cs="Arial"/>
          <w:i/>
          <w:iCs/>
          <w:color w:val="808080" w:themeColor="background1" w:themeShade="80"/>
          <w:lang w:val="fr-CH" w:eastAsia="en-US"/>
        </w:rPr>
        <w:t>lan sectoriel des surfaces d’assolement</w:t>
      </w:r>
      <w:r w:rsidR="3120AD34" w:rsidRPr="00F0226F">
        <w:rPr>
          <w:rFonts w:eastAsiaTheme="minorEastAsia" w:cs="Arial"/>
          <w:i/>
          <w:iCs/>
          <w:color w:val="808080" w:themeColor="background1" w:themeShade="80"/>
          <w:lang w:val="fr-CH" w:eastAsia="en-US"/>
        </w:rPr>
        <w:t xml:space="preserve"> (</w:t>
      </w:r>
      <w:r w:rsidR="00FF17F2">
        <w:rPr>
          <w:rFonts w:eastAsiaTheme="minorEastAsia" w:cs="Arial"/>
          <w:i/>
          <w:iCs/>
          <w:color w:val="808080" w:themeColor="background1" w:themeShade="80"/>
          <w:lang w:val="fr-CH" w:eastAsia="en-US"/>
        </w:rPr>
        <w:t>SDA</w:t>
      </w:r>
      <w:r w:rsidR="3120AD34" w:rsidRPr="00F0226F">
        <w:rPr>
          <w:rFonts w:eastAsiaTheme="minorEastAsia" w:cs="Arial"/>
          <w:i/>
          <w:iCs/>
          <w:color w:val="808080" w:themeColor="background1" w:themeShade="80"/>
          <w:lang w:val="fr-CH" w:eastAsia="en-US"/>
        </w:rPr>
        <w:t xml:space="preserve">) </w:t>
      </w:r>
      <w:r w:rsidR="00FF17F2">
        <w:rPr>
          <w:rFonts w:eastAsiaTheme="minorEastAsia" w:cs="Arial"/>
          <w:i/>
          <w:iCs/>
          <w:color w:val="808080" w:themeColor="background1" w:themeShade="80"/>
          <w:lang w:val="fr-CH" w:eastAsia="en-US"/>
        </w:rPr>
        <w:t xml:space="preserve">au sens des </w:t>
      </w:r>
      <w:r>
        <w:rPr>
          <w:rFonts w:eastAsiaTheme="minorEastAsia" w:cs="Arial"/>
          <w:i/>
          <w:iCs/>
          <w:color w:val="808080" w:themeColor="background1" w:themeShade="80"/>
          <w:lang w:val="fr-CH" w:eastAsia="en-US"/>
        </w:rPr>
        <w:t xml:space="preserve">art. </w:t>
      </w:r>
      <w:r w:rsidR="00FF17F2">
        <w:rPr>
          <w:rFonts w:eastAsiaTheme="minorEastAsia" w:cs="Arial"/>
          <w:i/>
          <w:iCs/>
          <w:color w:val="808080" w:themeColor="background1" w:themeShade="80"/>
          <w:lang w:val="fr-CH" w:eastAsia="en-US"/>
        </w:rPr>
        <w:t xml:space="preserve">26 et </w:t>
      </w:r>
      <w:r>
        <w:rPr>
          <w:rFonts w:eastAsiaTheme="minorEastAsia" w:cs="Arial"/>
          <w:i/>
          <w:iCs/>
          <w:color w:val="808080" w:themeColor="background1" w:themeShade="80"/>
          <w:lang w:val="fr-CH" w:eastAsia="en-US"/>
        </w:rPr>
        <w:t xml:space="preserve">ss </w:t>
      </w:r>
      <w:r w:rsidR="00FF17F2">
        <w:rPr>
          <w:rFonts w:eastAsiaTheme="minorEastAsia" w:cs="Arial"/>
          <w:i/>
          <w:iCs/>
          <w:color w:val="808080" w:themeColor="background1" w:themeShade="80"/>
          <w:lang w:val="fr-CH" w:eastAsia="en-US"/>
        </w:rPr>
        <w:t>de l’ordonnance du 28 juin 2000 sur l’aménagement du territoire</w:t>
      </w:r>
      <w:r w:rsidR="3120AD34" w:rsidRPr="00F0226F">
        <w:rPr>
          <w:rFonts w:eastAsiaTheme="minorEastAsia" w:cs="Arial"/>
          <w:i/>
          <w:iCs/>
          <w:color w:val="808080" w:themeColor="background1" w:themeShade="80"/>
          <w:lang w:val="fr-CH" w:eastAsia="en-US"/>
        </w:rPr>
        <w:t xml:space="preserve"> (</w:t>
      </w:r>
      <w:r w:rsidR="00FF17F2">
        <w:rPr>
          <w:rFonts w:eastAsiaTheme="minorEastAsia" w:cs="Arial"/>
          <w:i/>
          <w:iCs/>
          <w:color w:val="808080" w:themeColor="background1" w:themeShade="80"/>
          <w:lang w:val="fr-CH" w:eastAsia="en-US"/>
        </w:rPr>
        <w:t>OAT</w:t>
      </w:r>
      <w:r w:rsidR="007D5F49">
        <w:rPr>
          <w:rFonts w:eastAsiaTheme="minorEastAsia" w:cs="Arial"/>
          <w:i/>
          <w:iCs/>
          <w:color w:val="808080" w:themeColor="background1" w:themeShade="80"/>
          <w:lang w:val="fr-CH" w:eastAsia="en-US"/>
        </w:rPr>
        <w:t xml:space="preserve"> </w:t>
      </w:r>
      <w:r w:rsidR="3120AD34" w:rsidRPr="00F0226F">
        <w:rPr>
          <w:rFonts w:eastAsiaTheme="minorEastAsia" w:cs="Arial"/>
          <w:i/>
          <w:iCs/>
          <w:color w:val="808080" w:themeColor="background1" w:themeShade="80"/>
          <w:lang w:val="fr-CH" w:eastAsia="en-US"/>
        </w:rPr>
        <w:t xml:space="preserve">; </w:t>
      </w:r>
      <w:r w:rsidR="00FF17F2">
        <w:rPr>
          <w:rFonts w:eastAsiaTheme="minorEastAsia" w:cs="Arial"/>
          <w:i/>
          <w:iCs/>
          <w:color w:val="808080" w:themeColor="background1" w:themeShade="80"/>
          <w:lang w:val="fr-CH" w:eastAsia="en-US"/>
        </w:rPr>
        <w:t>RS</w:t>
      </w:r>
      <w:r w:rsidR="3120AD34" w:rsidRPr="00F0226F">
        <w:rPr>
          <w:rFonts w:eastAsiaTheme="minorEastAsia" w:cs="Arial"/>
          <w:i/>
          <w:iCs/>
          <w:color w:val="808080" w:themeColor="background1" w:themeShade="80"/>
          <w:lang w:val="fr-CH" w:eastAsia="en-US"/>
        </w:rPr>
        <w:t xml:space="preserve"> 700.1)</w:t>
      </w:r>
      <w:r w:rsidR="007D5F49">
        <w:rPr>
          <w:rFonts w:eastAsiaTheme="minorEastAsia" w:cs="Arial"/>
          <w:i/>
          <w:iCs/>
          <w:color w:val="808080" w:themeColor="background1" w:themeShade="80"/>
          <w:lang w:val="fr-CH" w:eastAsia="en-US"/>
        </w:rPr>
        <w:t xml:space="preserve"> ne </w:t>
      </w:r>
      <w:r>
        <w:rPr>
          <w:rFonts w:eastAsiaTheme="minorEastAsia" w:cs="Arial"/>
          <w:i/>
          <w:iCs/>
          <w:color w:val="808080" w:themeColor="background1" w:themeShade="80"/>
          <w:lang w:val="fr-CH" w:eastAsia="en-US"/>
        </w:rPr>
        <w:t xml:space="preserve">planifie </w:t>
      </w:r>
      <w:r w:rsidR="007D5F49">
        <w:rPr>
          <w:rFonts w:eastAsiaTheme="minorEastAsia" w:cs="Arial"/>
          <w:i/>
          <w:iCs/>
          <w:color w:val="808080" w:themeColor="background1" w:themeShade="80"/>
          <w:lang w:val="fr-CH" w:eastAsia="en-US"/>
        </w:rPr>
        <w:t xml:space="preserve">pas de projets, mais détermine la surface totale minimale d’assolement et sa répartition entre les cantons. Il définit également </w:t>
      </w:r>
      <w:r w:rsidR="00E71510">
        <w:rPr>
          <w:rFonts w:eastAsiaTheme="minorEastAsia" w:cs="Arial"/>
          <w:i/>
          <w:iCs/>
          <w:color w:val="808080" w:themeColor="background1" w:themeShade="80"/>
          <w:lang w:val="fr-CH" w:eastAsia="en-US"/>
        </w:rPr>
        <w:t>les</w:t>
      </w:r>
      <w:r w:rsidR="007D5F49">
        <w:rPr>
          <w:rFonts w:eastAsiaTheme="minorEastAsia" w:cs="Arial"/>
          <w:i/>
          <w:iCs/>
          <w:color w:val="808080" w:themeColor="background1" w:themeShade="80"/>
          <w:lang w:val="fr-CH" w:eastAsia="en-US"/>
        </w:rPr>
        <w:t xml:space="preserve"> mesures d’aménagement </w:t>
      </w:r>
      <w:r w:rsidR="00E71510">
        <w:rPr>
          <w:rFonts w:eastAsiaTheme="minorEastAsia" w:cs="Arial"/>
          <w:i/>
          <w:iCs/>
          <w:color w:val="808080" w:themeColor="background1" w:themeShade="80"/>
          <w:lang w:val="fr-CH" w:eastAsia="en-US"/>
        </w:rPr>
        <w:t>à prendre</w:t>
      </w:r>
      <w:r w:rsidR="007D5F49">
        <w:rPr>
          <w:rFonts w:eastAsiaTheme="minorEastAsia" w:cs="Arial"/>
          <w:i/>
          <w:iCs/>
          <w:color w:val="808080" w:themeColor="background1" w:themeShade="80"/>
          <w:lang w:val="fr-CH" w:eastAsia="en-US"/>
        </w:rPr>
        <w:t xml:space="preserve"> </w:t>
      </w:r>
      <w:r w:rsidR="00E71510">
        <w:rPr>
          <w:rFonts w:eastAsiaTheme="minorEastAsia" w:cs="Arial"/>
          <w:i/>
          <w:iCs/>
          <w:color w:val="808080" w:themeColor="background1" w:themeShade="80"/>
          <w:lang w:val="fr-CH" w:eastAsia="en-US"/>
        </w:rPr>
        <w:t xml:space="preserve">pour garantir </w:t>
      </w:r>
      <w:r w:rsidR="00222ECC">
        <w:rPr>
          <w:rFonts w:eastAsiaTheme="minorEastAsia" w:cs="Arial"/>
          <w:i/>
          <w:iCs/>
          <w:color w:val="808080" w:themeColor="background1" w:themeShade="80"/>
          <w:lang w:val="fr-CH" w:eastAsia="en-US"/>
        </w:rPr>
        <w:t>les</w:t>
      </w:r>
      <w:r w:rsidR="00E71510">
        <w:rPr>
          <w:rFonts w:eastAsiaTheme="minorEastAsia" w:cs="Arial"/>
          <w:i/>
          <w:iCs/>
          <w:color w:val="808080" w:themeColor="background1" w:themeShade="80"/>
          <w:lang w:val="fr-CH" w:eastAsia="en-US"/>
        </w:rPr>
        <w:t xml:space="preserve"> SDA</w:t>
      </w:r>
      <w:r w:rsidR="3120AD34" w:rsidRPr="00F0226F">
        <w:rPr>
          <w:rFonts w:eastAsiaTheme="minorEastAsia" w:cs="Arial"/>
          <w:i/>
          <w:iCs/>
          <w:color w:val="808080" w:themeColor="background1" w:themeShade="80"/>
          <w:lang w:val="fr-CH" w:eastAsia="en-US"/>
        </w:rPr>
        <w:t>.</w:t>
      </w:r>
    </w:p>
    <w:p w14:paraId="4E4C406F" w14:textId="77777777" w:rsidR="00D726BD" w:rsidRPr="00F0226F" w:rsidRDefault="00D726BD" w:rsidP="00355364">
      <w:pPr>
        <w:autoSpaceDE w:val="0"/>
        <w:autoSpaceDN w:val="0"/>
        <w:adjustRightInd w:val="0"/>
        <w:spacing w:line="240" w:lineRule="auto"/>
        <w:rPr>
          <w:lang w:val="fr-CH"/>
        </w:rPr>
      </w:pPr>
    </w:p>
    <w:p w14:paraId="5E50D470" w14:textId="77777777" w:rsidR="00D726BD" w:rsidRPr="00F0226F" w:rsidRDefault="00D726BD" w:rsidP="00355364">
      <w:pPr>
        <w:autoSpaceDE w:val="0"/>
        <w:autoSpaceDN w:val="0"/>
        <w:adjustRightInd w:val="0"/>
        <w:spacing w:line="240" w:lineRule="auto"/>
        <w:rPr>
          <w:lang w:val="fr-CH"/>
        </w:rPr>
      </w:pPr>
    </w:p>
    <w:p w14:paraId="5DF2BF07" w14:textId="77777777" w:rsidR="00D726BD" w:rsidRPr="00F0226F" w:rsidRDefault="00D726BD" w:rsidP="00355364">
      <w:pPr>
        <w:autoSpaceDE w:val="0"/>
        <w:autoSpaceDN w:val="0"/>
        <w:adjustRightInd w:val="0"/>
        <w:spacing w:line="240" w:lineRule="auto"/>
        <w:rPr>
          <w:lang w:val="fr-CH"/>
        </w:rPr>
      </w:pPr>
    </w:p>
    <w:p w14:paraId="4497506D" w14:textId="77777777" w:rsidR="00D726BD" w:rsidRPr="00F0226F" w:rsidRDefault="00D726BD" w:rsidP="00355364">
      <w:pPr>
        <w:autoSpaceDE w:val="0"/>
        <w:autoSpaceDN w:val="0"/>
        <w:adjustRightInd w:val="0"/>
        <w:spacing w:line="240" w:lineRule="auto"/>
        <w:rPr>
          <w:lang w:val="fr-CH"/>
        </w:rPr>
      </w:pPr>
    </w:p>
    <w:p w14:paraId="7BF53A1D" w14:textId="77777777" w:rsidR="00D726BD" w:rsidRPr="00F0226F" w:rsidRDefault="00D726BD" w:rsidP="00355364">
      <w:pPr>
        <w:autoSpaceDE w:val="0"/>
        <w:autoSpaceDN w:val="0"/>
        <w:adjustRightInd w:val="0"/>
        <w:spacing w:line="240" w:lineRule="auto"/>
        <w:rPr>
          <w:lang w:val="fr-CH"/>
        </w:rPr>
      </w:pPr>
    </w:p>
    <w:p w14:paraId="09C3668C" w14:textId="77777777" w:rsidR="00D726BD" w:rsidRPr="00F0226F" w:rsidRDefault="00D726BD" w:rsidP="00355364">
      <w:pPr>
        <w:autoSpaceDE w:val="0"/>
        <w:autoSpaceDN w:val="0"/>
        <w:adjustRightInd w:val="0"/>
        <w:spacing w:line="240" w:lineRule="auto"/>
        <w:rPr>
          <w:lang w:val="fr-CH"/>
        </w:rPr>
      </w:pPr>
    </w:p>
    <w:p w14:paraId="2841ADA7" w14:textId="77777777" w:rsidR="00D726BD" w:rsidRPr="00F0226F" w:rsidRDefault="00D726BD" w:rsidP="00355364">
      <w:pPr>
        <w:autoSpaceDE w:val="0"/>
        <w:autoSpaceDN w:val="0"/>
        <w:adjustRightInd w:val="0"/>
        <w:spacing w:line="240" w:lineRule="auto"/>
        <w:rPr>
          <w:lang w:val="fr-CH"/>
        </w:rPr>
      </w:pPr>
    </w:p>
    <w:p w14:paraId="7AAF9A42" w14:textId="77777777" w:rsidR="00D726BD" w:rsidRPr="00F0226F" w:rsidRDefault="00D726BD" w:rsidP="00355364">
      <w:pPr>
        <w:autoSpaceDE w:val="0"/>
        <w:autoSpaceDN w:val="0"/>
        <w:adjustRightInd w:val="0"/>
        <w:spacing w:line="240" w:lineRule="auto"/>
        <w:rPr>
          <w:lang w:val="fr-CH"/>
        </w:rPr>
      </w:pPr>
    </w:p>
    <w:p w14:paraId="3DBDD7D4" w14:textId="77777777" w:rsidR="00D726BD" w:rsidRPr="00F0226F" w:rsidRDefault="00D726BD" w:rsidP="00355364">
      <w:pPr>
        <w:autoSpaceDE w:val="0"/>
        <w:autoSpaceDN w:val="0"/>
        <w:adjustRightInd w:val="0"/>
        <w:spacing w:line="240" w:lineRule="auto"/>
        <w:rPr>
          <w:lang w:val="fr-CH"/>
        </w:rPr>
      </w:pPr>
    </w:p>
    <w:p w14:paraId="370DB19D" w14:textId="77777777" w:rsidR="00D726BD" w:rsidRPr="00F0226F" w:rsidRDefault="00D726BD" w:rsidP="00355364">
      <w:pPr>
        <w:autoSpaceDE w:val="0"/>
        <w:autoSpaceDN w:val="0"/>
        <w:adjustRightInd w:val="0"/>
        <w:spacing w:line="240" w:lineRule="auto"/>
        <w:rPr>
          <w:lang w:val="fr-CH"/>
        </w:rPr>
      </w:pPr>
    </w:p>
    <w:p w14:paraId="2363A675" w14:textId="77777777" w:rsidR="00D726BD" w:rsidRPr="00F0226F" w:rsidRDefault="00D726BD" w:rsidP="00355364">
      <w:pPr>
        <w:autoSpaceDE w:val="0"/>
        <w:autoSpaceDN w:val="0"/>
        <w:adjustRightInd w:val="0"/>
        <w:spacing w:line="240" w:lineRule="auto"/>
        <w:rPr>
          <w:lang w:val="fr-CH"/>
        </w:rPr>
      </w:pPr>
    </w:p>
    <w:p w14:paraId="40F5A8DA" w14:textId="77777777" w:rsidR="00D726BD" w:rsidRPr="00F0226F" w:rsidRDefault="00D726BD" w:rsidP="00355364">
      <w:pPr>
        <w:autoSpaceDE w:val="0"/>
        <w:autoSpaceDN w:val="0"/>
        <w:adjustRightInd w:val="0"/>
        <w:spacing w:line="240" w:lineRule="auto"/>
        <w:rPr>
          <w:lang w:val="fr-CH"/>
        </w:rPr>
      </w:pPr>
    </w:p>
    <w:p w14:paraId="2B5B7E93" w14:textId="77777777" w:rsidR="00D726BD" w:rsidRPr="00F0226F" w:rsidRDefault="00D726BD" w:rsidP="00355364">
      <w:pPr>
        <w:autoSpaceDE w:val="0"/>
        <w:autoSpaceDN w:val="0"/>
        <w:adjustRightInd w:val="0"/>
        <w:spacing w:line="240" w:lineRule="auto"/>
        <w:rPr>
          <w:lang w:val="fr-CH"/>
        </w:rPr>
      </w:pPr>
    </w:p>
    <w:p w14:paraId="70139CE6" w14:textId="77777777" w:rsidR="00D726BD" w:rsidRPr="00F0226F" w:rsidRDefault="00D726BD" w:rsidP="00355364">
      <w:pPr>
        <w:autoSpaceDE w:val="0"/>
        <w:autoSpaceDN w:val="0"/>
        <w:adjustRightInd w:val="0"/>
        <w:spacing w:line="240" w:lineRule="auto"/>
        <w:rPr>
          <w:lang w:val="fr-CH"/>
        </w:rPr>
      </w:pPr>
    </w:p>
    <w:p w14:paraId="3B77190B" w14:textId="77777777" w:rsidR="00D726BD" w:rsidRPr="00F0226F" w:rsidRDefault="00D726BD" w:rsidP="00355364">
      <w:pPr>
        <w:autoSpaceDE w:val="0"/>
        <w:autoSpaceDN w:val="0"/>
        <w:adjustRightInd w:val="0"/>
        <w:spacing w:line="240" w:lineRule="auto"/>
        <w:rPr>
          <w:lang w:val="fr-CH"/>
        </w:rPr>
      </w:pPr>
    </w:p>
    <w:p w14:paraId="63088DA4" w14:textId="77777777" w:rsidR="00D726BD" w:rsidRPr="00F0226F" w:rsidRDefault="00D726BD" w:rsidP="00355364">
      <w:pPr>
        <w:autoSpaceDE w:val="0"/>
        <w:autoSpaceDN w:val="0"/>
        <w:adjustRightInd w:val="0"/>
        <w:spacing w:line="240" w:lineRule="auto"/>
        <w:rPr>
          <w:lang w:val="fr-CH"/>
        </w:rPr>
      </w:pPr>
    </w:p>
    <w:p w14:paraId="5A2EB3D4" w14:textId="77777777" w:rsidR="00D726BD" w:rsidRPr="00F0226F" w:rsidRDefault="00D726BD" w:rsidP="00355364">
      <w:pPr>
        <w:autoSpaceDE w:val="0"/>
        <w:autoSpaceDN w:val="0"/>
        <w:adjustRightInd w:val="0"/>
        <w:spacing w:line="240" w:lineRule="auto"/>
        <w:rPr>
          <w:lang w:val="fr-CH"/>
        </w:rPr>
      </w:pPr>
    </w:p>
    <w:p w14:paraId="4CB5B165" w14:textId="77777777" w:rsidR="00D726BD" w:rsidRPr="00F0226F" w:rsidRDefault="00D726BD" w:rsidP="00355364">
      <w:pPr>
        <w:autoSpaceDE w:val="0"/>
        <w:autoSpaceDN w:val="0"/>
        <w:adjustRightInd w:val="0"/>
        <w:spacing w:line="240" w:lineRule="auto"/>
        <w:rPr>
          <w:lang w:val="fr-CH"/>
        </w:rPr>
      </w:pPr>
    </w:p>
    <w:p w14:paraId="71634050" w14:textId="77777777" w:rsidR="00D726BD" w:rsidRPr="00F0226F" w:rsidRDefault="00D726BD" w:rsidP="00355364">
      <w:pPr>
        <w:autoSpaceDE w:val="0"/>
        <w:autoSpaceDN w:val="0"/>
        <w:adjustRightInd w:val="0"/>
        <w:spacing w:line="240" w:lineRule="auto"/>
        <w:rPr>
          <w:lang w:val="fr-CH"/>
        </w:rPr>
      </w:pPr>
    </w:p>
    <w:p w14:paraId="07A727FD" w14:textId="77777777" w:rsidR="00D726BD" w:rsidRPr="00F0226F" w:rsidRDefault="00D726BD" w:rsidP="00355364">
      <w:pPr>
        <w:autoSpaceDE w:val="0"/>
        <w:autoSpaceDN w:val="0"/>
        <w:adjustRightInd w:val="0"/>
        <w:spacing w:line="240" w:lineRule="auto"/>
        <w:rPr>
          <w:lang w:val="fr-CH"/>
        </w:rPr>
      </w:pPr>
    </w:p>
    <w:p w14:paraId="32B5D02E" w14:textId="77777777" w:rsidR="00D726BD" w:rsidRPr="00F0226F" w:rsidRDefault="00D726BD" w:rsidP="00355364">
      <w:pPr>
        <w:autoSpaceDE w:val="0"/>
        <w:autoSpaceDN w:val="0"/>
        <w:adjustRightInd w:val="0"/>
        <w:spacing w:line="240" w:lineRule="auto"/>
        <w:rPr>
          <w:lang w:val="fr-CH"/>
        </w:rPr>
      </w:pPr>
    </w:p>
    <w:p w14:paraId="04004231" w14:textId="77777777" w:rsidR="00D726BD" w:rsidRPr="00F0226F" w:rsidRDefault="00D726BD" w:rsidP="00355364">
      <w:pPr>
        <w:autoSpaceDE w:val="0"/>
        <w:autoSpaceDN w:val="0"/>
        <w:adjustRightInd w:val="0"/>
        <w:spacing w:line="240" w:lineRule="auto"/>
        <w:rPr>
          <w:lang w:val="fr-CH"/>
        </w:rPr>
      </w:pPr>
    </w:p>
    <w:p w14:paraId="77C2F595" w14:textId="77777777" w:rsidR="00F50688" w:rsidRPr="00F0226F" w:rsidRDefault="00F50688" w:rsidP="00355364">
      <w:pPr>
        <w:autoSpaceDE w:val="0"/>
        <w:autoSpaceDN w:val="0"/>
        <w:adjustRightInd w:val="0"/>
        <w:spacing w:line="240" w:lineRule="auto"/>
        <w:rPr>
          <w:lang w:val="fr-CH"/>
        </w:rPr>
      </w:pPr>
    </w:p>
    <w:p w14:paraId="429EC1E1" w14:textId="77777777" w:rsidR="00FA33BB" w:rsidRPr="00F0226F" w:rsidRDefault="00FA33BB" w:rsidP="00355364">
      <w:pPr>
        <w:autoSpaceDE w:val="0"/>
        <w:autoSpaceDN w:val="0"/>
        <w:adjustRightInd w:val="0"/>
        <w:spacing w:line="240" w:lineRule="auto"/>
        <w:rPr>
          <w:lang w:val="fr-CH"/>
        </w:rPr>
      </w:pPr>
    </w:p>
    <w:p w14:paraId="322CE821" w14:textId="47CDF048" w:rsidR="00FA33BB" w:rsidRPr="00F0226F" w:rsidRDefault="00FA33BB" w:rsidP="00355364">
      <w:pPr>
        <w:autoSpaceDE w:val="0"/>
        <w:autoSpaceDN w:val="0"/>
        <w:adjustRightInd w:val="0"/>
        <w:spacing w:line="240" w:lineRule="auto"/>
        <w:rPr>
          <w:lang w:val="fr-CH"/>
        </w:rPr>
      </w:pPr>
    </w:p>
    <w:p w14:paraId="648FFE95" w14:textId="77777777" w:rsidR="006F6F6F" w:rsidRPr="00F0226F" w:rsidRDefault="006F6F6F">
      <w:pPr>
        <w:spacing w:after="160" w:line="259" w:lineRule="auto"/>
        <w:rPr>
          <w:rFonts w:eastAsiaTheme="minorEastAsia" w:cs="Arial"/>
          <w:b/>
          <w:bCs/>
          <w:sz w:val="16"/>
          <w:szCs w:val="16"/>
          <w:u w:val="single"/>
          <w:lang w:val="fr-CH"/>
        </w:rPr>
      </w:pPr>
      <w:r w:rsidRPr="00F0226F">
        <w:rPr>
          <w:rFonts w:eastAsiaTheme="minorEastAsia" w:cs="Arial"/>
          <w:b/>
          <w:bCs/>
          <w:sz w:val="16"/>
          <w:szCs w:val="16"/>
          <w:u w:val="single"/>
          <w:lang w:val="fr-CH"/>
        </w:rPr>
        <w:br w:type="page"/>
      </w:r>
    </w:p>
    <w:p w14:paraId="7B3CA8F9" w14:textId="28BB446A" w:rsidR="005734DB" w:rsidRPr="00F0226F" w:rsidRDefault="00B52573" w:rsidP="00864866">
      <w:pPr>
        <w:autoSpaceDE w:val="0"/>
        <w:autoSpaceDN w:val="0"/>
        <w:adjustRightInd w:val="0"/>
        <w:spacing w:line="240" w:lineRule="auto"/>
        <w:rPr>
          <w:rFonts w:eastAsiaTheme="minorEastAsia" w:cs="Arial"/>
          <w:b/>
          <w:bCs/>
          <w:sz w:val="16"/>
          <w:szCs w:val="16"/>
          <w:u w:val="single"/>
          <w:lang w:val="fr-CH"/>
        </w:rPr>
      </w:pPr>
      <w:r>
        <w:rPr>
          <w:rFonts w:eastAsiaTheme="minorEastAsia" w:cs="Arial"/>
          <w:b/>
          <w:bCs/>
          <w:sz w:val="16"/>
          <w:szCs w:val="16"/>
          <w:u w:val="single"/>
          <w:lang w:val="fr-CH"/>
        </w:rPr>
        <w:lastRenderedPageBreak/>
        <w:t>Éditeur</w:t>
      </w:r>
    </w:p>
    <w:p w14:paraId="612B4FAB" w14:textId="5A774EEC" w:rsidR="005734DB" w:rsidRPr="00F0226F" w:rsidRDefault="00B52573" w:rsidP="00864866">
      <w:pPr>
        <w:autoSpaceDE w:val="0"/>
        <w:autoSpaceDN w:val="0"/>
        <w:adjustRightInd w:val="0"/>
        <w:spacing w:line="240" w:lineRule="auto"/>
        <w:rPr>
          <w:rFonts w:eastAsiaTheme="minorEastAsia" w:cs="Arial"/>
          <w:sz w:val="16"/>
          <w:szCs w:val="16"/>
          <w:lang w:val="fr-CH"/>
        </w:rPr>
      </w:pPr>
      <w:r>
        <w:rPr>
          <w:rFonts w:eastAsiaTheme="minorEastAsia" w:cs="Arial"/>
          <w:sz w:val="16"/>
          <w:szCs w:val="16"/>
          <w:lang w:val="fr-CH"/>
        </w:rPr>
        <w:t>Office fédéral du développement territorial</w:t>
      </w:r>
      <w:r w:rsidR="325E5E49" w:rsidRPr="00F0226F">
        <w:rPr>
          <w:rFonts w:eastAsiaTheme="minorEastAsia" w:cs="Arial"/>
          <w:sz w:val="16"/>
          <w:szCs w:val="16"/>
          <w:lang w:val="fr-CH"/>
        </w:rPr>
        <w:t xml:space="preserve"> (ARE)</w:t>
      </w:r>
    </w:p>
    <w:p w14:paraId="559C2CA9" w14:textId="77777777" w:rsidR="005734DB" w:rsidRPr="00F0226F" w:rsidRDefault="005734DB" w:rsidP="005734DB">
      <w:pPr>
        <w:autoSpaceDE w:val="0"/>
        <w:autoSpaceDN w:val="0"/>
        <w:adjustRightInd w:val="0"/>
        <w:spacing w:line="240" w:lineRule="auto"/>
        <w:rPr>
          <w:rFonts w:eastAsiaTheme="minorHAnsi" w:cs="Arial"/>
          <w:sz w:val="16"/>
          <w:szCs w:val="14"/>
          <w:lang w:val="fr-CH"/>
        </w:rPr>
      </w:pPr>
    </w:p>
    <w:p w14:paraId="34E1351B" w14:textId="26F4E75A" w:rsidR="00CD78C4" w:rsidRPr="00F0226F" w:rsidRDefault="00B231C1" w:rsidP="00864866">
      <w:pPr>
        <w:autoSpaceDE w:val="0"/>
        <w:autoSpaceDN w:val="0"/>
        <w:adjustRightInd w:val="0"/>
        <w:spacing w:line="240" w:lineRule="auto"/>
        <w:rPr>
          <w:rFonts w:eastAsiaTheme="minorEastAsia" w:cs="Arial"/>
          <w:b/>
          <w:bCs/>
          <w:sz w:val="16"/>
          <w:szCs w:val="16"/>
          <w:u w:val="single"/>
          <w:lang w:val="fr-CH"/>
        </w:rPr>
      </w:pPr>
      <w:r>
        <w:rPr>
          <w:rFonts w:eastAsiaTheme="minorEastAsia" w:cs="Arial"/>
          <w:b/>
          <w:bCs/>
          <w:sz w:val="16"/>
          <w:szCs w:val="16"/>
          <w:u w:val="single"/>
          <w:lang w:val="fr-CH"/>
        </w:rPr>
        <w:t xml:space="preserve">Services </w:t>
      </w:r>
      <w:r w:rsidR="00B52573">
        <w:rPr>
          <w:rFonts w:eastAsiaTheme="minorEastAsia" w:cs="Arial"/>
          <w:b/>
          <w:bCs/>
          <w:sz w:val="16"/>
          <w:szCs w:val="16"/>
          <w:u w:val="single"/>
          <w:lang w:val="fr-CH"/>
        </w:rPr>
        <w:t>fédéraux ayant participé à l’élaboration du projet</w:t>
      </w:r>
    </w:p>
    <w:p w14:paraId="3EBF1FAE" w14:textId="5DB429E9" w:rsidR="00CD78C4" w:rsidRPr="00F0226F" w:rsidRDefault="00B52573" w:rsidP="00864866">
      <w:pPr>
        <w:autoSpaceDE w:val="0"/>
        <w:autoSpaceDN w:val="0"/>
        <w:adjustRightInd w:val="0"/>
        <w:spacing w:line="240" w:lineRule="auto"/>
        <w:rPr>
          <w:rFonts w:eastAsiaTheme="minorEastAsia" w:cs="Arial"/>
          <w:sz w:val="16"/>
          <w:szCs w:val="16"/>
          <w:lang w:val="fr-CH"/>
        </w:rPr>
      </w:pPr>
      <w:r>
        <w:rPr>
          <w:rFonts w:eastAsiaTheme="minorEastAsia" w:cs="Arial"/>
          <w:sz w:val="16"/>
          <w:szCs w:val="16"/>
          <w:lang w:val="fr-CH"/>
        </w:rPr>
        <w:t>Office fédéral de l’agriculture</w:t>
      </w:r>
      <w:r w:rsidR="325E5E49" w:rsidRPr="00F0226F">
        <w:rPr>
          <w:rFonts w:eastAsiaTheme="minorEastAsia" w:cs="Arial"/>
          <w:sz w:val="16"/>
          <w:szCs w:val="16"/>
          <w:lang w:val="fr-CH"/>
        </w:rPr>
        <w:t xml:space="preserve"> (</w:t>
      </w:r>
      <w:r>
        <w:rPr>
          <w:rFonts w:eastAsiaTheme="minorEastAsia" w:cs="Arial"/>
          <w:sz w:val="16"/>
          <w:szCs w:val="16"/>
          <w:lang w:val="fr-CH"/>
        </w:rPr>
        <w:t>OFAG</w:t>
      </w:r>
      <w:r w:rsidR="325E5E49" w:rsidRPr="00F0226F">
        <w:rPr>
          <w:rFonts w:eastAsiaTheme="minorEastAsia" w:cs="Arial"/>
          <w:sz w:val="16"/>
          <w:szCs w:val="16"/>
          <w:lang w:val="fr-CH"/>
        </w:rPr>
        <w:t>)</w:t>
      </w:r>
    </w:p>
    <w:p w14:paraId="1D7B2C71" w14:textId="5F7BAB72" w:rsidR="002C4001" w:rsidRPr="00F0226F" w:rsidRDefault="00B52573" w:rsidP="00864866">
      <w:pPr>
        <w:autoSpaceDE w:val="0"/>
        <w:autoSpaceDN w:val="0"/>
        <w:adjustRightInd w:val="0"/>
        <w:spacing w:line="240" w:lineRule="auto"/>
        <w:rPr>
          <w:rFonts w:eastAsiaTheme="minorEastAsia" w:cs="Arial"/>
          <w:sz w:val="16"/>
          <w:szCs w:val="16"/>
          <w:lang w:val="fr-CH"/>
        </w:rPr>
      </w:pPr>
      <w:r>
        <w:rPr>
          <w:rFonts w:eastAsiaTheme="minorEastAsia" w:cs="Arial"/>
          <w:sz w:val="16"/>
          <w:szCs w:val="16"/>
          <w:lang w:val="fr-CH"/>
        </w:rPr>
        <w:t>Office fédéral de l’environnement</w:t>
      </w:r>
      <w:r w:rsidR="325E5E49" w:rsidRPr="00F0226F">
        <w:rPr>
          <w:rFonts w:eastAsiaTheme="minorEastAsia" w:cs="Arial"/>
          <w:sz w:val="16"/>
          <w:szCs w:val="16"/>
          <w:lang w:val="fr-CH"/>
        </w:rPr>
        <w:t xml:space="preserve"> (</w:t>
      </w:r>
      <w:r>
        <w:rPr>
          <w:rFonts w:eastAsiaTheme="minorEastAsia" w:cs="Arial"/>
          <w:sz w:val="16"/>
          <w:szCs w:val="16"/>
          <w:lang w:val="fr-CH"/>
        </w:rPr>
        <w:t>OFEV</w:t>
      </w:r>
      <w:r w:rsidR="325E5E49" w:rsidRPr="00F0226F">
        <w:rPr>
          <w:rFonts w:eastAsiaTheme="minorEastAsia" w:cs="Arial"/>
          <w:sz w:val="16"/>
          <w:szCs w:val="16"/>
          <w:lang w:val="fr-CH"/>
        </w:rPr>
        <w:t>)</w:t>
      </w:r>
    </w:p>
    <w:p w14:paraId="0B7D8FD7" w14:textId="793F43B9" w:rsidR="00CD78C4" w:rsidRPr="00F0226F" w:rsidRDefault="00B52573" w:rsidP="00864866">
      <w:pPr>
        <w:autoSpaceDE w:val="0"/>
        <w:autoSpaceDN w:val="0"/>
        <w:adjustRightInd w:val="0"/>
        <w:spacing w:line="240" w:lineRule="auto"/>
        <w:rPr>
          <w:rFonts w:eastAsiaTheme="minorEastAsia" w:cs="Arial"/>
          <w:sz w:val="16"/>
          <w:szCs w:val="16"/>
          <w:lang w:val="fr-CH"/>
        </w:rPr>
      </w:pPr>
      <w:r>
        <w:rPr>
          <w:rFonts w:eastAsiaTheme="minorEastAsia" w:cs="Arial"/>
          <w:sz w:val="16"/>
          <w:szCs w:val="16"/>
          <w:lang w:val="fr-CH"/>
        </w:rPr>
        <w:t>Office fédéral pour l’approvisionnement économique du pays</w:t>
      </w:r>
      <w:r w:rsidR="325E5E49" w:rsidRPr="00F0226F">
        <w:rPr>
          <w:rFonts w:eastAsiaTheme="minorEastAsia" w:cs="Arial"/>
          <w:sz w:val="16"/>
          <w:szCs w:val="16"/>
          <w:lang w:val="fr-CH"/>
        </w:rPr>
        <w:t xml:space="preserve"> (</w:t>
      </w:r>
      <w:r>
        <w:rPr>
          <w:rFonts w:eastAsiaTheme="minorEastAsia" w:cs="Arial"/>
          <w:sz w:val="16"/>
          <w:szCs w:val="16"/>
          <w:lang w:val="fr-CH"/>
        </w:rPr>
        <w:t>OFAE</w:t>
      </w:r>
      <w:r w:rsidR="325E5E49" w:rsidRPr="00F0226F">
        <w:rPr>
          <w:rFonts w:eastAsiaTheme="minorEastAsia" w:cs="Arial"/>
          <w:sz w:val="16"/>
          <w:szCs w:val="16"/>
          <w:lang w:val="fr-CH"/>
        </w:rPr>
        <w:t>)</w:t>
      </w:r>
    </w:p>
    <w:p w14:paraId="0EEB0B99" w14:textId="14D26501" w:rsidR="005734DB" w:rsidRPr="00F0226F" w:rsidRDefault="005734DB" w:rsidP="005734DB">
      <w:pPr>
        <w:autoSpaceDE w:val="0"/>
        <w:autoSpaceDN w:val="0"/>
        <w:adjustRightInd w:val="0"/>
        <w:spacing w:line="240" w:lineRule="auto"/>
        <w:rPr>
          <w:rFonts w:eastAsiaTheme="minorHAnsi" w:cs="Arial"/>
          <w:sz w:val="16"/>
          <w:szCs w:val="14"/>
          <w:lang w:val="fr-CH"/>
        </w:rPr>
      </w:pPr>
    </w:p>
    <w:p w14:paraId="64164BA6" w14:textId="3288091D" w:rsidR="005734DB" w:rsidRPr="00F0226F" w:rsidRDefault="00B231C1" w:rsidP="00864866">
      <w:pPr>
        <w:autoSpaceDE w:val="0"/>
        <w:autoSpaceDN w:val="0"/>
        <w:adjustRightInd w:val="0"/>
        <w:spacing w:line="240" w:lineRule="auto"/>
        <w:rPr>
          <w:rFonts w:eastAsiaTheme="minorEastAsia" w:cs="Arial"/>
          <w:sz w:val="16"/>
          <w:szCs w:val="16"/>
          <w:lang w:val="fr-CH"/>
        </w:rPr>
      </w:pPr>
      <w:r w:rsidRPr="00B231C1">
        <w:rPr>
          <w:rFonts w:eastAsiaTheme="minorEastAsia" w:cs="Arial"/>
          <w:sz w:val="16"/>
          <w:szCs w:val="16"/>
          <w:lang w:val="fr-CH"/>
        </w:rPr>
        <w:t xml:space="preserve">Dans un souci de lisibilité, nous avons </w:t>
      </w:r>
      <w:r>
        <w:rPr>
          <w:rFonts w:eastAsiaTheme="minorEastAsia" w:cs="Arial"/>
          <w:sz w:val="16"/>
          <w:szCs w:val="16"/>
          <w:lang w:val="fr-CH"/>
        </w:rPr>
        <w:t>employé</w:t>
      </w:r>
      <w:r w:rsidRPr="00B231C1">
        <w:rPr>
          <w:rFonts w:eastAsiaTheme="minorEastAsia" w:cs="Arial"/>
          <w:sz w:val="16"/>
          <w:szCs w:val="16"/>
          <w:lang w:val="fr-CH"/>
        </w:rPr>
        <w:t xml:space="preserve"> le masculin générique dans le présent </w:t>
      </w:r>
      <w:r>
        <w:rPr>
          <w:rFonts w:eastAsiaTheme="minorEastAsia" w:cs="Arial"/>
          <w:sz w:val="16"/>
          <w:szCs w:val="16"/>
          <w:lang w:val="fr-CH"/>
        </w:rPr>
        <w:t>document</w:t>
      </w:r>
      <w:r w:rsidRPr="00B231C1">
        <w:rPr>
          <w:rFonts w:eastAsiaTheme="minorEastAsia" w:cs="Arial"/>
          <w:sz w:val="16"/>
          <w:szCs w:val="16"/>
          <w:lang w:val="fr-CH"/>
        </w:rPr>
        <w:t xml:space="preserve">. </w:t>
      </w:r>
      <w:r>
        <w:rPr>
          <w:rFonts w:eastAsiaTheme="minorEastAsia" w:cs="Arial"/>
          <w:sz w:val="16"/>
          <w:szCs w:val="16"/>
          <w:lang w:val="fr-CH"/>
        </w:rPr>
        <w:t>Il désigne cependant aussi bien les femmes que les hommes</w:t>
      </w:r>
      <w:r w:rsidRPr="00B231C1">
        <w:rPr>
          <w:rFonts w:eastAsiaTheme="minorEastAsia" w:cs="Arial"/>
          <w:sz w:val="16"/>
          <w:szCs w:val="16"/>
          <w:lang w:val="fr-CH"/>
        </w:rPr>
        <w:t>.</w:t>
      </w:r>
    </w:p>
    <w:p w14:paraId="6D362F9E" w14:textId="77777777" w:rsidR="00F76B8B" w:rsidRPr="00F0226F" w:rsidRDefault="00F76B8B" w:rsidP="005734DB">
      <w:pPr>
        <w:autoSpaceDE w:val="0"/>
        <w:autoSpaceDN w:val="0"/>
        <w:adjustRightInd w:val="0"/>
        <w:spacing w:line="240" w:lineRule="auto"/>
        <w:rPr>
          <w:rFonts w:eastAsiaTheme="minorHAnsi" w:cs="Arial"/>
          <w:sz w:val="16"/>
          <w:szCs w:val="14"/>
          <w:lang w:val="fr-CH"/>
        </w:rPr>
      </w:pPr>
    </w:p>
    <w:p w14:paraId="466113E5" w14:textId="05D6902A" w:rsidR="005734DB" w:rsidRPr="00F0226F" w:rsidRDefault="325E5E49" w:rsidP="00864866">
      <w:pPr>
        <w:autoSpaceDE w:val="0"/>
        <w:autoSpaceDN w:val="0"/>
        <w:adjustRightInd w:val="0"/>
        <w:spacing w:line="240" w:lineRule="auto"/>
        <w:rPr>
          <w:rFonts w:eastAsiaTheme="minorEastAsia" w:cs="Arial"/>
          <w:sz w:val="16"/>
          <w:szCs w:val="16"/>
          <w:lang w:val="fr-CH"/>
        </w:rPr>
      </w:pPr>
      <w:r w:rsidRPr="00F0226F">
        <w:rPr>
          <w:rFonts w:eastAsiaTheme="minorEastAsia" w:cs="Arial"/>
          <w:sz w:val="16"/>
          <w:szCs w:val="16"/>
          <w:lang w:val="fr-CH"/>
        </w:rPr>
        <w:t xml:space="preserve">© </w:t>
      </w:r>
      <w:r w:rsidR="00B52573">
        <w:rPr>
          <w:rFonts w:eastAsiaTheme="minorEastAsia" w:cs="Arial"/>
          <w:sz w:val="16"/>
          <w:szCs w:val="16"/>
          <w:lang w:val="fr-CH"/>
        </w:rPr>
        <w:t>Office fédéral du développement territorial</w:t>
      </w:r>
      <w:r w:rsidRPr="00F0226F">
        <w:rPr>
          <w:rFonts w:eastAsiaTheme="minorEastAsia" w:cs="Arial"/>
          <w:sz w:val="16"/>
          <w:szCs w:val="16"/>
          <w:lang w:val="fr-CH"/>
        </w:rPr>
        <w:t xml:space="preserve"> (ARE)</w:t>
      </w:r>
    </w:p>
    <w:p w14:paraId="154503F2" w14:textId="0F29AFE1" w:rsidR="00F4444E" w:rsidRPr="00F0226F" w:rsidRDefault="325E5E49" w:rsidP="325E5E49">
      <w:pPr>
        <w:autoSpaceDE w:val="0"/>
        <w:autoSpaceDN w:val="0"/>
        <w:adjustRightInd w:val="0"/>
        <w:spacing w:before="240" w:line="240" w:lineRule="auto"/>
        <w:rPr>
          <w:b/>
          <w:bCs/>
          <w:sz w:val="14"/>
          <w:szCs w:val="14"/>
          <w:lang w:val="fr-CH"/>
        </w:rPr>
      </w:pPr>
      <w:r w:rsidRPr="00F0226F">
        <w:rPr>
          <w:rFonts w:eastAsiaTheme="minorEastAsia"/>
          <w:b/>
          <w:bCs/>
          <w:sz w:val="14"/>
          <w:szCs w:val="14"/>
          <w:lang w:val="fr-CH"/>
        </w:rPr>
        <w:t>Bern</w:t>
      </w:r>
      <w:r w:rsidR="00B52573">
        <w:rPr>
          <w:rFonts w:eastAsiaTheme="minorEastAsia"/>
          <w:b/>
          <w:bCs/>
          <w:sz w:val="14"/>
          <w:szCs w:val="14"/>
          <w:lang w:val="fr-CH"/>
        </w:rPr>
        <w:t>e</w:t>
      </w:r>
      <w:r w:rsidRPr="00F0226F">
        <w:rPr>
          <w:rFonts w:eastAsiaTheme="minorEastAsia"/>
          <w:b/>
          <w:bCs/>
          <w:sz w:val="14"/>
          <w:szCs w:val="14"/>
          <w:lang w:val="fr-CH"/>
        </w:rPr>
        <w:t xml:space="preserve">, </w:t>
      </w:r>
      <w:r w:rsidRPr="00F0226F">
        <w:rPr>
          <w:rFonts w:eastAsiaTheme="minorEastAsia"/>
          <w:b/>
          <w:bCs/>
          <w:sz w:val="14"/>
          <w:szCs w:val="14"/>
          <w:highlight w:val="yellow"/>
          <w:lang w:val="fr-CH"/>
        </w:rPr>
        <w:t>xxx</w:t>
      </w:r>
      <w:r w:rsidRPr="00F0226F">
        <w:rPr>
          <w:rFonts w:eastAsiaTheme="minorEastAsia"/>
          <w:b/>
          <w:bCs/>
          <w:sz w:val="14"/>
          <w:szCs w:val="14"/>
          <w:lang w:val="fr-CH"/>
        </w:rPr>
        <w:t xml:space="preserve"> 2019</w:t>
      </w:r>
      <w:r w:rsidR="45821094" w:rsidRPr="00F0226F">
        <w:rPr>
          <w:b/>
          <w:bCs/>
          <w:sz w:val="14"/>
          <w:szCs w:val="14"/>
          <w:lang w:val="fr-CH"/>
        </w:rPr>
        <w:br w:type="page"/>
      </w:r>
    </w:p>
    <w:p w14:paraId="13B526E5" w14:textId="39D22284" w:rsidR="00340180" w:rsidRPr="00F0226F" w:rsidRDefault="00E86ACA" w:rsidP="325E5E49">
      <w:pPr>
        <w:rPr>
          <w:b/>
          <w:bCs/>
          <w:sz w:val="42"/>
          <w:szCs w:val="42"/>
          <w:lang w:val="fr-CH"/>
        </w:rPr>
      </w:pPr>
      <w:bookmarkStart w:id="10" w:name="_Toc432609058"/>
      <w:r>
        <w:rPr>
          <w:b/>
          <w:bCs/>
          <w:sz w:val="42"/>
          <w:szCs w:val="42"/>
          <w:lang w:val="fr-CH"/>
        </w:rPr>
        <w:lastRenderedPageBreak/>
        <w:t>Table des matière</w:t>
      </w:r>
      <w:r w:rsidR="00340180" w:rsidRPr="00F0226F">
        <w:rPr>
          <w:b/>
          <w:bCs/>
          <w:sz w:val="42"/>
          <w:szCs w:val="42"/>
          <w:lang w:val="fr-CH"/>
        </w:rPr>
        <w:t>s</w:t>
      </w:r>
      <w:bookmarkEnd w:id="10"/>
    </w:p>
    <w:p w14:paraId="68F80318" w14:textId="3CA6963A" w:rsidR="000E737F" w:rsidRDefault="002A761F">
      <w:pPr>
        <w:pStyle w:val="Verzeichnis1"/>
        <w:rPr>
          <w:rFonts w:asciiTheme="minorHAnsi" w:eastAsiaTheme="minorEastAsia" w:hAnsiTheme="minorHAnsi" w:cstheme="minorBidi"/>
          <w:b w:val="0"/>
          <w:sz w:val="22"/>
          <w:szCs w:val="22"/>
        </w:rPr>
      </w:pPr>
      <w:r>
        <w:rPr>
          <w:b w:val="0"/>
          <w:lang w:val="fr-CH"/>
        </w:rPr>
        <w:fldChar w:fldCharType="begin"/>
      </w:r>
      <w:r>
        <w:rPr>
          <w:b w:val="0"/>
          <w:lang w:val="fr-CH"/>
        </w:rPr>
        <w:instrText xml:space="preserve"> TOC \o "1-3" \h \z \u </w:instrText>
      </w:r>
      <w:r>
        <w:rPr>
          <w:b w:val="0"/>
          <w:lang w:val="fr-CH"/>
        </w:rPr>
        <w:fldChar w:fldCharType="separate"/>
      </w:r>
      <w:hyperlink w:anchor="_Toc532996366" w:history="1">
        <w:r w:rsidR="000E737F" w:rsidRPr="00F95C92">
          <w:rPr>
            <w:rStyle w:val="Hyperlink"/>
            <w:lang w:val="fr-CH"/>
          </w:rPr>
          <w:t>1</w:t>
        </w:r>
        <w:r w:rsidR="000E737F">
          <w:rPr>
            <w:rFonts w:asciiTheme="minorHAnsi" w:eastAsiaTheme="minorEastAsia" w:hAnsiTheme="minorHAnsi" w:cstheme="minorBidi"/>
            <w:b w:val="0"/>
            <w:sz w:val="22"/>
            <w:szCs w:val="22"/>
          </w:rPr>
          <w:tab/>
        </w:r>
        <w:r w:rsidR="000E737F" w:rsidRPr="00F95C92">
          <w:rPr>
            <w:rStyle w:val="Hyperlink"/>
            <w:lang w:val="fr-CH"/>
          </w:rPr>
          <w:t>Contexte</w:t>
        </w:r>
        <w:r w:rsidR="000E737F">
          <w:rPr>
            <w:webHidden/>
          </w:rPr>
          <w:tab/>
        </w:r>
        <w:r w:rsidR="000E737F">
          <w:rPr>
            <w:webHidden/>
          </w:rPr>
          <w:fldChar w:fldCharType="begin"/>
        </w:r>
        <w:r w:rsidR="000E737F">
          <w:rPr>
            <w:webHidden/>
          </w:rPr>
          <w:instrText xml:space="preserve"> PAGEREF _Toc532996366 \h </w:instrText>
        </w:r>
        <w:r w:rsidR="000E737F">
          <w:rPr>
            <w:webHidden/>
          </w:rPr>
        </w:r>
        <w:r w:rsidR="000E737F">
          <w:rPr>
            <w:webHidden/>
          </w:rPr>
          <w:fldChar w:fldCharType="separate"/>
        </w:r>
        <w:r w:rsidR="001971CC">
          <w:rPr>
            <w:webHidden/>
          </w:rPr>
          <w:t>5</w:t>
        </w:r>
        <w:r w:rsidR="000E737F">
          <w:rPr>
            <w:webHidden/>
          </w:rPr>
          <w:fldChar w:fldCharType="end"/>
        </w:r>
      </w:hyperlink>
    </w:p>
    <w:p w14:paraId="0D9B92B4" w14:textId="20927C35" w:rsidR="000E737F" w:rsidRDefault="00A45DC6">
      <w:pPr>
        <w:pStyle w:val="Verzeichnis2"/>
        <w:rPr>
          <w:rFonts w:asciiTheme="minorHAnsi" w:eastAsiaTheme="minorEastAsia" w:hAnsiTheme="minorHAnsi" w:cstheme="minorBidi"/>
          <w:noProof/>
          <w:sz w:val="22"/>
          <w:szCs w:val="22"/>
        </w:rPr>
      </w:pPr>
      <w:hyperlink w:anchor="_Toc532996367" w:history="1">
        <w:r w:rsidR="000E737F" w:rsidRPr="00F95C92">
          <w:rPr>
            <w:rStyle w:val="Hyperlink"/>
            <w:noProof/>
            <w:lang w:val="fr-CH"/>
            <w14:scene3d>
              <w14:camera w14:prst="orthographicFront"/>
              <w14:lightRig w14:rig="threePt" w14:dir="t">
                <w14:rot w14:lat="0" w14:lon="0" w14:rev="0"/>
              </w14:lightRig>
            </w14:scene3d>
          </w:rPr>
          <w:t>1.1</w:t>
        </w:r>
        <w:r w:rsidR="000E737F">
          <w:rPr>
            <w:rFonts w:asciiTheme="minorHAnsi" w:eastAsiaTheme="minorEastAsia" w:hAnsiTheme="minorHAnsi" w:cstheme="minorBidi"/>
            <w:noProof/>
            <w:sz w:val="22"/>
            <w:szCs w:val="22"/>
          </w:rPr>
          <w:tab/>
        </w:r>
        <w:r w:rsidR="000E737F" w:rsidRPr="00F95C92">
          <w:rPr>
            <w:rStyle w:val="Hyperlink"/>
            <w:noProof/>
            <w:lang w:val="fr-CH"/>
          </w:rPr>
          <w:t>Introduction</w:t>
        </w:r>
        <w:r w:rsidR="000E737F">
          <w:rPr>
            <w:noProof/>
            <w:webHidden/>
          </w:rPr>
          <w:tab/>
        </w:r>
        <w:r w:rsidR="000E737F">
          <w:rPr>
            <w:noProof/>
            <w:webHidden/>
          </w:rPr>
          <w:fldChar w:fldCharType="begin"/>
        </w:r>
        <w:r w:rsidR="000E737F">
          <w:rPr>
            <w:noProof/>
            <w:webHidden/>
          </w:rPr>
          <w:instrText xml:space="preserve"> PAGEREF _Toc532996367 \h </w:instrText>
        </w:r>
        <w:r w:rsidR="000E737F">
          <w:rPr>
            <w:noProof/>
            <w:webHidden/>
          </w:rPr>
        </w:r>
        <w:r w:rsidR="000E737F">
          <w:rPr>
            <w:noProof/>
            <w:webHidden/>
          </w:rPr>
          <w:fldChar w:fldCharType="separate"/>
        </w:r>
        <w:r w:rsidR="001971CC">
          <w:rPr>
            <w:noProof/>
            <w:webHidden/>
          </w:rPr>
          <w:t>5</w:t>
        </w:r>
        <w:r w:rsidR="000E737F">
          <w:rPr>
            <w:noProof/>
            <w:webHidden/>
          </w:rPr>
          <w:fldChar w:fldCharType="end"/>
        </w:r>
      </w:hyperlink>
    </w:p>
    <w:p w14:paraId="2457B4D8" w14:textId="42611BA3" w:rsidR="000E737F" w:rsidRDefault="00A45DC6">
      <w:pPr>
        <w:pStyle w:val="Verzeichnis2"/>
        <w:rPr>
          <w:rFonts w:asciiTheme="minorHAnsi" w:eastAsiaTheme="minorEastAsia" w:hAnsiTheme="minorHAnsi" w:cstheme="minorBidi"/>
          <w:noProof/>
          <w:sz w:val="22"/>
          <w:szCs w:val="22"/>
        </w:rPr>
      </w:pPr>
      <w:hyperlink w:anchor="_Toc532996368" w:history="1">
        <w:r w:rsidR="000E737F" w:rsidRPr="00F95C92">
          <w:rPr>
            <w:rStyle w:val="Hyperlink"/>
            <w:rFonts w:eastAsia="Arial"/>
            <w:noProof/>
            <w:lang w:val="fr-CH"/>
            <w14:scene3d>
              <w14:camera w14:prst="orthographicFront"/>
              <w14:lightRig w14:rig="threePt" w14:dir="t">
                <w14:rot w14:lat="0" w14:lon="0" w14:rev="0"/>
              </w14:lightRig>
            </w14:scene3d>
          </w:rPr>
          <w:t>1.2</w:t>
        </w:r>
        <w:r w:rsidR="000E737F">
          <w:rPr>
            <w:rFonts w:asciiTheme="minorHAnsi" w:eastAsiaTheme="minorEastAsia" w:hAnsiTheme="minorHAnsi" w:cstheme="minorBidi"/>
            <w:noProof/>
            <w:sz w:val="22"/>
            <w:szCs w:val="22"/>
          </w:rPr>
          <w:tab/>
        </w:r>
        <w:r w:rsidR="000E737F" w:rsidRPr="00F95C92">
          <w:rPr>
            <w:rStyle w:val="Hyperlink"/>
            <w:rFonts w:eastAsia="Arial"/>
            <w:noProof/>
            <w:lang w:val="fr-CH"/>
          </w:rPr>
          <w:t>La planification alimentaire à la base du Plan sectoriel des SDA</w:t>
        </w:r>
        <w:r w:rsidR="000E737F">
          <w:rPr>
            <w:noProof/>
            <w:webHidden/>
          </w:rPr>
          <w:tab/>
        </w:r>
        <w:r w:rsidR="000E737F">
          <w:rPr>
            <w:noProof/>
            <w:webHidden/>
          </w:rPr>
          <w:fldChar w:fldCharType="begin"/>
        </w:r>
        <w:r w:rsidR="000E737F">
          <w:rPr>
            <w:noProof/>
            <w:webHidden/>
          </w:rPr>
          <w:instrText xml:space="preserve"> PAGEREF _Toc532996368 \h </w:instrText>
        </w:r>
        <w:r w:rsidR="000E737F">
          <w:rPr>
            <w:noProof/>
            <w:webHidden/>
          </w:rPr>
        </w:r>
        <w:r w:rsidR="000E737F">
          <w:rPr>
            <w:noProof/>
            <w:webHidden/>
          </w:rPr>
          <w:fldChar w:fldCharType="separate"/>
        </w:r>
        <w:r w:rsidR="001971CC">
          <w:rPr>
            <w:noProof/>
            <w:webHidden/>
          </w:rPr>
          <w:t>6</w:t>
        </w:r>
        <w:r w:rsidR="000E737F">
          <w:rPr>
            <w:noProof/>
            <w:webHidden/>
          </w:rPr>
          <w:fldChar w:fldCharType="end"/>
        </w:r>
      </w:hyperlink>
    </w:p>
    <w:p w14:paraId="00BD471A" w14:textId="77777777" w:rsidR="000E737F" w:rsidRDefault="000E737F">
      <w:pPr>
        <w:pStyle w:val="Verzeichnis2"/>
        <w:rPr>
          <w:rStyle w:val="Hyperlink"/>
          <w:noProof/>
          <w:lang w:val="fr-CH"/>
        </w:rPr>
      </w:pPr>
      <w:r w:rsidRPr="00F95C92">
        <w:rPr>
          <w:rStyle w:val="Hyperlink"/>
          <w:noProof/>
        </w:rPr>
        <w:fldChar w:fldCharType="begin"/>
      </w:r>
      <w:r w:rsidRPr="00F95C92">
        <w:rPr>
          <w:rStyle w:val="Hyperlink"/>
          <w:noProof/>
        </w:rPr>
        <w:instrText xml:space="preserve"> </w:instrText>
      </w:r>
      <w:r>
        <w:rPr>
          <w:noProof/>
        </w:rPr>
        <w:instrText>HYPERLINK \l "_Toc532996369"</w:instrText>
      </w:r>
      <w:r w:rsidRPr="00F95C92">
        <w:rPr>
          <w:rStyle w:val="Hyperlink"/>
          <w:noProof/>
        </w:rPr>
        <w:instrText xml:space="preserve"> </w:instrText>
      </w:r>
      <w:r w:rsidRPr="00F95C92">
        <w:rPr>
          <w:rStyle w:val="Hyperlink"/>
          <w:noProof/>
        </w:rPr>
        <w:fldChar w:fldCharType="separate"/>
      </w:r>
      <w:r w:rsidRPr="00F95C92">
        <w:rPr>
          <w:rStyle w:val="Hyperlink"/>
          <w:noProof/>
          <w:lang w:val="fr-CH"/>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rPr>
        <w:tab/>
      </w:r>
      <w:r w:rsidRPr="00F95C92">
        <w:rPr>
          <w:rStyle w:val="Hyperlink"/>
          <w:noProof/>
          <w:lang w:val="fr-CH"/>
        </w:rPr>
        <w:t>Insuffisance des informations sur les sols </w:t>
      </w:r>
      <w:r>
        <w:rPr>
          <w:rStyle w:val="Hyperlink"/>
          <w:noProof/>
          <w:lang w:val="fr-CH"/>
        </w:rPr>
        <w:t>: deux phases de remaniement du</w:t>
      </w:r>
    </w:p>
    <w:p w14:paraId="53C197D0" w14:textId="713D4C31" w:rsidR="000E737F" w:rsidRDefault="000E737F">
      <w:pPr>
        <w:pStyle w:val="Verzeichnis2"/>
        <w:rPr>
          <w:rFonts w:asciiTheme="minorHAnsi" w:eastAsiaTheme="minorEastAsia" w:hAnsiTheme="minorHAnsi" w:cstheme="minorBidi"/>
          <w:noProof/>
          <w:sz w:val="22"/>
          <w:szCs w:val="22"/>
        </w:rPr>
      </w:pPr>
      <w:r>
        <w:rPr>
          <w:rStyle w:val="Hyperlink"/>
          <w:noProof/>
          <w:lang w:val="fr-CH"/>
        </w:rPr>
        <w:tab/>
      </w:r>
      <w:r w:rsidRPr="00F95C92">
        <w:rPr>
          <w:rStyle w:val="Hyperlink"/>
          <w:noProof/>
          <w:lang w:val="fr-CH"/>
        </w:rPr>
        <w:t>Plan sectoriel SDA</w:t>
      </w:r>
      <w:r>
        <w:rPr>
          <w:noProof/>
          <w:webHidden/>
        </w:rPr>
        <w:tab/>
      </w:r>
      <w:r>
        <w:rPr>
          <w:noProof/>
          <w:webHidden/>
        </w:rPr>
        <w:fldChar w:fldCharType="begin"/>
      </w:r>
      <w:r>
        <w:rPr>
          <w:noProof/>
          <w:webHidden/>
        </w:rPr>
        <w:instrText xml:space="preserve"> PAGEREF _Toc532996369 \h </w:instrText>
      </w:r>
      <w:r>
        <w:rPr>
          <w:noProof/>
          <w:webHidden/>
        </w:rPr>
      </w:r>
      <w:r>
        <w:rPr>
          <w:noProof/>
          <w:webHidden/>
        </w:rPr>
        <w:fldChar w:fldCharType="separate"/>
      </w:r>
      <w:r w:rsidR="001971CC">
        <w:rPr>
          <w:noProof/>
          <w:webHidden/>
        </w:rPr>
        <w:t>7</w:t>
      </w:r>
      <w:r>
        <w:rPr>
          <w:noProof/>
          <w:webHidden/>
        </w:rPr>
        <w:fldChar w:fldCharType="end"/>
      </w:r>
      <w:r w:rsidRPr="00F95C92">
        <w:rPr>
          <w:rStyle w:val="Hyperlink"/>
          <w:noProof/>
        </w:rPr>
        <w:fldChar w:fldCharType="end"/>
      </w:r>
    </w:p>
    <w:p w14:paraId="44E9DC21" w14:textId="516AC264" w:rsidR="000E737F" w:rsidRDefault="00A45DC6">
      <w:pPr>
        <w:pStyle w:val="Verzeichnis1"/>
        <w:rPr>
          <w:rFonts w:asciiTheme="minorHAnsi" w:eastAsiaTheme="minorEastAsia" w:hAnsiTheme="minorHAnsi" w:cstheme="minorBidi"/>
          <w:b w:val="0"/>
          <w:sz w:val="22"/>
          <w:szCs w:val="22"/>
        </w:rPr>
      </w:pPr>
      <w:hyperlink w:anchor="_Toc532996370" w:history="1">
        <w:r w:rsidR="000E737F" w:rsidRPr="00F95C92">
          <w:rPr>
            <w:rStyle w:val="Hyperlink"/>
            <w:lang w:val="fr-CH"/>
          </w:rPr>
          <w:t>2</w:t>
        </w:r>
        <w:r w:rsidR="000E737F">
          <w:rPr>
            <w:rFonts w:asciiTheme="minorHAnsi" w:eastAsiaTheme="minorEastAsia" w:hAnsiTheme="minorHAnsi" w:cstheme="minorBidi"/>
            <w:b w:val="0"/>
            <w:sz w:val="22"/>
            <w:szCs w:val="22"/>
          </w:rPr>
          <w:tab/>
        </w:r>
        <w:r w:rsidR="000E737F" w:rsidRPr="00F95C92">
          <w:rPr>
            <w:rStyle w:val="Hyperlink"/>
            <w:lang w:val="fr-CH"/>
          </w:rPr>
          <w:t>Finalité et utilisation du Plan sectoriel</w:t>
        </w:r>
        <w:r w:rsidR="000E737F">
          <w:rPr>
            <w:webHidden/>
          </w:rPr>
          <w:tab/>
        </w:r>
        <w:r w:rsidR="000E737F">
          <w:rPr>
            <w:webHidden/>
          </w:rPr>
          <w:fldChar w:fldCharType="begin"/>
        </w:r>
        <w:r w:rsidR="000E737F">
          <w:rPr>
            <w:webHidden/>
          </w:rPr>
          <w:instrText xml:space="preserve"> PAGEREF _Toc532996370 \h </w:instrText>
        </w:r>
        <w:r w:rsidR="000E737F">
          <w:rPr>
            <w:webHidden/>
          </w:rPr>
        </w:r>
        <w:r w:rsidR="000E737F">
          <w:rPr>
            <w:webHidden/>
          </w:rPr>
          <w:fldChar w:fldCharType="separate"/>
        </w:r>
        <w:r w:rsidR="001971CC">
          <w:rPr>
            <w:webHidden/>
          </w:rPr>
          <w:t>9</w:t>
        </w:r>
        <w:r w:rsidR="000E737F">
          <w:rPr>
            <w:webHidden/>
          </w:rPr>
          <w:fldChar w:fldCharType="end"/>
        </w:r>
      </w:hyperlink>
    </w:p>
    <w:p w14:paraId="5AAEC876" w14:textId="11CF757F" w:rsidR="000E737F" w:rsidRDefault="00A45DC6">
      <w:pPr>
        <w:pStyle w:val="Verzeichnis2"/>
        <w:rPr>
          <w:rFonts w:asciiTheme="minorHAnsi" w:eastAsiaTheme="minorEastAsia" w:hAnsiTheme="minorHAnsi" w:cstheme="minorBidi"/>
          <w:noProof/>
          <w:sz w:val="22"/>
          <w:szCs w:val="22"/>
        </w:rPr>
      </w:pPr>
      <w:hyperlink w:anchor="_Toc532996371" w:history="1">
        <w:r w:rsidR="000E737F" w:rsidRPr="00F95C92">
          <w:rPr>
            <w:rStyle w:val="Hyperlink"/>
            <w:noProof/>
            <w:lang w:val="fr-CH"/>
            <w14:scene3d>
              <w14:camera w14:prst="orthographicFront"/>
              <w14:lightRig w14:rig="threePt" w14:dir="t">
                <w14:rot w14:lat="0" w14:lon="0" w14:rev="0"/>
              </w14:lightRig>
            </w14:scene3d>
          </w:rPr>
          <w:t>2.1</w:t>
        </w:r>
        <w:r w:rsidR="000E737F">
          <w:rPr>
            <w:rFonts w:asciiTheme="minorHAnsi" w:eastAsiaTheme="minorEastAsia" w:hAnsiTheme="minorHAnsi" w:cstheme="minorBidi"/>
            <w:noProof/>
            <w:sz w:val="22"/>
            <w:szCs w:val="22"/>
          </w:rPr>
          <w:tab/>
        </w:r>
        <w:r w:rsidR="000E737F" w:rsidRPr="00F95C92">
          <w:rPr>
            <w:rStyle w:val="Hyperlink"/>
            <w:noProof/>
            <w:lang w:val="fr-CH"/>
          </w:rPr>
          <w:t>Finalité</w:t>
        </w:r>
        <w:r w:rsidR="000E737F">
          <w:rPr>
            <w:noProof/>
            <w:webHidden/>
          </w:rPr>
          <w:tab/>
        </w:r>
        <w:r w:rsidR="000E737F">
          <w:rPr>
            <w:noProof/>
            <w:webHidden/>
          </w:rPr>
          <w:fldChar w:fldCharType="begin"/>
        </w:r>
        <w:r w:rsidR="000E737F">
          <w:rPr>
            <w:noProof/>
            <w:webHidden/>
          </w:rPr>
          <w:instrText xml:space="preserve"> PAGEREF _Toc532996371 \h </w:instrText>
        </w:r>
        <w:r w:rsidR="000E737F">
          <w:rPr>
            <w:noProof/>
            <w:webHidden/>
          </w:rPr>
        </w:r>
        <w:r w:rsidR="000E737F">
          <w:rPr>
            <w:noProof/>
            <w:webHidden/>
          </w:rPr>
          <w:fldChar w:fldCharType="separate"/>
        </w:r>
        <w:r w:rsidR="001971CC">
          <w:rPr>
            <w:noProof/>
            <w:webHidden/>
          </w:rPr>
          <w:t>9</w:t>
        </w:r>
        <w:r w:rsidR="000E737F">
          <w:rPr>
            <w:noProof/>
            <w:webHidden/>
          </w:rPr>
          <w:fldChar w:fldCharType="end"/>
        </w:r>
      </w:hyperlink>
    </w:p>
    <w:p w14:paraId="7E4D34F9" w14:textId="1AA010FF" w:rsidR="000E737F" w:rsidRDefault="00A45DC6">
      <w:pPr>
        <w:pStyle w:val="Verzeichnis2"/>
        <w:rPr>
          <w:rFonts w:asciiTheme="minorHAnsi" w:eastAsiaTheme="minorEastAsia" w:hAnsiTheme="minorHAnsi" w:cstheme="minorBidi"/>
          <w:noProof/>
          <w:sz w:val="22"/>
          <w:szCs w:val="22"/>
        </w:rPr>
      </w:pPr>
      <w:hyperlink w:anchor="_Toc532996372" w:history="1">
        <w:r w:rsidR="000E737F" w:rsidRPr="00F95C92">
          <w:rPr>
            <w:rStyle w:val="Hyperlink"/>
            <w:noProof/>
            <w:lang w:val="fr-CH"/>
            <w14:scene3d>
              <w14:camera w14:prst="orthographicFront"/>
              <w14:lightRig w14:rig="threePt" w14:dir="t">
                <w14:rot w14:lat="0" w14:lon="0" w14:rev="0"/>
              </w14:lightRig>
            </w14:scene3d>
          </w:rPr>
          <w:t>2.2</w:t>
        </w:r>
        <w:r w:rsidR="000E737F">
          <w:rPr>
            <w:rFonts w:asciiTheme="minorHAnsi" w:eastAsiaTheme="minorEastAsia" w:hAnsiTheme="minorHAnsi" w:cstheme="minorBidi"/>
            <w:noProof/>
            <w:sz w:val="22"/>
            <w:szCs w:val="22"/>
          </w:rPr>
          <w:tab/>
        </w:r>
        <w:r w:rsidR="000E737F" w:rsidRPr="00F95C92">
          <w:rPr>
            <w:rStyle w:val="Hyperlink"/>
            <w:noProof/>
            <w:lang w:val="fr-CH"/>
          </w:rPr>
          <w:t>Portée et champ d’application</w:t>
        </w:r>
        <w:r w:rsidR="000E737F">
          <w:rPr>
            <w:noProof/>
            <w:webHidden/>
          </w:rPr>
          <w:tab/>
        </w:r>
        <w:r w:rsidR="000E737F">
          <w:rPr>
            <w:noProof/>
            <w:webHidden/>
          </w:rPr>
          <w:fldChar w:fldCharType="begin"/>
        </w:r>
        <w:r w:rsidR="000E737F">
          <w:rPr>
            <w:noProof/>
            <w:webHidden/>
          </w:rPr>
          <w:instrText xml:space="preserve"> PAGEREF _Toc532996372 \h </w:instrText>
        </w:r>
        <w:r w:rsidR="000E737F">
          <w:rPr>
            <w:noProof/>
            <w:webHidden/>
          </w:rPr>
        </w:r>
        <w:r w:rsidR="000E737F">
          <w:rPr>
            <w:noProof/>
            <w:webHidden/>
          </w:rPr>
          <w:fldChar w:fldCharType="separate"/>
        </w:r>
        <w:r w:rsidR="001971CC">
          <w:rPr>
            <w:noProof/>
            <w:webHidden/>
          </w:rPr>
          <w:t>9</w:t>
        </w:r>
        <w:r w:rsidR="000E737F">
          <w:rPr>
            <w:noProof/>
            <w:webHidden/>
          </w:rPr>
          <w:fldChar w:fldCharType="end"/>
        </w:r>
      </w:hyperlink>
    </w:p>
    <w:p w14:paraId="72F63A0D" w14:textId="0FE54F68" w:rsidR="000E737F" w:rsidRDefault="00A45DC6">
      <w:pPr>
        <w:pStyle w:val="Verzeichnis1"/>
        <w:rPr>
          <w:rFonts w:asciiTheme="minorHAnsi" w:eastAsiaTheme="minorEastAsia" w:hAnsiTheme="minorHAnsi" w:cstheme="minorBidi"/>
          <w:b w:val="0"/>
          <w:sz w:val="22"/>
          <w:szCs w:val="22"/>
        </w:rPr>
      </w:pPr>
      <w:hyperlink w:anchor="_Toc532996373" w:history="1">
        <w:r w:rsidR="000E737F" w:rsidRPr="00F95C92">
          <w:rPr>
            <w:rStyle w:val="Hyperlink"/>
            <w:lang w:val="fr-CH"/>
          </w:rPr>
          <w:t>3</w:t>
        </w:r>
        <w:r w:rsidR="000E737F">
          <w:rPr>
            <w:rFonts w:asciiTheme="minorHAnsi" w:eastAsiaTheme="minorEastAsia" w:hAnsiTheme="minorHAnsi" w:cstheme="minorBidi"/>
            <w:b w:val="0"/>
            <w:sz w:val="22"/>
            <w:szCs w:val="22"/>
          </w:rPr>
          <w:tab/>
        </w:r>
        <w:r w:rsidR="000E737F" w:rsidRPr="00F95C92">
          <w:rPr>
            <w:rStyle w:val="Hyperlink"/>
            <w:lang w:val="fr-CH"/>
          </w:rPr>
          <w:t>But et indications contraignantes</w:t>
        </w:r>
        <w:r w:rsidR="000E737F">
          <w:rPr>
            <w:webHidden/>
          </w:rPr>
          <w:tab/>
        </w:r>
        <w:r w:rsidR="000E737F">
          <w:rPr>
            <w:webHidden/>
          </w:rPr>
          <w:fldChar w:fldCharType="begin"/>
        </w:r>
        <w:r w:rsidR="000E737F">
          <w:rPr>
            <w:webHidden/>
          </w:rPr>
          <w:instrText xml:space="preserve"> PAGEREF _Toc532996373 \h </w:instrText>
        </w:r>
        <w:r w:rsidR="000E737F">
          <w:rPr>
            <w:webHidden/>
          </w:rPr>
        </w:r>
        <w:r w:rsidR="000E737F">
          <w:rPr>
            <w:webHidden/>
          </w:rPr>
          <w:fldChar w:fldCharType="separate"/>
        </w:r>
        <w:r w:rsidR="001971CC">
          <w:rPr>
            <w:webHidden/>
          </w:rPr>
          <w:t>10</w:t>
        </w:r>
        <w:r w:rsidR="000E737F">
          <w:rPr>
            <w:webHidden/>
          </w:rPr>
          <w:fldChar w:fldCharType="end"/>
        </w:r>
      </w:hyperlink>
    </w:p>
    <w:p w14:paraId="6B1DFFD4" w14:textId="60998A3D" w:rsidR="000E737F" w:rsidRDefault="00A45DC6">
      <w:pPr>
        <w:pStyle w:val="Verzeichnis2"/>
        <w:rPr>
          <w:rFonts w:asciiTheme="minorHAnsi" w:eastAsiaTheme="minorEastAsia" w:hAnsiTheme="minorHAnsi" w:cstheme="minorBidi"/>
          <w:noProof/>
          <w:sz w:val="22"/>
          <w:szCs w:val="22"/>
        </w:rPr>
      </w:pPr>
      <w:hyperlink w:anchor="_Toc532996374" w:history="1">
        <w:r w:rsidR="000E737F" w:rsidRPr="00F95C92">
          <w:rPr>
            <w:rStyle w:val="Hyperlink"/>
            <w:noProof/>
            <w:lang w:val="fr-CH"/>
            <w14:scene3d>
              <w14:camera w14:prst="orthographicFront"/>
              <w14:lightRig w14:rig="threePt" w14:dir="t">
                <w14:rot w14:lat="0" w14:lon="0" w14:rev="0"/>
              </w14:lightRig>
            </w14:scene3d>
          </w:rPr>
          <w:t>3.1</w:t>
        </w:r>
        <w:r w:rsidR="000E737F">
          <w:rPr>
            <w:rFonts w:asciiTheme="minorHAnsi" w:eastAsiaTheme="minorEastAsia" w:hAnsiTheme="minorHAnsi" w:cstheme="minorBidi"/>
            <w:noProof/>
            <w:sz w:val="22"/>
            <w:szCs w:val="22"/>
          </w:rPr>
          <w:tab/>
        </w:r>
        <w:r w:rsidR="000E737F" w:rsidRPr="00F95C92">
          <w:rPr>
            <w:rStyle w:val="Hyperlink"/>
            <w:noProof/>
            <w:lang w:val="fr-CH"/>
          </w:rPr>
          <w:t>But</w:t>
        </w:r>
        <w:r w:rsidR="000E737F">
          <w:rPr>
            <w:noProof/>
            <w:webHidden/>
          </w:rPr>
          <w:tab/>
        </w:r>
        <w:r w:rsidR="000E737F">
          <w:rPr>
            <w:noProof/>
            <w:webHidden/>
          </w:rPr>
          <w:fldChar w:fldCharType="begin"/>
        </w:r>
        <w:r w:rsidR="000E737F">
          <w:rPr>
            <w:noProof/>
            <w:webHidden/>
          </w:rPr>
          <w:instrText xml:space="preserve"> PAGEREF _Toc532996374 \h </w:instrText>
        </w:r>
        <w:r w:rsidR="000E737F">
          <w:rPr>
            <w:noProof/>
            <w:webHidden/>
          </w:rPr>
        </w:r>
        <w:r w:rsidR="000E737F">
          <w:rPr>
            <w:noProof/>
            <w:webHidden/>
          </w:rPr>
          <w:fldChar w:fldCharType="separate"/>
        </w:r>
        <w:r w:rsidR="001971CC">
          <w:rPr>
            <w:noProof/>
            <w:webHidden/>
          </w:rPr>
          <w:t>10</w:t>
        </w:r>
        <w:r w:rsidR="000E737F">
          <w:rPr>
            <w:noProof/>
            <w:webHidden/>
          </w:rPr>
          <w:fldChar w:fldCharType="end"/>
        </w:r>
      </w:hyperlink>
    </w:p>
    <w:p w14:paraId="78EC52A3" w14:textId="62524D75" w:rsidR="000E737F" w:rsidRDefault="00A45DC6">
      <w:pPr>
        <w:pStyle w:val="Verzeichnis2"/>
        <w:rPr>
          <w:rFonts w:asciiTheme="minorHAnsi" w:eastAsiaTheme="minorEastAsia" w:hAnsiTheme="minorHAnsi" w:cstheme="minorBidi"/>
          <w:noProof/>
          <w:sz w:val="22"/>
          <w:szCs w:val="22"/>
        </w:rPr>
      </w:pPr>
      <w:hyperlink w:anchor="_Toc532996375" w:history="1">
        <w:r w:rsidR="000E737F" w:rsidRPr="00F95C92">
          <w:rPr>
            <w:rStyle w:val="Hyperlink"/>
            <w:noProof/>
            <w:lang w:val="fr-CH"/>
            <w14:scene3d>
              <w14:camera w14:prst="orthographicFront"/>
              <w14:lightRig w14:rig="threePt" w14:dir="t">
                <w14:rot w14:lat="0" w14:lon="0" w14:rev="0"/>
              </w14:lightRig>
            </w14:scene3d>
          </w:rPr>
          <w:t>3.2</w:t>
        </w:r>
        <w:r w:rsidR="000E737F">
          <w:rPr>
            <w:rFonts w:asciiTheme="minorHAnsi" w:eastAsiaTheme="minorEastAsia" w:hAnsiTheme="minorHAnsi" w:cstheme="minorBidi"/>
            <w:noProof/>
            <w:sz w:val="22"/>
            <w:szCs w:val="22"/>
          </w:rPr>
          <w:tab/>
        </w:r>
        <w:r w:rsidR="000E737F" w:rsidRPr="00F95C92">
          <w:rPr>
            <w:rStyle w:val="Hyperlink"/>
            <w:noProof/>
            <w:lang w:val="fr-CH"/>
          </w:rPr>
          <w:t>Indications contraignantes</w:t>
        </w:r>
        <w:r w:rsidR="000E737F">
          <w:rPr>
            <w:noProof/>
            <w:webHidden/>
          </w:rPr>
          <w:tab/>
        </w:r>
        <w:r w:rsidR="000E737F">
          <w:rPr>
            <w:noProof/>
            <w:webHidden/>
          </w:rPr>
          <w:fldChar w:fldCharType="begin"/>
        </w:r>
        <w:r w:rsidR="000E737F">
          <w:rPr>
            <w:noProof/>
            <w:webHidden/>
          </w:rPr>
          <w:instrText xml:space="preserve"> PAGEREF _Toc532996375 \h </w:instrText>
        </w:r>
        <w:r w:rsidR="000E737F">
          <w:rPr>
            <w:noProof/>
            <w:webHidden/>
          </w:rPr>
        </w:r>
        <w:r w:rsidR="000E737F">
          <w:rPr>
            <w:noProof/>
            <w:webHidden/>
          </w:rPr>
          <w:fldChar w:fldCharType="separate"/>
        </w:r>
        <w:r w:rsidR="001971CC">
          <w:rPr>
            <w:noProof/>
            <w:webHidden/>
          </w:rPr>
          <w:t>10</w:t>
        </w:r>
        <w:r w:rsidR="000E737F">
          <w:rPr>
            <w:noProof/>
            <w:webHidden/>
          </w:rPr>
          <w:fldChar w:fldCharType="end"/>
        </w:r>
      </w:hyperlink>
    </w:p>
    <w:p w14:paraId="1D2B2357" w14:textId="6568541D" w:rsidR="000E737F" w:rsidRDefault="00A45DC6">
      <w:pPr>
        <w:pStyle w:val="Verzeichnis1"/>
        <w:rPr>
          <w:rFonts w:asciiTheme="minorHAnsi" w:eastAsiaTheme="minorEastAsia" w:hAnsiTheme="minorHAnsi" w:cstheme="minorBidi"/>
          <w:b w:val="0"/>
          <w:sz w:val="22"/>
          <w:szCs w:val="22"/>
        </w:rPr>
      </w:pPr>
      <w:hyperlink w:anchor="_Toc532996376" w:history="1">
        <w:r w:rsidR="000E737F" w:rsidRPr="00F95C92">
          <w:rPr>
            <w:rStyle w:val="Hyperlink"/>
            <w:lang w:val="fr-CH"/>
          </w:rPr>
          <w:t>4</w:t>
        </w:r>
        <w:r w:rsidR="000E737F">
          <w:rPr>
            <w:rFonts w:asciiTheme="minorHAnsi" w:eastAsiaTheme="minorEastAsia" w:hAnsiTheme="minorHAnsi" w:cstheme="minorBidi"/>
            <w:b w:val="0"/>
            <w:sz w:val="22"/>
            <w:szCs w:val="22"/>
          </w:rPr>
          <w:tab/>
        </w:r>
        <w:r w:rsidR="000E737F" w:rsidRPr="00F95C92">
          <w:rPr>
            <w:rStyle w:val="Hyperlink"/>
            <w:lang w:val="fr-CH"/>
          </w:rPr>
          <w:t>Principes applicables au traitement des surfaces d’assolement</w:t>
        </w:r>
        <w:r w:rsidR="000E737F">
          <w:rPr>
            <w:webHidden/>
          </w:rPr>
          <w:tab/>
        </w:r>
        <w:r w:rsidR="000E737F">
          <w:rPr>
            <w:webHidden/>
          </w:rPr>
          <w:fldChar w:fldCharType="begin"/>
        </w:r>
        <w:r w:rsidR="000E737F">
          <w:rPr>
            <w:webHidden/>
          </w:rPr>
          <w:instrText xml:space="preserve"> PAGEREF _Toc532996376 \h </w:instrText>
        </w:r>
        <w:r w:rsidR="000E737F">
          <w:rPr>
            <w:webHidden/>
          </w:rPr>
        </w:r>
        <w:r w:rsidR="000E737F">
          <w:rPr>
            <w:webHidden/>
          </w:rPr>
          <w:fldChar w:fldCharType="separate"/>
        </w:r>
        <w:r w:rsidR="001971CC">
          <w:rPr>
            <w:webHidden/>
          </w:rPr>
          <w:t>11</w:t>
        </w:r>
        <w:r w:rsidR="000E737F">
          <w:rPr>
            <w:webHidden/>
          </w:rPr>
          <w:fldChar w:fldCharType="end"/>
        </w:r>
      </w:hyperlink>
    </w:p>
    <w:p w14:paraId="1AF77848" w14:textId="52D06336" w:rsidR="000E737F" w:rsidRDefault="00A45DC6">
      <w:pPr>
        <w:pStyle w:val="Verzeichnis1"/>
        <w:rPr>
          <w:rFonts w:asciiTheme="minorHAnsi" w:eastAsiaTheme="minorEastAsia" w:hAnsiTheme="minorHAnsi" w:cstheme="minorBidi"/>
          <w:b w:val="0"/>
          <w:sz w:val="22"/>
          <w:szCs w:val="22"/>
        </w:rPr>
      </w:pPr>
      <w:hyperlink w:anchor="_Toc532996377" w:history="1">
        <w:r w:rsidR="000E737F" w:rsidRPr="00F95C92">
          <w:rPr>
            <w:rStyle w:val="Hyperlink"/>
            <w:lang w:val="fr-CH"/>
          </w:rPr>
          <w:t>5</w:t>
        </w:r>
        <w:r w:rsidR="000E737F">
          <w:rPr>
            <w:rFonts w:asciiTheme="minorHAnsi" w:eastAsiaTheme="minorEastAsia" w:hAnsiTheme="minorHAnsi" w:cstheme="minorBidi"/>
            <w:b w:val="0"/>
            <w:sz w:val="22"/>
            <w:szCs w:val="22"/>
          </w:rPr>
          <w:tab/>
        </w:r>
        <w:r w:rsidR="000E737F" w:rsidRPr="00F95C92">
          <w:rPr>
            <w:rStyle w:val="Hyperlink"/>
            <w:lang w:val="fr-CH"/>
          </w:rPr>
          <w:t>Application et mise en œuvre du Plan sectoriel</w:t>
        </w:r>
        <w:r w:rsidR="000E737F">
          <w:rPr>
            <w:webHidden/>
          </w:rPr>
          <w:tab/>
        </w:r>
        <w:r w:rsidR="000E737F">
          <w:rPr>
            <w:webHidden/>
          </w:rPr>
          <w:fldChar w:fldCharType="begin"/>
        </w:r>
        <w:r w:rsidR="000E737F">
          <w:rPr>
            <w:webHidden/>
          </w:rPr>
          <w:instrText xml:space="preserve"> PAGEREF _Toc532996377 \h </w:instrText>
        </w:r>
        <w:r w:rsidR="000E737F">
          <w:rPr>
            <w:webHidden/>
          </w:rPr>
        </w:r>
        <w:r w:rsidR="000E737F">
          <w:rPr>
            <w:webHidden/>
          </w:rPr>
          <w:fldChar w:fldCharType="separate"/>
        </w:r>
        <w:r w:rsidR="001971CC">
          <w:rPr>
            <w:webHidden/>
          </w:rPr>
          <w:t>15</w:t>
        </w:r>
        <w:r w:rsidR="000E737F">
          <w:rPr>
            <w:webHidden/>
          </w:rPr>
          <w:fldChar w:fldCharType="end"/>
        </w:r>
      </w:hyperlink>
    </w:p>
    <w:p w14:paraId="22CE1410" w14:textId="4D1175B0" w:rsidR="000E737F" w:rsidRDefault="00A45DC6">
      <w:pPr>
        <w:pStyle w:val="Verzeichnis2"/>
        <w:rPr>
          <w:rFonts w:asciiTheme="minorHAnsi" w:eastAsiaTheme="minorEastAsia" w:hAnsiTheme="minorHAnsi" w:cstheme="minorBidi"/>
          <w:noProof/>
          <w:sz w:val="22"/>
          <w:szCs w:val="22"/>
        </w:rPr>
      </w:pPr>
      <w:hyperlink w:anchor="_Toc532996378" w:history="1">
        <w:r w:rsidR="000E737F" w:rsidRPr="00F95C92">
          <w:rPr>
            <w:rStyle w:val="Hyperlink"/>
            <w:noProof/>
            <w:lang w:val="fr-CH"/>
            <w14:scene3d>
              <w14:camera w14:prst="orthographicFront"/>
              <w14:lightRig w14:rig="threePt" w14:dir="t">
                <w14:rot w14:lat="0" w14:lon="0" w14:rev="0"/>
              </w14:lightRig>
            </w14:scene3d>
          </w:rPr>
          <w:t>5.1</w:t>
        </w:r>
        <w:r w:rsidR="000E737F">
          <w:rPr>
            <w:rFonts w:asciiTheme="minorHAnsi" w:eastAsiaTheme="minorEastAsia" w:hAnsiTheme="minorHAnsi" w:cstheme="minorBidi"/>
            <w:noProof/>
            <w:sz w:val="22"/>
            <w:szCs w:val="22"/>
          </w:rPr>
          <w:tab/>
        </w:r>
        <w:r w:rsidR="000E737F" w:rsidRPr="00F95C92">
          <w:rPr>
            <w:rStyle w:val="Hyperlink"/>
            <w:noProof/>
            <w:lang w:val="fr-CH"/>
          </w:rPr>
          <w:t>Les SDA et la pesée des intérêts en présence</w:t>
        </w:r>
        <w:r w:rsidR="000E737F">
          <w:rPr>
            <w:noProof/>
            <w:webHidden/>
          </w:rPr>
          <w:tab/>
        </w:r>
        <w:r w:rsidR="000E737F">
          <w:rPr>
            <w:noProof/>
            <w:webHidden/>
          </w:rPr>
          <w:fldChar w:fldCharType="begin"/>
        </w:r>
        <w:r w:rsidR="000E737F">
          <w:rPr>
            <w:noProof/>
            <w:webHidden/>
          </w:rPr>
          <w:instrText xml:space="preserve"> PAGEREF _Toc532996378 \h </w:instrText>
        </w:r>
        <w:r w:rsidR="000E737F">
          <w:rPr>
            <w:noProof/>
            <w:webHidden/>
          </w:rPr>
        </w:r>
        <w:r w:rsidR="000E737F">
          <w:rPr>
            <w:noProof/>
            <w:webHidden/>
          </w:rPr>
          <w:fldChar w:fldCharType="separate"/>
        </w:r>
        <w:r w:rsidR="001971CC">
          <w:rPr>
            <w:noProof/>
            <w:webHidden/>
          </w:rPr>
          <w:t>15</w:t>
        </w:r>
        <w:r w:rsidR="000E737F">
          <w:rPr>
            <w:noProof/>
            <w:webHidden/>
          </w:rPr>
          <w:fldChar w:fldCharType="end"/>
        </w:r>
      </w:hyperlink>
    </w:p>
    <w:p w14:paraId="56E45C3D" w14:textId="7C29F3A2" w:rsidR="000E737F" w:rsidRDefault="00A45DC6">
      <w:pPr>
        <w:pStyle w:val="Verzeichnis2"/>
        <w:rPr>
          <w:rFonts w:asciiTheme="minorHAnsi" w:eastAsiaTheme="minorEastAsia" w:hAnsiTheme="minorHAnsi" w:cstheme="minorBidi"/>
          <w:noProof/>
          <w:sz w:val="22"/>
          <w:szCs w:val="22"/>
        </w:rPr>
      </w:pPr>
      <w:hyperlink w:anchor="_Toc532996379" w:history="1">
        <w:r w:rsidR="000E737F" w:rsidRPr="00F95C92">
          <w:rPr>
            <w:rStyle w:val="Hyperlink"/>
            <w:noProof/>
            <w:lang w:val="fr-CH"/>
            <w14:scene3d>
              <w14:camera w14:prst="orthographicFront"/>
              <w14:lightRig w14:rig="threePt" w14:dir="t">
                <w14:rot w14:lat="0" w14:lon="0" w14:rev="0"/>
              </w14:lightRig>
            </w14:scene3d>
          </w:rPr>
          <w:t>5.2</w:t>
        </w:r>
        <w:r w:rsidR="000E737F">
          <w:rPr>
            <w:rFonts w:asciiTheme="minorHAnsi" w:eastAsiaTheme="minorEastAsia" w:hAnsiTheme="minorHAnsi" w:cstheme="minorBidi"/>
            <w:noProof/>
            <w:sz w:val="22"/>
            <w:szCs w:val="22"/>
          </w:rPr>
          <w:tab/>
        </w:r>
        <w:r w:rsidR="000E737F" w:rsidRPr="00F95C92">
          <w:rPr>
            <w:rStyle w:val="Hyperlink"/>
            <w:noProof/>
            <w:lang w:val="fr-CH"/>
          </w:rPr>
          <w:t>Obligations des différentes autorités</w:t>
        </w:r>
        <w:r w:rsidR="000E737F">
          <w:rPr>
            <w:noProof/>
            <w:webHidden/>
          </w:rPr>
          <w:tab/>
        </w:r>
        <w:r w:rsidR="000E737F">
          <w:rPr>
            <w:noProof/>
            <w:webHidden/>
          </w:rPr>
          <w:fldChar w:fldCharType="begin"/>
        </w:r>
        <w:r w:rsidR="000E737F">
          <w:rPr>
            <w:noProof/>
            <w:webHidden/>
          </w:rPr>
          <w:instrText xml:space="preserve"> PAGEREF _Toc532996379 \h </w:instrText>
        </w:r>
        <w:r w:rsidR="000E737F">
          <w:rPr>
            <w:noProof/>
            <w:webHidden/>
          </w:rPr>
        </w:r>
        <w:r w:rsidR="000E737F">
          <w:rPr>
            <w:noProof/>
            <w:webHidden/>
          </w:rPr>
          <w:fldChar w:fldCharType="separate"/>
        </w:r>
        <w:r w:rsidR="001971CC">
          <w:rPr>
            <w:noProof/>
            <w:webHidden/>
          </w:rPr>
          <w:t>15</w:t>
        </w:r>
        <w:r w:rsidR="000E737F">
          <w:rPr>
            <w:noProof/>
            <w:webHidden/>
          </w:rPr>
          <w:fldChar w:fldCharType="end"/>
        </w:r>
      </w:hyperlink>
    </w:p>
    <w:p w14:paraId="11B3735E" w14:textId="42CAFD36" w:rsidR="000E737F" w:rsidRDefault="00A45DC6">
      <w:pPr>
        <w:pStyle w:val="Verzeichnis1"/>
        <w:rPr>
          <w:rFonts w:asciiTheme="minorHAnsi" w:eastAsiaTheme="minorEastAsia" w:hAnsiTheme="minorHAnsi" w:cstheme="minorBidi"/>
          <w:b w:val="0"/>
          <w:sz w:val="22"/>
          <w:szCs w:val="22"/>
        </w:rPr>
      </w:pPr>
      <w:hyperlink w:anchor="_Toc532996380" w:history="1">
        <w:r w:rsidR="000E737F" w:rsidRPr="00F95C92">
          <w:rPr>
            <w:rStyle w:val="Hyperlink"/>
            <w:lang w:val="fr-CH"/>
          </w:rPr>
          <w:t>6</w:t>
        </w:r>
        <w:r w:rsidR="000E737F">
          <w:rPr>
            <w:rFonts w:asciiTheme="minorHAnsi" w:eastAsiaTheme="minorEastAsia" w:hAnsiTheme="minorHAnsi" w:cstheme="minorBidi"/>
            <w:b w:val="0"/>
            <w:sz w:val="22"/>
            <w:szCs w:val="22"/>
          </w:rPr>
          <w:tab/>
        </w:r>
        <w:r w:rsidR="000E737F" w:rsidRPr="00F95C92">
          <w:rPr>
            <w:rStyle w:val="Hyperlink"/>
            <w:lang w:val="fr-CH"/>
          </w:rPr>
          <w:t>Annexe</w:t>
        </w:r>
        <w:r w:rsidR="000E737F">
          <w:rPr>
            <w:webHidden/>
          </w:rPr>
          <w:tab/>
        </w:r>
        <w:r w:rsidR="000E737F">
          <w:rPr>
            <w:webHidden/>
          </w:rPr>
          <w:fldChar w:fldCharType="begin"/>
        </w:r>
        <w:r w:rsidR="000E737F">
          <w:rPr>
            <w:webHidden/>
          </w:rPr>
          <w:instrText xml:space="preserve"> PAGEREF _Toc532996380 \h </w:instrText>
        </w:r>
        <w:r w:rsidR="000E737F">
          <w:rPr>
            <w:webHidden/>
          </w:rPr>
        </w:r>
        <w:r w:rsidR="000E737F">
          <w:rPr>
            <w:webHidden/>
          </w:rPr>
          <w:fldChar w:fldCharType="separate"/>
        </w:r>
        <w:r w:rsidR="001971CC">
          <w:rPr>
            <w:webHidden/>
          </w:rPr>
          <w:t>17</w:t>
        </w:r>
        <w:r w:rsidR="000E737F">
          <w:rPr>
            <w:webHidden/>
          </w:rPr>
          <w:fldChar w:fldCharType="end"/>
        </w:r>
      </w:hyperlink>
    </w:p>
    <w:p w14:paraId="2C5DA382" w14:textId="1F9B0151" w:rsidR="000E737F" w:rsidRDefault="00A45DC6">
      <w:pPr>
        <w:pStyle w:val="Verzeichnis2"/>
        <w:rPr>
          <w:rFonts w:asciiTheme="minorHAnsi" w:eastAsiaTheme="minorEastAsia" w:hAnsiTheme="minorHAnsi" w:cstheme="minorBidi"/>
          <w:noProof/>
          <w:sz w:val="22"/>
          <w:szCs w:val="22"/>
        </w:rPr>
      </w:pPr>
      <w:hyperlink w:anchor="_Toc532996381" w:history="1">
        <w:r w:rsidR="000E737F" w:rsidRPr="00F95C92">
          <w:rPr>
            <w:rStyle w:val="Hyperlink"/>
            <w:noProof/>
            <w:lang w:val="fr-CH"/>
            <w14:scene3d>
              <w14:camera w14:prst="orthographicFront"/>
              <w14:lightRig w14:rig="threePt" w14:dir="t">
                <w14:rot w14:lat="0" w14:lon="0" w14:rev="0"/>
              </w14:lightRig>
            </w14:scene3d>
          </w:rPr>
          <w:t>6.1</w:t>
        </w:r>
        <w:r w:rsidR="000E737F">
          <w:rPr>
            <w:rFonts w:asciiTheme="minorHAnsi" w:eastAsiaTheme="minorEastAsia" w:hAnsiTheme="minorHAnsi" w:cstheme="minorBidi"/>
            <w:noProof/>
            <w:sz w:val="22"/>
            <w:szCs w:val="22"/>
          </w:rPr>
          <w:tab/>
        </w:r>
        <w:r w:rsidR="000E737F" w:rsidRPr="00F95C92">
          <w:rPr>
            <w:rStyle w:val="Hyperlink"/>
            <w:noProof/>
            <w:lang w:val="fr-CH"/>
          </w:rPr>
          <w:t>Terminologie utilisée pour les SDA</w:t>
        </w:r>
        <w:r w:rsidR="000E737F">
          <w:rPr>
            <w:noProof/>
            <w:webHidden/>
          </w:rPr>
          <w:tab/>
        </w:r>
        <w:r w:rsidR="000E737F">
          <w:rPr>
            <w:noProof/>
            <w:webHidden/>
          </w:rPr>
          <w:fldChar w:fldCharType="begin"/>
        </w:r>
        <w:r w:rsidR="000E737F">
          <w:rPr>
            <w:noProof/>
            <w:webHidden/>
          </w:rPr>
          <w:instrText xml:space="preserve"> PAGEREF _Toc532996381 \h </w:instrText>
        </w:r>
        <w:r w:rsidR="000E737F">
          <w:rPr>
            <w:noProof/>
            <w:webHidden/>
          </w:rPr>
        </w:r>
        <w:r w:rsidR="000E737F">
          <w:rPr>
            <w:noProof/>
            <w:webHidden/>
          </w:rPr>
          <w:fldChar w:fldCharType="separate"/>
        </w:r>
        <w:r w:rsidR="001971CC">
          <w:rPr>
            <w:noProof/>
            <w:webHidden/>
          </w:rPr>
          <w:t>17</w:t>
        </w:r>
        <w:r w:rsidR="000E737F">
          <w:rPr>
            <w:noProof/>
            <w:webHidden/>
          </w:rPr>
          <w:fldChar w:fldCharType="end"/>
        </w:r>
      </w:hyperlink>
    </w:p>
    <w:p w14:paraId="1F567B36" w14:textId="2236474E" w:rsidR="000E737F" w:rsidRDefault="00A45DC6">
      <w:pPr>
        <w:pStyle w:val="Verzeichnis2"/>
        <w:rPr>
          <w:rFonts w:asciiTheme="minorHAnsi" w:eastAsiaTheme="minorEastAsia" w:hAnsiTheme="minorHAnsi" w:cstheme="minorBidi"/>
          <w:noProof/>
          <w:sz w:val="22"/>
          <w:szCs w:val="22"/>
        </w:rPr>
      </w:pPr>
      <w:hyperlink w:anchor="_Toc532996382" w:history="1">
        <w:r w:rsidR="000E737F" w:rsidRPr="00F95C92">
          <w:rPr>
            <w:rStyle w:val="Hyperlink"/>
            <w:noProof/>
            <w:lang w:val="fr-CH"/>
            <w14:scene3d>
              <w14:camera w14:prst="orthographicFront"/>
              <w14:lightRig w14:rig="threePt" w14:dir="t">
                <w14:rot w14:lat="0" w14:lon="0" w14:rev="0"/>
              </w14:lightRig>
            </w14:scene3d>
          </w:rPr>
          <w:t>6.2</w:t>
        </w:r>
        <w:r w:rsidR="000E737F">
          <w:rPr>
            <w:rFonts w:asciiTheme="minorHAnsi" w:eastAsiaTheme="minorEastAsia" w:hAnsiTheme="minorHAnsi" w:cstheme="minorBidi"/>
            <w:noProof/>
            <w:sz w:val="22"/>
            <w:szCs w:val="22"/>
          </w:rPr>
          <w:tab/>
        </w:r>
        <w:r w:rsidR="000E737F" w:rsidRPr="00F95C92">
          <w:rPr>
            <w:rStyle w:val="Hyperlink"/>
            <w:noProof/>
            <w:lang w:val="fr-CH"/>
          </w:rPr>
          <w:t>Terminologie</w:t>
        </w:r>
        <w:r w:rsidR="000E737F">
          <w:rPr>
            <w:noProof/>
            <w:webHidden/>
          </w:rPr>
          <w:tab/>
        </w:r>
        <w:r w:rsidR="000E737F">
          <w:rPr>
            <w:noProof/>
            <w:webHidden/>
          </w:rPr>
          <w:fldChar w:fldCharType="begin"/>
        </w:r>
        <w:r w:rsidR="000E737F">
          <w:rPr>
            <w:noProof/>
            <w:webHidden/>
          </w:rPr>
          <w:instrText xml:space="preserve"> PAGEREF _Toc532996382 \h </w:instrText>
        </w:r>
        <w:r w:rsidR="000E737F">
          <w:rPr>
            <w:noProof/>
            <w:webHidden/>
          </w:rPr>
        </w:r>
        <w:r w:rsidR="000E737F">
          <w:rPr>
            <w:noProof/>
            <w:webHidden/>
          </w:rPr>
          <w:fldChar w:fldCharType="separate"/>
        </w:r>
        <w:r w:rsidR="001971CC">
          <w:rPr>
            <w:noProof/>
            <w:webHidden/>
          </w:rPr>
          <w:t>18</w:t>
        </w:r>
        <w:r w:rsidR="000E737F">
          <w:rPr>
            <w:noProof/>
            <w:webHidden/>
          </w:rPr>
          <w:fldChar w:fldCharType="end"/>
        </w:r>
      </w:hyperlink>
    </w:p>
    <w:p w14:paraId="53C176F2" w14:textId="7E577E77" w:rsidR="000E737F" w:rsidRDefault="00A45DC6">
      <w:pPr>
        <w:pStyle w:val="Verzeichnis2"/>
        <w:rPr>
          <w:rFonts w:asciiTheme="minorHAnsi" w:eastAsiaTheme="minorEastAsia" w:hAnsiTheme="minorHAnsi" w:cstheme="minorBidi"/>
          <w:noProof/>
          <w:sz w:val="22"/>
          <w:szCs w:val="22"/>
        </w:rPr>
      </w:pPr>
      <w:hyperlink w:anchor="_Toc532996383" w:history="1">
        <w:r w:rsidR="000E737F" w:rsidRPr="00F95C92">
          <w:rPr>
            <w:rStyle w:val="Hyperlink"/>
            <w:noProof/>
            <w:lang w:val="fr-CH"/>
            <w14:scene3d>
              <w14:camera w14:prst="orthographicFront"/>
              <w14:lightRig w14:rig="threePt" w14:dir="t">
                <w14:rot w14:lat="0" w14:lon="0" w14:rev="0"/>
              </w14:lightRig>
            </w14:scene3d>
          </w:rPr>
          <w:t>6.3</w:t>
        </w:r>
        <w:r w:rsidR="000E737F">
          <w:rPr>
            <w:rFonts w:asciiTheme="minorHAnsi" w:eastAsiaTheme="minorEastAsia" w:hAnsiTheme="minorHAnsi" w:cstheme="minorBidi"/>
            <w:noProof/>
            <w:sz w:val="22"/>
            <w:szCs w:val="22"/>
          </w:rPr>
          <w:tab/>
        </w:r>
        <w:r w:rsidR="000E737F" w:rsidRPr="00F95C92">
          <w:rPr>
            <w:rStyle w:val="Hyperlink"/>
            <w:noProof/>
            <w:lang w:val="fr-CH"/>
          </w:rPr>
          <w:t>Liste des abréviations</w:t>
        </w:r>
        <w:r w:rsidR="000E737F">
          <w:rPr>
            <w:noProof/>
            <w:webHidden/>
          </w:rPr>
          <w:tab/>
        </w:r>
        <w:r w:rsidR="000E737F">
          <w:rPr>
            <w:noProof/>
            <w:webHidden/>
          </w:rPr>
          <w:fldChar w:fldCharType="begin"/>
        </w:r>
        <w:r w:rsidR="000E737F">
          <w:rPr>
            <w:noProof/>
            <w:webHidden/>
          </w:rPr>
          <w:instrText xml:space="preserve"> PAGEREF _Toc532996383 \h </w:instrText>
        </w:r>
        <w:r w:rsidR="000E737F">
          <w:rPr>
            <w:noProof/>
            <w:webHidden/>
          </w:rPr>
        </w:r>
        <w:r w:rsidR="000E737F">
          <w:rPr>
            <w:noProof/>
            <w:webHidden/>
          </w:rPr>
          <w:fldChar w:fldCharType="separate"/>
        </w:r>
        <w:r w:rsidR="001971CC">
          <w:rPr>
            <w:noProof/>
            <w:webHidden/>
          </w:rPr>
          <w:t>22</w:t>
        </w:r>
        <w:r w:rsidR="000E737F">
          <w:rPr>
            <w:noProof/>
            <w:webHidden/>
          </w:rPr>
          <w:fldChar w:fldCharType="end"/>
        </w:r>
      </w:hyperlink>
    </w:p>
    <w:p w14:paraId="530EDB6C" w14:textId="2A269168" w:rsidR="00EC1813" w:rsidRPr="00F0226F" w:rsidRDefault="002A761F" w:rsidP="001433C7">
      <w:pPr>
        <w:pStyle w:val="Verzeichnis2"/>
        <w:rPr>
          <w:lang w:val="fr-CH"/>
        </w:rPr>
      </w:pPr>
      <w:r>
        <w:rPr>
          <w:b/>
          <w:noProof/>
          <w:lang w:val="fr-CH"/>
        </w:rPr>
        <w:fldChar w:fldCharType="end"/>
      </w:r>
      <w:r w:rsidR="00A41C94" w:rsidRPr="00F0226F">
        <w:rPr>
          <w:lang w:val="fr-CH"/>
        </w:rPr>
        <w:br w:type="page"/>
      </w:r>
    </w:p>
    <w:p w14:paraId="442EF4BE" w14:textId="439201ED" w:rsidR="00BC4AF0" w:rsidRPr="00F0226F" w:rsidRDefault="004A6542" w:rsidP="004410B2">
      <w:pPr>
        <w:pStyle w:val="berschrift1"/>
        <w:rPr>
          <w:lang w:val="fr-CH"/>
        </w:rPr>
      </w:pPr>
      <w:bookmarkStart w:id="11" w:name="_Ref511210319"/>
      <w:bookmarkStart w:id="12" w:name="_Toc526428716"/>
      <w:bookmarkStart w:id="13" w:name="_Toc532996366"/>
      <w:bookmarkEnd w:id="9"/>
      <w:r>
        <w:rPr>
          <w:lang w:val="fr-CH"/>
        </w:rPr>
        <w:lastRenderedPageBreak/>
        <w:t>Context</w:t>
      </w:r>
      <w:r w:rsidR="00CD6A04" w:rsidRPr="00F0226F">
        <w:rPr>
          <w:lang w:val="fr-CH"/>
        </w:rPr>
        <w:t>e</w:t>
      </w:r>
      <w:bookmarkEnd w:id="11"/>
      <w:bookmarkEnd w:id="12"/>
      <w:bookmarkEnd w:id="13"/>
    </w:p>
    <w:p w14:paraId="29C6FC30" w14:textId="4A23D51E" w:rsidR="005D1CBC" w:rsidRPr="00F0226F" w:rsidRDefault="004A6542" w:rsidP="005D1CBC">
      <w:pPr>
        <w:pStyle w:val="berschrift2"/>
        <w:rPr>
          <w:lang w:val="fr-CH"/>
        </w:rPr>
      </w:pPr>
      <w:bookmarkStart w:id="14" w:name="_Toc532996367"/>
      <w:r>
        <w:rPr>
          <w:lang w:val="fr-CH"/>
        </w:rPr>
        <w:t>Introduction</w:t>
      </w:r>
      <w:bookmarkEnd w:id="14"/>
    </w:p>
    <w:p w14:paraId="0EACA70D" w14:textId="3A104E42" w:rsidR="00CD6A04" w:rsidRPr="00F0226F" w:rsidRDefault="0094772E" w:rsidP="325E5E49">
      <w:pPr>
        <w:rPr>
          <w:rFonts w:eastAsia="Arial" w:cs="Arial"/>
          <w:lang w:val="fr-CH"/>
        </w:rPr>
      </w:pPr>
      <w:r>
        <w:rPr>
          <w:lang w:val="fr-CH"/>
        </w:rPr>
        <w:t>Durant l</w:t>
      </w:r>
      <w:r w:rsidR="00B57A56">
        <w:rPr>
          <w:lang w:val="fr-CH"/>
        </w:rPr>
        <w:t xml:space="preserve">a période de </w:t>
      </w:r>
      <w:r w:rsidR="00B231C1">
        <w:rPr>
          <w:lang w:val="fr-CH"/>
        </w:rPr>
        <w:t>l’après</w:t>
      </w:r>
      <w:r>
        <w:rPr>
          <w:lang w:val="fr-CH"/>
        </w:rPr>
        <w:t xml:space="preserve">-guerre, </w:t>
      </w:r>
      <w:r w:rsidR="00BA1C40">
        <w:rPr>
          <w:lang w:val="fr-CH"/>
        </w:rPr>
        <w:t xml:space="preserve">l’important accroissement de la population et de la prospérité </w:t>
      </w:r>
      <w:r>
        <w:rPr>
          <w:rFonts w:eastAsia="Arial" w:cs="Arial"/>
          <w:lang w:val="fr-CH"/>
        </w:rPr>
        <w:t xml:space="preserve">et </w:t>
      </w:r>
      <w:r w:rsidR="00BA1C40">
        <w:rPr>
          <w:rFonts w:eastAsia="Arial" w:cs="Arial"/>
          <w:lang w:val="fr-CH"/>
        </w:rPr>
        <w:t>l’évolution générale du mode de vie mirent</w:t>
      </w:r>
      <w:r>
        <w:rPr>
          <w:rFonts w:eastAsia="Arial" w:cs="Arial"/>
          <w:lang w:val="fr-CH"/>
        </w:rPr>
        <w:t xml:space="preserve"> les terres cultivables </w:t>
      </w:r>
      <w:r w:rsidR="00BA1C40">
        <w:rPr>
          <w:rFonts w:eastAsia="Arial" w:cs="Arial"/>
          <w:lang w:val="fr-CH"/>
        </w:rPr>
        <w:t>de plus en plus sous pression</w:t>
      </w:r>
      <w:r>
        <w:rPr>
          <w:rFonts w:eastAsia="Arial" w:cs="Arial"/>
          <w:lang w:val="fr-CH"/>
        </w:rPr>
        <w:t xml:space="preserve">. </w:t>
      </w:r>
      <w:r w:rsidR="00BA1C40">
        <w:rPr>
          <w:rFonts w:eastAsia="Arial" w:cs="Arial"/>
          <w:lang w:val="fr-CH"/>
        </w:rPr>
        <w:t xml:space="preserve">Selon l’article ad hoc introduit en 1969 </w:t>
      </w:r>
      <w:r w:rsidR="00222ECC">
        <w:rPr>
          <w:rFonts w:eastAsia="Arial" w:cs="Arial"/>
          <w:lang w:val="fr-CH"/>
        </w:rPr>
        <w:t>dans la Constitution fédérale</w:t>
      </w:r>
      <w:r w:rsidR="001A3426">
        <w:rPr>
          <w:rFonts w:eastAsia="Arial" w:cs="Arial"/>
          <w:lang w:val="fr-CH"/>
        </w:rPr>
        <w:t xml:space="preserve"> (Cst</w:t>
      </w:r>
      <w:r w:rsidR="0077532F">
        <w:rPr>
          <w:rFonts w:eastAsia="Arial" w:cs="Arial"/>
          <w:lang w:val="fr-CH"/>
        </w:rPr>
        <w:t>.</w:t>
      </w:r>
      <w:r w:rsidR="001A3426">
        <w:rPr>
          <w:rFonts w:eastAsia="Arial" w:cs="Arial"/>
          <w:lang w:val="fr-CH"/>
        </w:rPr>
        <w:t>)</w:t>
      </w:r>
      <w:r w:rsidR="00222ECC">
        <w:rPr>
          <w:rFonts w:eastAsia="Arial" w:cs="Arial"/>
          <w:lang w:val="fr-CH"/>
        </w:rPr>
        <w:t xml:space="preserve">, </w:t>
      </w:r>
      <w:r w:rsidR="00BA1C40">
        <w:rPr>
          <w:rFonts w:eastAsia="Arial" w:cs="Arial"/>
          <w:lang w:val="fr-CH"/>
        </w:rPr>
        <w:t>l’aménagement du territoire sert</w:t>
      </w:r>
      <w:r w:rsidR="00222ECC">
        <w:rPr>
          <w:rFonts w:eastAsia="Arial" w:cs="Arial"/>
          <w:lang w:val="fr-CH"/>
        </w:rPr>
        <w:t xml:space="preserve"> une utilisation judicieuse et mesurée du sol</w:t>
      </w:r>
      <w:r w:rsidR="0080063E">
        <w:rPr>
          <w:rFonts w:eastAsia="Arial" w:cs="Arial"/>
          <w:lang w:val="fr-CH"/>
        </w:rPr>
        <w:t xml:space="preserve"> et une occupation rationnelle du territoire.</w:t>
      </w:r>
      <w:r w:rsidR="00222ECC">
        <w:rPr>
          <w:rFonts w:eastAsia="Arial" w:cs="Arial"/>
          <w:lang w:val="fr-CH"/>
        </w:rPr>
        <w:t xml:space="preserve"> </w:t>
      </w:r>
      <w:r w:rsidR="00FE41E4">
        <w:rPr>
          <w:rFonts w:eastAsia="Arial" w:cs="Arial"/>
          <w:lang w:val="fr-CH"/>
        </w:rPr>
        <w:t xml:space="preserve">La loi fédérale sur l’aménagement du territoire (LAT) </w:t>
      </w:r>
      <w:r w:rsidR="00DE5E01">
        <w:rPr>
          <w:rFonts w:eastAsia="Arial" w:cs="Arial"/>
          <w:lang w:val="fr-CH"/>
        </w:rPr>
        <w:t xml:space="preserve">adoptée </w:t>
      </w:r>
      <w:r w:rsidR="00FE41E4">
        <w:rPr>
          <w:rFonts w:eastAsia="Arial" w:cs="Arial"/>
          <w:lang w:val="fr-CH"/>
        </w:rPr>
        <w:t xml:space="preserve">en </w:t>
      </w:r>
      <w:r w:rsidR="00FE41E4" w:rsidRPr="00F0226F">
        <w:rPr>
          <w:rFonts w:eastAsia="Arial" w:cs="Arial"/>
          <w:lang w:val="fr-CH"/>
        </w:rPr>
        <w:t>1979</w:t>
      </w:r>
      <w:r w:rsidR="00FE41E4">
        <w:rPr>
          <w:rFonts w:eastAsia="Arial" w:cs="Arial"/>
          <w:lang w:val="fr-CH"/>
        </w:rPr>
        <w:t xml:space="preserve"> </w:t>
      </w:r>
      <w:r w:rsidR="00DE5E01">
        <w:rPr>
          <w:rFonts w:eastAsia="Arial" w:cs="Arial"/>
          <w:lang w:val="fr-CH"/>
        </w:rPr>
        <w:t xml:space="preserve">avait </w:t>
      </w:r>
      <w:r w:rsidR="0077532F">
        <w:rPr>
          <w:rFonts w:eastAsia="Arial" w:cs="Arial"/>
          <w:lang w:val="fr-CH"/>
        </w:rPr>
        <w:t>dès lors</w:t>
      </w:r>
      <w:r w:rsidR="00DE5E01">
        <w:rPr>
          <w:rFonts w:eastAsia="Arial" w:cs="Arial"/>
          <w:lang w:val="fr-CH"/>
        </w:rPr>
        <w:t xml:space="preserve"> aussi pour but de contrer l’essor fulgurant et désordonné de la construction en Suisse et de réserver à l’agriculture suffisamment de bonnes terres cultivables</w:t>
      </w:r>
      <w:r w:rsidR="0B8C9255" w:rsidRPr="00F0226F">
        <w:rPr>
          <w:rFonts w:eastAsia="Arial" w:cs="Arial"/>
          <w:lang w:val="fr-CH"/>
        </w:rPr>
        <w:t xml:space="preserve">. </w:t>
      </w:r>
      <w:r w:rsidR="00FE41E4">
        <w:rPr>
          <w:rFonts w:eastAsia="Arial" w:cs="Arial"/>
          <w:lang w:val="fr-CH"/>
        </w:rPr>
        <w:t xml:space="preserve">Ces </w:t>
      </w:r>
      <w:r w:rsidR="0077532F">
        <w:rPr>
          <w:rFonts w:eastAsia="Arial" w:cs="Arial"/>
          <w:lang w:val="fr-CH"/>
        </w:rPr>
        <w:t>dernières</w:t>
      </w:r>
      <w:r w:rsidR="00886170">
        <w:rPr>
          <w:rFonts w:eastAsia="Arial" w:cs="Arial"/>
          <w:lang w:val="fr-CH"/>
        </w:rPr>
        <w:t xml:space="preserve"> </w:t>
      </w:r>
      <w:r w:rsidR="00FE41E4">
        <w:rPr>
          <w:rFonts w:eastAsia="Arial" w:cs="Arial"/>
          <w:lang w:val="fr-CH"/>
        </w:rPr>
        <w:t xml:space="preserve">devaient garantir une base d’approvisionnement suffisante </w:t>
      </w:r>
      <w:r w:rsidR="00DE2126">
        <w:rPr>
          <w:rFonts w:eastAsia="Arial" w:cs="Arial"/>
          <w:lang w:val="fr-CH"/>
        </w:rPr>
        <w:t xml:space="preserve">non seulement </w:t>
      </w:r>
      <w:r w:rsidR="00FE41E4">
        <w:rPr>
          <w:rFonts w:eastAsia="Arial" w:cs="Arial"/>
          <w:lang w:val="fr-CH"/>
        </w:rPr>
        <w:t>en « temps normal »</w:t>
      </w:r>
      <w:r w:rsidR="00886170">
        <w:rPr>
          <w:rFonts w:eastAsia="Arial" w:cs="Arial"/>
          <w:lang w:val="fr-CH"/>
        </w:rPr>
        <w:t xml:space="preserve">, mais aussi </w:t>
      </w:r>
      <w:r w:rsidR="0077532F">
        <w:rPr>
          <w:rFonts w:eastAsia="Arial" w:cs="Arial"/>
          <w:lang w:val="fr-CH"/>
        </w:rPr>
        <w:t>en cas de</w:t>
      </w:r>
      <w:r w:rsidR="00886170">
        <w:rPr>
          <w:rFonts w:eastAsia="Arial" w:cs="Arial"/>
          <w:lang w:val="fr-CH"/>
        </w:rPr>
        <w:t xml:space="preserve"> grave pénurie </w:t>
      </w:r>
      <w:r w:rsidR="00CF1032">
        <w:rPr>
          <w:rFonts w:eastAsia="Arial" w:cs="Arial"/>
          <w:lang w:val="fr-CH"/>
        </w:rPr>
        <w:t>en Suisse</w:t>
      </w:r>
      <w:r w:rsidR="005011AE" w:rsidRPr="00F0226F">
        <w:rPr>
          <w:rStyle w:val="Funotenzeichen"/>
          <w:rFonts w:eastAsia="Arial" w:cs="Arial"/>
          <w:lang w:val="fr-CH"/>
        </w:rPr>
        <w:footnoteReference w:id="2"/>
      </w:r>
      <w:r w:rsidR="00886170">
        <w:rPr>
          <w:rFonts w:eastAsia="Arial" w:cs="Arial"/>
          <w:lang w:val="fr-CH"/>
        </w:rPr>
        <w:t>.</w:t>
      </w:r>
      <w:r w:rsidR="005011AE" w:rsidRPr="00F0226F">
        <w:rPr>
          <w:rFonts w:eastAsia="Arial" w:cs="Arial"/>
          <w:lang w:val="fr-CH"/>
        </w:rPr>
        <w:t xml:space="preserve"> </w:t>
      </w:r>
      <w:r w:rsidR="00886170">
        <w:rPr>
          <w:rFonts w:eastAsia="Arial" w:cs="Arial"/>
          <w:lang w:val="fr-CH"/>
        </w:rPr>
        <w:t>Le terme</w:t>
      </w:r>
      <w:r w:rsidR="00CF1032">
        <w:rPr>
          <w:rFonts w:eastAsia="Arial" w:cs="Arial"/>
          <w:lang w:val="fr-CH"/>
        </w:rPr>
        <w:t xml:space="preserve"> de surface</w:t>
      </w:r>
      <w:r w:rsidR="00886170">
        <w:rPr>
          <w:rFonts w:eastAsia="Arial" w:cs="Arial"/>
          <w:lang w:val="fr-CH"/>
        </w:rPr>
        <w:t>s</w:t>
      </w:r>
      <w:r w:rsidR="00CF1032">
        <w:rPr>
          <w:rFonts w:eastAsia="Arial" w:cs="Arial"/>
          <w:lang w:val="fr-CH"/>
        </w:rPr>
        <w:t xml:space="preserve"> d’assolement</w:t>
      </w:r>
      <w:r w:rsidR="0B8C9255" w:rsidRPr="00F0226F">
        <w:rPr>
          <w:rFonts w:eastAsia="Arial" w:cs="Arial"/>
          <w:lang w:val="fr-CH"/>
        </w:rPr>
        <w:t xml:space="preserve"> </w:t>
      </w:r>
      <w:r w:rsidR="00A81877" w:rsidRPr="00F0226F">
        <w:rPr>
          <w:rFonts w:eastAsia="Arial" w:cs="Arial"/>
          <w:lang w:val="fr-CH"/>
        </w:rPr>
        <w:t>(</w:t>
      </w:r>
      <w:r w:rsidR="00CF1032">
        <w:rPr>
          <w:rFonts w:eastAsia="Arial" w:cs="Arial"/>
          <w:lang w:val="fr-CH"/>
        </w:rPr>
        <w:t>SDA</w:t>
      </w:r>
      <w:r w:rsidR="00A81877" w:rsidRPr="00F0226F">
        <w:rPr>
          <w:rFonts w:eastAsia="Arial" w:cs="Arial"/>
          <w:lang w:val="fr-CH"/>
        </w:rPr>
        <w:t>)</w:t>
      </w:r>
      <w:r w:rsidR="0B8C9255" w:rsidRPr="00F0226F">
        <w:rPr>
          <w:rFonts w:eastAsia="Arial" w:cs="Arial"/>
          <w:lang w:val="fr-CH"/>
        </w:rPr>
        <w:t xml:space="preserve"> </w:t>
      </w:r>
      <w:r w:rsidR="00B57A56">
        <w:rPr>
          <w:rFonts w:eastAsia="Arial" w:cs="Arial"/>
          <w:lang w:val="fr-CH"/>
        </w:rPr>
        <w:t xml:space="preserve">a été </w:t>
      </w:r>
      <w:r w:rsidR="00CF1032">
        <w:rPr>
          <w:rFonts w:eastAsia="Arial" w:cs="Arial"/>
          <w:lang w:val="fr-CH"/>
        </w:rPr>
        <w:t xml:space="preserve">défini en </w:t>
      </w:r>
      <w:r w:rsidR="004F6F93" w:rsidRPr="00F0226F">
        <w:rPr>
          <w:rFonts w:eastAsia="Arial" w:cs="Arial"/>
          <w:lang w:val="fr-CH"/>
        </w:rPr>
        <w:t xml:space="preserve">1986 </w:t>
      </w:r>
      <w:r w:rsidR="00CF1032">
        <w:rPr>
          <w:rFonts w:eastAsia="Arial" w:cs="Arial"/>
          <w:lang w:val="fr-CH"/>
        </w:rPr>
        <w:t>dans l’ordonnance sur l’aménagement du territoire</w:t>
      </w:r>
      <w:r w:rsidR="0B8C9255" w:rsidRPr="00F0226F">
        <w:rPr>
          <w:rFonts w:eastAsia="Arial" w:cs="Arial"/>
          <w:lang w:val="fr-CH"/>
        </w:rPr>
        <w:t xml:space="preserve"> </w:t>
      </w:r>
      <w:r w:rsidR="0024122D" w:rsidRPr="00F0226F">
        <w:rPr>
          <w:rFonts w:eastAsia="Arial" w:cs="Arial"/>
          <w:lang w:val="fr-CH"/>
        </w:rPr>
        <w:t>(</w:t>
      </w:r>
      <w:r w:rsidR="00CF1032">
        <w:rPr>
          <w:rFonts w:eastAsia="Arial" w:cs="Arial"/>
          <w:lang w:val="fr-CH"/>
        </w:rPr>
        <w:t>OAT</w:t>
      </w:r>
      <w:r w:rsidR="0024122D" w:rsidRPr="00F0226F">
        <w:rPr>
          <w:rFonts w:eastAsia="Arial" w:cs="Arial"/>
          <w:lang w:val="fr-CH"/>
        </w:rPr>
        <w:t>)</w:t>
      </w:r>
      <w:r w:rsidR="00DE2126">
        <w:rPr>
          <w:rFonts w:eastAsia="Arial" w:cs="Arial"/>
          <w:lang w:val="fr-CH"/>
        </w:rPr>
        <w:t>,</w:t>
      </w:r>
      <w:r w:rsidR="003D4102">
        <w:rPr>
          <w:rFonts w:eastAsia="Arial" w:cs="Arial"/>
          <w:lang w:val="fr-CH"/>
        </w:rPr>
        <w:t xml:space="preserve"> qui fixait la </w:t>
      </w:r>
      <w:r w:rsidR="00CF1032">
        <w:rPr>
          <w:rFonts w:eastAsia="Arial" w:cs="Arial"/>
          <w:lang w:val="fr-CH"/>
        </w:rPr>
        <w:t>surface totale minimale d’assolement</w:t>
      </w:r>
      <w:r w:rsidR="004F6F93" w:rsidRPr="00F0226F">
        <w:rPr>
          <w:rFonts w:eastAsia="Arial" w:cs="Arial"/>
          <w:lang w:val="fr-CH"/>
        </w:rPr>
        <w:t xml:space="preserve"> </w:t>
      </w:r>
      <w:r w:rsidR="003D4102">
        <w:rPr>
          <w:rFonts w:eastAsia="Arial" w:cs="Arial"/>
          <w:lang w:val="fr-CH"/>
        </w:rPr>
        <w:t>à</w:t>
      </w:r>
      <w:r w:rsidR="00CF1032">
        <w:rPr>
          <w:rFonts w:eastAsia="Arial" w:cs="Arial"/>
          <w:lang w:val="fr-CH"/>
        </w:rPr>
        <w:t xml:space="preserve"> garanti</w:t>
      </w:r>
      <w:r w:rsidR="003D4102">
        <w:rPr>
          <w:rFonts w:eastAsia="Arial" w:cs="Arial"/>
          <w:lang w:val="fr-CH"/>
        </w:rPr>
        <w:t>r</w:t>
      </w:r>
      <w:r w:rsidR="00CF1032">
        <w:rPr>
          <w:rFonts w:eastAsia="Arial" w:cs="Arial"/>
          <w:lang w:val="fr-CH"/>
        </w:rPr>
        <w:t xml:space="preserve"> afin d’assurer au pays une base d’approvisionnement suffisante</w:t>
      </w:r>
      <w:r w:rsidR="00B054FC">
        <w:rPr>
          <w:rFonts w:eastAsia="Arial" w:cs="Arial"/>
          <w:lang w:val="fr-CH"/>
        </w:rPr>
        <w:t>, comme l’exige le plan alimentaire</w:t>
      </w:r>
      <w:r w:rsidR="003D4102">
        <w:rPr>
          <w:rFonts w:eastAsia="Arial" w:cs="Arial"/>
          <w:lang w:val="fr-CH"/>
        </w:rPr>
        <w:t xml:space="preserve"> de la Suisse</w:t>
      </w:r>
      <w:r w:rsidR="00CF1032">
        <w:rPr>
          <w:rFonts w:eastAsia="Arial" w:cs="Arial"/>
          <w:lang w:val="fr-CH"/>
        </w:rPr>
        <w:t xml:space="preserve"> dans l’hypothèse </w:t>
      </w:r>
      <w:r w:rsidR="0077532F">
        <w:rPr>
          <w:rFonts w:eastAsia="Arial" w:cs="Arial"/>
          <w:lang w:val="fr-CH"/>
        </w:rPr>
        <w:t>d’une perturbation du</w:t>
      </w:r>
      <w:r w:rsidR="00CF1032">
        <w:rPr>
          <w:rFonts w:eastAsia="Arial" w:cs="Arial"/>
          <w:lang w:val="fr-CH"/>
        </w:rPr>
        <w:t xml:space="preserve"> ravitaillement.</w:t>
      </w:r>
      <w:r w:rsidR="004F6F93" w:rsidRPr="00F0226F">
        <w:rPr>
          <w:rFonts w:eastAsia="Arial" w:cs="Arial"/>
          <w:lang w:val="fr-CH"/>
        </w:rPr>
        <w:t xml:space="preserve"> </w:t>
      </w:r>
      <w:r w:rsidR="00B57A56">
        <w:rPr>
          <w:rFonts w:eastAsia="Arial" w:cs="Arial"/>
          <w:lang w:val="fr-CH"/>
        </w:rPr>
        <w:t>L’ordonnance</w:t>
      </w:r>
      <w:r w:rsidR="00B054FC">
        <w:rPr>
          <w:rFonts w:eastAsia="Arial" w:cs="Arial"/>
          <w:lang w:val="fr-CH"/>
        </w:rPr>
        <w:t xml:space="preserve"> </w:t>
      </w:r>
      <w:r w:rsidR="003D4102">
        <w:rPr>
          <w:rFonts w:eastAsia="Arial" w:cs="Arial"/>
          <w:lang w:val="fr-CH"/>
        </w:rPr>
        <w:t xml:space="preserve">contenait </w:t>
      </w:r>
      <w:r w:rsidR="00B57A56">
        <w:rPr>
          <w:rFonts w:eastAsia="Arial" w:cs="Arial"/>
          <w:lang w:val="fr-CH"/>
        </w:rPr>
        <w:t>également</w:t>
      </w:r>
      <w:r w:rsidR="003D4102">
        <w:rPr>
          <w:rFonts w:eastAsia="Arial" w:cs="Arial"/>
          <w:lang w:val="fr-CH"/>
        </w:rPr>
        <w:t xml:space="preserve"> des prescriptions</w:t>
      </w:r>
      <w:r w:rsidR="00B57A56">
        <w:rPr>
          <w:rFonts w:eastAsia="Arial" w:cs="Arial"/>
          <w:lang w:val="fr-CH"/>
        </w:rPr>
        <w:t xml:space="preserve"> </w:t>
      </w:r>
      <w:r w:rsidR="003D4102">
        <w:rPr>
          <w:rFonts w:eastAsia="Arial" w:cs="Arial"/>
          <w:lang w:val="fr-CH"/>
        </w:rPr>
        <w:t xml:space="preserve">que les cantons devaient observer pour garantir </w:t>
      </w:r>
      <w:r w:rsidR="00B054FC">
        <w:rPr>
          <w:rFonts w:eastAsia="Arial" w:cs="Arial"/>
          <w:lang w:val="fr-CH"/>
        </w:rPr>
        <w:t>les surfaces d’assolement</w:t>
      </w:r>
      <w:r w:rsidR="005011AE" w:rsidRPr="00F0226F">
        <w:rPr>
          <w:rStyle w:val="Funotenzeichen"/>
          <w:rFonts w:eastAsia="Arial" w:cs="Arial"/>
          <w:lang w:val="fr-CH"/>
        </w:rPr>
        <w:footnoteReference w:id="3"/>
      </w:r>
      <w:r w:rsidR="00DE2126">
        <w:rPr>
          <w:rFonts w:eastAsia="Arial" w:cs="Arial"/>
          <w:lang w:val="fr-CH"/>
        </w:rPr>
        <w:t>.</w:t>
      </w:r>
    </w:p>
    <w:p w14:paraId="00E68F89" w14:textId="337FC8D3" w:rsidR="00CD6A04" w:rsidRPr="00F0226F" w:rsidRDefault="00E92EBC" w:rsidP="000C70F0">
      <w:pPr>
        <w:rPr>
          <w:lang w:val="fr-CH"/>
        </w:rPr>
      </w:pPr>
      <w:r>
        <w:rPr>
          <w:rFonts w:eastAsia="Arial"/>
          <w:lang w:val="fr-CH"/>
        </w:rPr>
        <w:t>Selon le</w:t>
      </w:r>
      <w:r w:rsidR="00871531">
        <w:rPr>
          <w:rFonts w:eastAsia="Arial"/>
          <w:lang w:val="fr-CH"/>
        </w:rPr>
        <w:t xml:space="preserve"> dernier plan </w:t>
      </w:r>
      <w:r w:rsidR="003F36F5">
        <w:rPr>
          <w:rFonts w:eastAsia="Arial"/>
          <w:lang w:val="fr-CH"/>
        </w:rPr>
        <w:t>alimentaire</w:t>
      </w:r>
      <w:r w:rsidR="00871531">
        <w:rPr>
          <w:rFonts w:eastAsia="Arial"/>
          <w:lang w:val="fr-CH"/>
        </w:rPr>
        <w:t xml:space="preserve"> de la Suisse publié en</w:t>
      </w:r>
      <w:r w:rsidR="0B8C9255" w:rsidRPr="00F0226F">
        <w:rPr>
          <w:rFonts w:eastAsia="Arial"/>
          <w:lang w:val="fr-CH"/>
        </w:rPr>
        <w:t xml:space="preserve"> 19</w:t>
      </w:r>
      <w:r w:rsidR="2327C0A6" w:rsidRPr="00F0226F">
        <w:rPr>
          <w:rFonts w:eastAsia="Arial"/>
          <w:lang w:val="fr-CH"/>
        </w:rPr>
        <w:t>88</w:t>
      </w:r>
      <w:r w:rsidR="0B8C9255" w:rsidRPr="00F0226F">
        <w:rPr>
          <w:rFonts w:eastAsia="Arial"/>
          <w:lang w:val="fr-CH"/>
        </w:rPr>
        <w:t xml:space="preserve"> </w:t>
      </w:r>
      <w:r w:rsidR="007A4730" w:rsidRPr="00F0226F">
        <w:rPr>
          <w:rFonts w:eastAsia="Arial"/>
          <w:lang w:val="fr-CH"/>
        </w:rPr>
        <w:t>(</w:t>
      </w:r>
      <w:r w:rsidR="003F36F5">
        <w:rPr>
          <w:rFonts w:eastAsia="Arial"/>
          <w:lang w:val="fr-CH"/>
        </w:rPr>
        <w:t>PA</w:t>
      </w:r>
      <w:r w:rsidR="007A4730" w:rsidRPr="00F0226F">
        <w:rPr>
          <w:rFonts w:eastAsia="Arial"/>
          <w:lang w:val="fr-CH"/>
        </w:rPr>
        <w:t>90)</w:t>
      </w:r>
      <w:r>
        <w:rPr>
          <w:rFonts w:eastAsia="Arial"/>
          <w:lang w:val="fr-CH"/>
        </w:rPr>
        <w:t xml:space="preserve">, la Suisse </w:t>
      </w:r>
      <w:r w:rsidR="00034728">
        <w:rPr>
          <w:rFonts w:eastAsia="Arial"/>
          <w:lang w:val="fr-CH"/>
        </w:rPr>
        <w:t xml:space="preserve">pourrait </w:t>
      </w:r>
      <w:r>
        <w:rPr>
          <w:rFonts w:eastAsia="Arial"/>
          <w:lang w:val="fr-CH"/>
        </w:rPr>
        <w:t xml:space="preserve">assurer </w:t>
      </w:r>
      <w:r w:rsidR="003F36F5">
        <w:rPr>
          <w:rFonts w:eastAsia="Arial"/>
          <w:lang w:val="fr-CH"/>
        </w:rPr>
        <w:t>son</w:t>
      </w:r>
      <w:r w:rsidR="00034728">
        <w:rPr>
          <w:rFonts w:eastAsia="Arial"/>
          <w:lang w:val="fr-CH"/>
        </w:rPr>
        <w:t xml:space="preserve"> autosuffisance alimentaire, en cas de perturbation des importations,</w:t>
      </w:r>
      <w:r w:rsidR="003F36F5">
        <w:rPr>
          <w:rFonts w:eastAsia="Arial"/>
          <w:lang w:val="fr-CH"/>
        </w:rPr>
        <w:t xml:space="preserve"> sur une superficie de</w:t>
      </w:r>
      <w:r w:rsidR="00065E61" w:rsidRPr="00F0226F">
        <w:rPr>
          <w:rFonts w:eastAsia="Arial"/>
          <w:lang w:val="fr-CH"/>
        </w:rPr>
        <w:t xml:space="preserve"> 450'000 ha. </w:t>
      </w:r>
      <w:r w:rsidR="00034728">
        <w:rPr>
          <w:rFonts w:eastAsia="Arial"/>
          <w:lang w:val="fr-CH"/>
        </w:rPr>
        <w:t xml:space="preserve">Pour cela, le nombre de calories consommées en moyenne par personne et par jour (kcal/tête/jour) devrait être </w:t>
      </w:r>
      <w:r w:rsidR="006675CF">
        <w:rPr>
          <w:rFonts w:eastAsia="Arial"/>
          <w:lang w:val="fr-CH"/>
        </w:rPr>
        <w:t>passer</w:t>
      </w:r>
      <w:r w:rsidR="00034728">
        <w:rPr>
          <w:rFonts w:eastAsia="Arial"/>
          <w:lang w:val="fr-CH"/>
        </w:rPr>
        <w:t xml:space="preserve"> de </w:t>
      </w:r>
      <w:r w:rsidR="0B8C9255" w:rsidRPr="00F0226F">
        <w:rPr>
          <w:rFonts w:eastAsia="Arial"/>
          <w:lang w:val="fr-CH"/>
        </w:rPr>
        <w:t>3'300</w:t>
      </w:r>
      <w:r w:rsidR="00A81877" w:rsidRPr="00F0226F">
        <w:rPr>
          <w:rFonts w:eastAsia="Arial"/>
          <w:lang w:val="fr-CH"/>
        </w:rPr>
        <w:t xml:space="preserve"> </w:t>
      </w:r>
      <w:r w:rsidR="0B8C9255" w:rsidRPr="00F0226F">
        <w:rPr>
          <w:rFonts w:eastAsia="Arial"/>
          <w:lang w:val="fr-CH"/>
        </w:rPr>
        <w:t>kcal</w:t>
      </w:r>
      <w:r w:rsidR="003F36F5">
        <w:rPr>
          <w:rFonts w:eastAsia="Arial"/>
          <w:lang w:val="fr-CH"/>
        </w:rPr>
        <w:t xml:space="preserve"> à</w:t>
      </w:r>
      <w:r w:rsidR="0B8C9255" w:rsidRPr="00F0226F">
        <w:rPr>
          <w:rFonts w:eastAsia="Arial"/>
          <w:lang w:val="fr-CH"/>
        </w:rPr>
        <w:t xml:space="preserve"> 2'300 kcal</w:t>
      </w:r>
      <w:r w:rsidR="00034728">
        <w:rPr>
          <w:rFonts w:eastAsia="Arial"/>
          <w:lang w:val="fr-CH"/>
        </w:rPr>
        <w:t xml:space="preserve"> environ</w:t>
      </w:r>
      <w:r w:rsidR="00221729" w:rsidRPr="00F0226F">
        <w:rPr>
          <w:rFonts w:eastAsia="Arial"/>
          <w:lang w:val="fr-CH"/>
        </w:rPr>
        <w:t xml:space="preserve">. </w:t>
      </w:r>
      <w:r w:rsidR="00932BAD">
        <w:rPr>
          <w:rFonts w:eastAsia="Arial"/>
          <w:lang w:val="fr-CH"/>
        </w:rPr>
        <w:t xml:space="preserve">Ces </w:t>
      </w:r>
      <w:r w:rsidR="005D7E6B">
        <w:rPr>
          <w:rFonts w:eastAsia="Arial"/>
          <w:lang w:val="fr-CH"/>
        </w:rPr>
        <w:t xml:space="preserve">chiffres </w:t>
      </w:r>
      <w:r w:rsidR="00932BAD">
        <w:rPr>
          <w:rFonts w:eastAsia="Arial"/>
          <w:lang w:val="fr-CH"/>
        </w:rPr>
        <w:t xml:space="preserve">ont </w:t>
      </w:r>
      <w:r w:rsidR="005D7E6B">
        <w:rPr>
          <w:rFonts w:eastAsia="Arial"/>
          <w:lang w:val="fr-CH"/>
        </w:rPr>
        <w:t>permis de déterminer</w:t>
      </w:r>
      <w:r w:rsidR="00932BAD">
        <w:rPr>
          <w:rFonts w:eastAsia="Arial"/>
          <w:lang w:val="fr-CH"/>
        </w:rPr>
        <w:t xml:space="preserve"> l</w:t>
      </w:r>
      <w:r w:rsidR="003F36F5">
        <w:rPr>
          <w:rFonts w:eastAsia="Arial"/>
          <w:lang w:val="fr-CH"/>
        </w:rPr>
        <w:t xml:space="preserve">a surface minimale </w:t>
      </w:r>
      <w:r w:rsidR="00FC74BA">
        <w:rPr>
          <w:rFonts w:eastAsia="Arial"/>
          <w:lang w:val="fr-CH"/>
        </w:rPr>
        <w:t>d’assolement</w:t>
      </w:r>
      <w:r w:rsidR="003F36F5">
        <w:rPr>
          <w:rFonts w:eastAsia="Arial"/>
          <w:lang w:val="fr-CH"/>
        </w:rPr>
        <w:t xml:space="preserve"> à </w:t>
      </w:r>
      <w:r w:rsidR="003D4102">
        <w:rPr>
          <w:rFonts w:eastAsia="Arial"/>
          <w:lang w:val="fr-CH"/>
        </w:rPr>
        <w:t>préserver</w:t>
      </w:r>
      <w:r w:rsidR="000B0FD6" w:rsidRPr="00F0226F">
        <w:rPr>
          <w:rFonts w:eastAsia="Arial"/>
          <w:lang w:val="fr-CH"/>
        </w:rPr>
        <w:t xml:space="preserve">. </w:t>
      </w:r>
      <w:r w:rsidR="005D7E6B">
        <w:rPr>
          <w:rFonts w:eastAsia="Arial"/>
          <w:lang w:val="fr-CH"/>
        </w:rPr>
        <w:t>La</w:t>
      </w:r>
      <w:r w:rsidR="00932BAD">
        <w:rPr>
          <w:rFonts w:eastAsia="Arial"/>
          <w:lang w:val="fr-CH"/>
        </w:rPr>
        <w:t xml:space="preserve"> surface totale de SDA a été répartie entre les cantons. Lorsque les cantons ont achevé leurs relevés </w:t>
      </w:r>
      <w:r w:rsidR="36364FBF" w:rsidRPr="00F0226F">
        <w:rPr>
          <w:rFonts w:eastAsia="Arial"/>
          <w:lang w:val="fr-CH"/>
        </w:rPr>
        <w:t>(</w:t>
      </w:r>
      <w:r w:rsidR="00932BAD">
        <w:rPr>
          <w:rFonts w:eastAsia="Arial"/>
          <w:lang w:val="fr-CH"/>
        </w:rPr>
        <w:t xml:space="preserve">en </w:t>
      </w:r>
      <w:r w:rsidR="36364FBF" w:rsidRPr="00F0226F">
        <w:rPr>
          <w:rFonts w:eastAsia="Arial"/>
          <w:lang w:val="fr-CH"/>
        </w:rPr>
        <w:t>1988)</w:t>
      </w:r>
      <w:r w:rsidR="00932BAD">
        <w:rPr>
          <w:rFonts w:eastAsia="Arial"/>
          <w:lang w:val="fr-CH"/>
        </w:rPr>
        <w:t>, la Confédération a examiné et harmonisé les résultats, dans la mesure du possible, en collaboration avec chaque canton. Les résultats corrigés ont abouti à un total de</w:t>
      </w:r>
      <w:r w:rsidR="000B0FD6" w:rsidRPr="00F0226F">
        <w:rPr>
          <w:rFonts w:eastAsiaTheme="minorEastAsia"/>
          <w:color w:val="000000"/>
          <w:lang w:val="fr-CH" w:eastAsia="en-US"/>
        </w:rPr>
        <w:t xml:space="preserve"> 436'000 ha </w:t>
      </w:r>
      <w:r w:rsidR="00932BAD">
        <w:rPr>
          <w:rFonts w:eastAsiaTheme="minorEastAsia"/>
          <w:color w:val="000000"/>
          <w:lang w:val="fr-CH" w:eastAsia="en-US"/>
        </w:rPr>
        <w:t>de SDA hors de la zone à bâtir. De plus, environ</w:t>
      </w:r>
      <w:r w:rsidR="000B0FD6" w:rsidRPr="00F0226F">
        <w:rPr>
          <w:rFonts w:eastAsiaTheme="minorEastAsia"/>
          <w:color w:val="000000"/>
          <w:lang w:val="fr-CH" w:eastAsia="en-US"/>
        </w:rPr>
        <w:t xml:space="preserve"> 16'500 ha </w:t>
      </w:r>
      <w:r w:rsidR="00932BAD">
        <w:rPr>
          <w:rFonts w:eastAsiaTheme="minorEastAsia"/>
          <w:color w:val="000000"/>
          <w:lang w:val="fr-CH" w:eastAsia="en-US"/>
        </w:rPr>
        <w:t xml:space="preserve">de SDA ont été recensés dans des zones à bâtir et des territoires prévus par le plan directeur cantonal dans des zones de développement des constructions. </w:t>
      </w:r>
      <w:r w:rsidR="005D7E6B">
        <w:rPr>
          <w:rFonts w:eastAsiaTheme="minorEastAsia"/>
          <w:color w:val="000000"/>
          <w:lang w:val="fr-CH" w:eastAsia="en-US"/>
        </w:rPr>
        <w:t xml:space="preserve">La valeur définie pour assurer la sécurité alimentaire n’était ainsi déjà plus respectée. </w:t>
      </w:r>
      <w:r w:rsidR="00FC74BA">
        <w:rPr>
          <w:rFonts w:eastAsia="Arial"/>
          <w:lang w:val="fr-CH"/>
        </w:rPr>
        <w:t>Le</w:t>
      </w:r>
      <w:r w:rsidR="00E443A1">
        <w:rPr>
          <w:rFonts w:eastAsia="Arial"/>
          <w:lang w:val="fr-CH"/>
        </w:rPr>
        <w:t xml:space="preserve"> 8 avril 1992</w:t>
      </w:r>
      <w:r w:rsidR="00FC74BA">
        <w:rPr>
          <w:rFonts w:eastAsia="Arial"/>
          <w:lang w:val="fr-CH"/>
        </w:rPr>
        <w:t>, le</w:t>
      </w:r>
      <w:r w:rsidR="0038432A">
        <w:rPr>
          <w:rFonts w:eastAsia="Arial"/>
          <w:lang w:val="fr-CH"/>
        </w:rPr>
        <w:t xml:space="preserve"> P</w:t>
      </w:r>
      <w:r w:rsidR="00111DF1">
        <w:rPr>
          <w:rFonts w:eastAsia="Arial"/>
          <w:lang w:val="fr-CH"/>
        </w:rPr>
        <w:t>lan sectoriel SDA était mis en force par arrêté du</w:t>
      </w:r>
      <w:r w:rsidR="00FC74BA">
        <w:rPr>
          <w:rFonts w:eastAsia="Arial"/>
          <w:lang w:val="fr-CH"/>
        </w:rPr>
        <w:t xml:space="preserve"> Conseil fédéral </w:t>
      </w:r>
      <w:r w:rsidR="00111DF1">
        <w:rPr>
          <w:rFonts w:eastAsia="Arial"/>
          <w:lang w:val="fr-CH"/>
        </w:rPr>
        <w:t>afin de protéger</w:t>
      </w:r>
      <w:r w:rsidR="00FC74BA">
        <w:rPr>
          <w:rFonts w:eastAsia="Arial"/>
          <w:lang w:val="fr-CH"/>
        </w:rPr>
        <w:t xml:space="preserve"> les SDA encore existantes</w:t>
      </w:r>
      <w:r w:rsidR="00111DF1">
        <w:rPr>
          <w:rFonts w:eastAsia="Arial"/>
          <w:lang w:val="fr-CH"/>
        </w:rPr>
        <w:t>. Il fixe la surface minimale d’assolement à garantir et règle sa répartition entre les cantons</w:t>
      </w:r>
      <w:r w:rsidR="00201F73" w:rsidRPr="00F0226F">
        <w:rPr>
          <w:rStyle w:val="Funotenzeichen"/>
          <w:rFonts w:eastAsia="Arial"/>
          <w:lang w:val="fr-CH"/>
        </w:rPr>
        <w:footnoteReference w:id="4"/>
      </w:r>
      <w:r w:rsidR="00111DF1">
        <w:rPr>
          <w:rFonts w:eastAsia="Arial"/>
          <w:lang w:val="fr-CH"/>
        </w:rPr>
        <w:t>.</w:t>
      </w:r>
    </w:p>
    <w:p w14:paraId="2199047A" w14:textId="337519C2" w:rsidR="00CA5B1D" w:rsidRPr="00F0226F" w:rsidRDefault="00111DF1" w:rsidP="3120AD34">
      <w:pPr>
        <w:rPr>
          <w:rFonts w:eastAsia="Arial"/>
          <w:lang w:val="fr-CH"/>
        </w:rPr>
      </w:pPr>
      <w:r>
        <w:rPr>
          <w:rFonts w:eastAsia="Arial" w:cs="Arial"/>
          <w:lang w:val="fr-CH"/>
        </w:rPr>
        <w:t xml:space="preserve">Grâce à la </w:t>
      </w:r>
      <w:r w:rsidR="001F5EF9">
        <w:rPr>
          <w:rFonts w:eastAsia="Arial" w:cs="Arial"/>
          <w:lang w:val="fr-CH"/>
        </w:rPr>
        <w:t>loi fédérale sur l’aménagement du territoire (</w:t>
      </w:r>
      <w:r w:rsidR="00FC77C6">
        <w:rPr>
          <w:rFonts w:eastAsia="Arial" w:cs="Arial"/>
          <w:lang w:val="fr-CH"/>
        </w:rPr>
        <w:t>LAT</w:t>
      </w:r>
      <w:r w:rsidR="001F5EF9">
        <w:rPr>
          <w:rFonts w:eastAsia="Arial" w:cs="Arial"/>
          <w:lang w:val="fr-CH"/>
        </w:rPr>
        <w:t>)</w:t>
      </w:r>
      <w:r w:rsidR="00FC77C6">
        <w:rPr>
          <w:rFonts w:eastAsia="Arial" w:cs="Arial"/>
          <w:lang w:val="fr-CH"/>
        </w:rPr>
        <w:t xml:space="preserve"> </w:t>
      </w:r>
      <w:r w:rsidR="00BB3C80">
        <w:rPr>
          <w:rFonts w:eastAsia="Arial" w:cs="Arial"/>
          <w:lang w:val="fr-CH"/>
        </w:rPr>
        <w:t>et</w:t>
      </w:r>
      <w:r w:rsidR="00FC77C6">
        <w:rPr>
          <w:rFonts w:eastAsia="Arial" w:cs="Arial"/>
          <w:lang w:val="fr-CH"/>
        </w:rPr>
        <w:t xml:space="preserve"> </w:t>
      </w:r>
      <w:r>
        <w:rPr>
          <w:rFonts w:eastAsia="Arial" w:cs="Arial"/>
          <w:lang w:val="fr-CH"/>
        </w:rPr>
        <w:t xml:space="preserve">au </w:t>
      </w:r>
      <w:r w:rsidR="0038432A">
        <w:rPr>
          <w:rFonts w:eastAsia="Arial" w:cs="Arial"/>
          <w:lang w:val="fr-CH"/>
        </w:rPr>
        <w:t>P</w:t>
      </w:r>
      <w:r w:rsidR="00FC77C6">
        <w:rPr>
          <w:rFonts w:eastAsia="Arial" w:cs="Arial"/>
          <w:lang w:val="fr-CH"/>
        </w:rPr>
        <w:t>lan sectoriel SDA</w:t>
      </w:r>
      <w:r>
        <w:rPr>
          <w:rFonts w:eastAsia="Arial" w:cs="Arial"/>
          <w:lang w:val="fr-CH"/>
        </w:rPr>
        <w:t>,</w:t>
      </w:r>
      <w:r w:rsidR="00FC77C6">
        <w:rPr>
          <w:rFonts w:eastAsia="Arial" w:cs="Arial"/>
          <w:lang w:val="fr-CH"/>
        </w:rPr>
        <w:t xml:space="preserve"> </w:t>
      </w:r>
      <w:r>
        <w:rPr>
          <w:rFonts w:eastAsia="Arial" w:cs="Arial"/>
          <w:lang w:val="fr-CH"/>
        </w:rPr>
        <w:t>la perte des</w:t>
      </w:r>
      <w:r w:rsidR="00FC77C6">
        <w:rPr>
          <w:rFonts w:eastAsia="Arial" w:cs="Arial"/>
          <w:lang w:val="fr-CH"/>
        </w:rPr>
        <w:t xml:space="preserve"> terres cultivables </w:t>
      </w:r>
      <w:r>
        <w:rPr>
          <w:rFonts w:eastAsia="Arial" w:cs="Arial"/>
          <w:lang w:val="fr-CH"/>
        </w:rPr>
        <w:t>et</w:t>
      </w:r>
      <w:r w:rsidR="00FC77C6">
        <w:rPr>
          <w:rFonts w:eastAsia="Arial" w:cs="Arial"/>
          <w:lang w:val="fr-CH"/>
        </w:rPr>
        <w:t xml:space="preserve"> le mitage du territoire</w:t>
      </w:r>
      <w:r>
        <w:rPr>
          <w:rFonts w:eastAsia="Arial" w:cs="Arial"/>
          <w:lang w:val="fr-CH"/>
        </w:rPr>
        <w:t xml:space="preserve"> ont pu être en partie limités</w:t>
      </w:r>
      <w:r w:rsidR="0B8C9255" w:rsidRPr="00F0226F">
        <w:rPr>
          <w:rFonts w:eastAsia="Arial" w:cs="Arial"/>
          <w:lang w:val="fr-CH"/>
        </w:rPr>
        <w:t xml:space="preserve">. </w:t>
      </w:r>
      <w:r w:rsidR="00FC77C6">
        <w:rPr>
          <w:rFonts w:eastAsia="Arial" w:cs="Arial"/>
          <w:lang w:val="fr-CH"/>
        </w:rPr>
        <w:t>Néanmoins, la disparition des terres s’est poursuivie en raison du surdimensionnement des zones à bâtir, de l’extension de l’urbanisation et de l’accroissement de la consommation de surface par habitant. De</w:t>
      </w:r>
      <w:r w:rsidR="0B8C9255" w:rsidRPr="00F0226F">
        <w:rPr>
          <w:rFonts w:eastAsia="Arial" w:cs="Arial"/>
          <w:lang w:val="fr-CH"/>
        </w:rPr>
        <w:t xml:space="preserve"> 1985 </w:t>
      </w:r>
      <w:r w:rsidR="00FC77C6">
        <w:rPr>
          <w:rFonts w:eastAsia="Arial" w:cs="Arial"/>
          <w:lang w:val="fr-CH"/>
        </w:rPr>
        <w:t>à</w:t>
      </w:r>
      <w:r w:rsidR="0B8C9255" w:rsidRPr="00F0226F">
        <w:rPr>
          <w:rFonts w:eastAsia="Arial" w:cs="Arial"/>
          <w:lang w:val="fr-CH"/>
        </w:rPr>
        <w:t xml:space="preserve"> 2009</w:t>
      </w:r>
      <w:r w:rsidR="00FC77C6">
        <w:rPr>
          <w:rFonts w:eastAsia="Arial" w:cs="Arial"/>
          <w:lang w:val="fr-CH"/>
        </w:rPr>
        <w:t>, la Suisse a perdu quelque</w:t>
      </w:r>
      <w:r w:rsidR="0B8C9255" w:rsidRPr="00F0226F">
        <w:rPr>
          <w:rFonts w:eastAsia="Arial" w:cs="Arial"/>
          <w:lang w:val="fr-CH"/>
        </w:rPr>
        <w:t xml:space="preserve"> 85</w:t>
      </w:r>
      <w:r>
        <w:rPr>
          <w:rFonts w:eastAsia="Arial" w:cs="Arial"/>
          <w:lang w:val="fr-CH"/>
        </w:rPr>
        <w:t>’</w:t>
      </w:r>
      <w:r w:rsidR="0B8C9255" w:rsidRPr="00F0226F">
        <w:rPr>
          <w:rFonts w:eastAsia="Arial"/>
          <w:lang w:val="fr-CH"/>
        </w:rPr>
        <w:t>000</w:t>
      </w:r>
      <w:r w:rsidR="00FC77C6">
        <w:rPr>
          <w:rFonts w:eastAsia="Arial"/>
          <w:lang w:val="fr-CH"/>
        </w:rPr>
        <w:t xml:space="preserve"> </w:t>
      </w:r>
      <w:r w:rsidR="0B8C9255" w:rsidRPr="00F0226F">
        <w:rPr>
          <w:rFonts w:eastAsia="Arial"/>
          <w:lang w:val="fr-CH"/>
        </w:rPr>
        <w:t>ha</w:t>
      </w:r>
      <w:r w:rsidR="00C67F60" w:rsidRPr="00F0226F">
        <w:rPr>
          <w:rFonts w:eastAsia="Arial"/>
          <w:lang w:val="fr-CH"/>
        </w:rPr>
        <w:t xml:space="preserve"> </w:t>
      </w:r>
      <w:r w:rsidR="00FC77C6">
        <w:rPr>
          <w:rFonts w:eastAsia="Arial"/>
          <w:lang w:val="fr-CH"/>
        </w:rPr>
        <w:t>de terres cultivables, ce qui correspond à environ</w:t>
      </w:r>
      <w:r w:rsidR="006B6EB1" w:rsidRPr="00F0226F">
        <w:rPr>
          <w:rFonts w:eastAsia="Arial"/>
          <w:lang w:val="fr-CH"/>
        </w:rPr>
        <w:t xml:space="preserve"> </w:t>
      </w:r>
      <w:r w:rsidR="00124FFA" w:rsidRPr="00F0226F">
        <w:rPr>
          <w:rFonts w:eastAsia="Arial"/>
          <w:lang w:val="fr-CH"/>
        </w:rPr>
        <w:t>1m</w:t>
      </w:r>
      <w:r w:rsidR="00124FFA" w:rsidRPr="00F0226F">
        <w:rPr>
          <w:rFonts w:eastAsia="Arial"/>
          <w:vertAlign w:val="superscript"/>
          <w:lang w:val="fr-CH"/>
        </w:rPr>
        <w:t>2</w:t>
      </w:r>
      <w:r w:rsidR="00124FFA" w:rsidRPr="00F0226F">
        <w:rPr>
          <w:rFonts w:eastAsia="Arial"/>
          <w:lang w:val="fr-CH"/>
        </w:rPr>
        <w:t xml:space="preserve"> </w:t>
      </w:r>
      <w:r w:rsidR="00FC77C6">
        <w:rPr>
          <w:rFonts w:eastAsia="Arial"/>
          <w:lang w:val="fr-CH"/>
        </w:rPr>
        <w:t xml:space="preserve">de </w:t>
      </w:r>
      <w:r w:rsidR="0081422E">
        <w:rPr>
          <w:rFonts w:eastAsia="Arial"/>
          <w:lang w:val="fr-CH"/>
        </w:rPr>
        <w:t xml:space="preserve">terrain </w:t>
      </w:r>
      <w:r w:rsidR="00FC77C6">
        <w:rPr>
          <w:rFonts w:eastAsia="Arial"/>
          <w:lang w:val="fr-CH"/>
        </w:rPr>
        <w:t>par seconde</w:t>
      </w:r>
      <w:r w:rsidR="001F5EF9">
        <w:rPr>
          <w:rStyle w:val="Funotenzeichen"/>
          <w:rFonts w:eastAsia="Arial"/>
          <w:lang w:val="fr-CH"/>
        </w:rPr>
        <w:footnoteReference w:id="5"/>
      </w:r>
      <w:r w:rsidR="007646E7" w:rsidRPr="00F0226F">
        <w:rPr>
          <w:rFonts w:eastAsia="Arial"/>
          <w:lang w:val="fr-CH"/>
        </w:rPr>
        <w:t xml:space="preserve">. </w:t>
      </w:r>
      <w:r w:rsidR="00FC77C6">
        <w:rPr>
          <w:rFonts w:eastAsia="Arial"/>
          <w:lang w:val="fr-CH"/>
        </w:rPr>
        <w:t>Les deux tiers environ</w:t>
      </w:r>
      <w:r w:rsidR="001F5EF9">
        <w:rPr>
          <w:rFonts w:eastAsia="Arial"/>
          <w:lang w:val="fr-CH"/>
        </w:rPr>
        <w:t xml:space="preserve">, soit approximativement 54'000 ha, </w:t>
      </w:r>
      <w:r w:rsidR="00BB3C80">
        <w:rPr>
          <w:rFonts w:eastAsia="Arial"/>
          <w:lang w:val="fr-CH"/>
        </w:rPr>
        <w:t>sont devenus de</w:t>
      </w:r>
      <w:r w:rsidR="00FC77C6">
        <w:rPr>
          <w:rFonts w:eastAsia="Arial"/>
          <w:lang w:val="fr-CH"/>
        </w:rPr>
        <w:t xml:space="preserve"> nouvelles zones urbanisées</w:t>
      </w:r>
      <w:r w:rsidR="0081422E">
        <w:rPr>
          <w:rFonts w:eastAsia="Arial"/>
          <w:lang w:val="fr-CH"/>
        </w:rPr>
        <w:t>,</w:t>
      </w:r>
      <w:r w:rsidR="00FC77C6">
        <w:rPr>
          <w:rFonts w:eastAsia="Arial"/>
          <w:lang w:val="fr-CH"/>
        </w:rPr>
        <w:t xml:space="preserve"> </w:t>
      </w:r>
      <w:r w:rsidR="0081422E">
        <w:rPr>
          <w:rFonts w:eastAsia="Arial"/>
          <w:lang w:val="fr-CH"/>
        </w:rPr>
        <w:t>tandis que</w:t>
      </w:r>
      <w:r w:rsidR="0081422E" w:rsidRPr="00F0226F">
        <w:rPr>
          <w:rFonts w:eastAsia="Arial"/>
          <w:lang w:val="fr-CH"/>
        </w:rPr>
        <w:t xml:space="preserve"> </w:t>
      </w:r>
      <w:r w:rsidR="001F5EF9">
        <w:rPr>
          <w:lang w:val="fr-CH"/>
        </w:rPr>
        <w:t xml:space="preserve">le </w:t>
      </w:r>
      <w:r w:rsidR="00FC77C6">
        <w:rPr>
          <w:lang w:val="fr-CH"/>
        </w:rPr>
        <w:t>tiers</w:t>
      </w:r>
      <w:r w:rsidR="00360D3F" w:rsidRPr="00F0226F">
        <w:rPr>
          <w:lang w:val="fr-CH"/>
        </w:rPr>
        <w:t xml:space="preserve"> </w:t>
      </w:r>
      <w:r w:rsidR="001F5EF9">
        <w:rPr>
          <w:lang w:val="fr-CH"/>
        </w:rPr>
        <w:t xml:space="preserve">restant </w:t>
      </w:r>
      <w:r w:rsidR="00BB3C80">
        <w:rPr>
          <w:lang w:val="fr-CH"/>
        </w:rPr>
        <w:t xml:space="preserve">a été </w:t>
      </w:r>
      <w:r w:rsidR="001F5EF9">
        <w:rPr>
          <w:lang w:val="fr-CH"/>
        </w:rPr>
        <w:t xml:space="preserve">pour l’essentiel </w:t>
      </w:r>
      <w:r w:rsidR="00BB3C80">
        <w:rPr>
          <w:lang w:val="fr-CH"/>
        </w:rPr>
        <w:t>gagné par les</w:t>
      </w:r>
      <w:r w:rsidR="00FC77C6">
        <w:rPr>
          <w:lang w:val="fr-CH"/>
        </w:rPr>
        <w:t xml:space="preserve"> bois, forêts et autres espaces naturels</w:t>
      </w:r>
      <w:r w:rsidR="00BB3C80">
        <w:rPr>
          <w:lang w:val="fr-CH"/>
        </w:rPr>
        <w:t xml:space="preserve"> à la suite</w:t>
      </w:r>
      <w:r w:rsidR="00BB3C80">
        <w:rPr>
          <w:rFonts w:eastAsia="Arial"/>
          <w:lang w:val="fr-CH"/>
        </w:rPr>
        <w:t xml:space="preserve"> de l’abandon d’exploitations</w:t>
      </w:r>
      <w:r w:rsidR="001F5EF9">
        <w:rPr>
          <w:rFonts w:eastAsia="Arial"/>
          <w:lang w:val="fr-CH"/>
        </w:rPr>
        <w:t xml:space="preserve"> (d’alpages notamment)</w:t>
      </w:r>
      <w:r w:rsidR="00201F73" w:rsidRPr="00F0226F">
        <w:rPr>
          <w:rStyle w:val="Funotenzeichen"/>
          <w:rFonts w:eastAsia="Arial"/>
          <w:lang w:val="fr-CH"/>
        </w:rPr>
        <w:footnoteReference w:id="6"/>
      </w:r>
      <w:r w:rsidR="0081422E">
        <w:rPr>
          <w:rFonts w:eastAsia="Arial"/>
          <w:lang w:val="fr-CH"/>
        </w:rPr>
        <w:t>.</w:t>
      </w:r>
      <w:r w:rsidR="00CA5B1D" w:rsidRPr="00F0226F">
        <w:rPr>
          <w:rFonts w:eastAsia="Arial"/>
          <w:lang w:val="fr-CH"/>
        </w:rPr>
        <w:t xml:space="preserve"> </w:t>
      </w:r>
      <w:r w:rsidR="001F5EF9">
        <w:rPr>
          <w:rFonts w:eastAsia="Arial"/>
          <w:lang w:val="fr-CH"/>
        </w:rPr>
        <w:t>On peut donc</w:t>
      </w:r>
      <w:r w:rsidR="006D6D90">
        <w:rPr>
          <w:rFonts w:eastAsia="Arial"/>
          <w:lang w:val="fr-CH"/>
        </w:rPr>
        <w:t xml:space="preserve"> </w:t>
      </w:r>
      <w:r w:rsidR="0081422E">
        <w:rPr>
          <w:rFonts w:eastAsia="Arial"/>
          <w:lang w:val="fr-CH"/>
        </w:rPr>
        <w:t>considérer que</w:t>
      </w:r>
      <w:r w:rsidR="001F5EF9">
        <w:rPr>
          <w:rFonts w:eastAsia="Arial"/>
          <w:lang w:val="fr-CH"/>
        </w:rPr>
        <w:t xml:space="preserve"> la perte de SDA est essentiellement due à </w:t>
      </w:r>
      <w:r w:rsidR="0081422E">
        <w:rPr>
          <w:rFonts w:eastAsia="Arial"/>
          <w:lang w:val="fr-CH"/>
        </w:rPr>
        <w:t xml:space="preserve">l’expansion </w:t>
      </w:r>
      <w:r w:rsidR="001F5EF9">
        <w:rPr>
          <w:rFonts w:eastAsia="Arial"/>
          <w:lang w:val="fr-CH"/>
        </w:rPr>
        <w:t>des surfaces urbanisées.</w:t>
      </w:r>
    </w:p>
    <w:p w14:paraId="34F9331A" w14:textId="0ACF85C5" w:rsidR="00E91566" w:rsidRPr="00F0226F" w:rsidRDefault="00BB3C80" w:rsidP="3120AD34">
      <w:pPr>
        <w:rPr>
          <w:sz w:val="22"/>
          <w:szCs w:val="22"/>
          <w:lang w:val="fr-CH"/>
        </w:rPr>
      </w:pPr>
      <w:r>
        <w:rPr>
          <w:rFonts w:eastAsia="Arial"/>
          <w:lang w:val="fr-CH"/>
        </w:rPr>
        <w:lastRenderedPageBreak/>
        <w:t>L’objectif principal de la première étape de la révision de la loi fédérale sur l’aménagement du territoire (LAT</w:t>
      </w:r>
      <w:r w:rsidR="0081422E">
        <w:rPr>
          <w:rFonts w:eastAsia="Arial"/>
          <w:lang w:val="fr-CH"/>
        </w:rPr>
        <w:t xml:space="preserve"> 1</w:t>
      </w:r>
      <w:r>
        <w:rPr>
          <w:rFonts w:eastAsia="Arial"/>
          <w:lang w:val="fr-CH"/>
        </w:rPr>
        <w:t>)</w:t>
      </w:r>
      <w:r w:rsidR="0081422E">
        <w:rPr>
          <w:rFonts w:eastAsia="Arial"/>
          <w:lang w:val="fr-CH"/>
        </w:rPr>
        <w:t>,</w:t>
      </w:r>
      <w:r w:rsidR="00B57A56">
        <w:rPr>
          <w:rFonts w:eastAsia="Arial"/>
          <w:lang w:val="fr-CH"/>
        </w:rPr>
        <w:t xml:space="preserve"> entrée en vigueur le 1</w:t>
      </w:r>
      <w:r w:rsidR="00B57A56" w:rsidRPr="00B57A56">
        <w:rPr>
          <w:rFonts w:eastAsia="Arial"/>
          <w:vertAlign w:val="superscript"/>
          <w:lang w:val="fr-CH"/>
        </w:rPr>
        <w:t>er</w:t>
      </w:r>
      <w:r w:rsidR="00B57A56">
        <w:rPr>
          <w:rFonts w:eastAsia="Arial"/>
          <w:lang w:val="fr-CH"/>
        </w:rPr>
        <w:t xml:space="preserve"> mai</w:t>
      </w:r>
      <w:r w:rsidR="3120AD34" w:rsidRPr="00F0226F">
        <w:rPr>
          <w:rFonts w:eastAsia="Arial"/>
          <w:lang w:val="fr-CH"/>
        </w:rPr>
        <w:t xml:space="preserve"> 2014</w:t>
      </w:r>
      <w:r w:rsidR="0081422E">
        <w:rPr>
          <w:rFonts w:eastAsia="Arial"/>
          <w:lang w:val="fr-CH"/>
        </w:rPr>
        <w:t>,</w:t>
      </w:r>
      <w:r w:rsidR="3120AD34" w:rsidRPr="00F0226F">
        <w:rPr>
          <w:rFonts w:eastAsia="Arial"/>
          <w:lang w:val="fr-CH"/>
        </w:rPr>
        <w:t xml:space="preserve"> </w:t>
      </w:r>
      <w:r w:rsidR="00B57A56">
        <w:rPr>
          <w:rFonts w:eastAsia="Arial"/>
          <w:lang w:val="fr-CH"/>
        </w:rPr>
        <w:t xml:space="preserve">est de </w:t>
      </w:r>
      <w:r w:rsidR="0081422E">
        <w:rPr>
          <w:rFonts w:eastAsia="Arial"/>
          <w:lang w:val="fr-CH"/>
        </w:rPr>
        <w:t xml:space="preserve">concentrer le développement de </w:t>
      </w:r>
      <w:r w:rsidR="00B57A56">
        <w:rPr>
          <w:rFonts w:eastAsia="Arial"/>
          <w:lang w:val="fr-CH"/>
        </w:rPr>
        <w:t>l’urbanisation à l’intérieur du milieu bâti et</w:t>
      </w:r>
      <w:r w:rsidR="00D01656">
        <w:rPr>
          <w:rFonts w:eastAsia="Arial"/>
          <w:lang w:val="fr-CH"/>
        </w:rPr>
        <w:t xml:space="preserve"> </w:t>
      </w:r>
      <w:r w:rsidR="00B57A56">
        <w:rPr>
          <w:rFonts w:eastAsia="Arial"/>
          <w:lang w:val="fr-CH"/>
        </w:rPr>
        <w:t>de freiner la disparition des terres cultivables</w:t>
      </w:r>
      <w:r w:rsidR="3120AD34" w:rsidRPr="00F0226F">
        <w:rPr>
          <w:rFonts w:eastAsia="Arial"/>
          <w:lang w:val="fr-CH"/>
        </w:rPr>
        <w:t xml:space="preserve">. </w:t>
      </w:r>
      <w:r w:rsidR="00B57A56">
        <w:rPr>
          <w:lang w:val="fr-CH"/>
        </w:rPr>
        <w:t>Depuis l’entrée</w:t>
      </w:r>
      <w:r w:rsidR="3120AD34" w:rsidRPr="00F0226F">
        <w:rPr>
          <w:lang w:val="fr-CH"/>
        </w:rPr>
        <w:t xml:space="preserve"> </w:t>
      </w:r>
      <w:r w:rsidR="00B57A56">
        <w:rPr>
          <w:lang w:val="fr-CH"/>
        </w:rPr>
        <w:t>en vigueur de la LAT</w:t>
      </w:r>
      <w:r w:rsidR="3120AD34" w:rsidRPr="00F0226F">
        <w:rPr>
          <w:lang w:val="fr-CH"/>
        </w:rPr>
        <w:t xml:space="preserve"> 1</w:t>
      </w:r>
      <w:r w:rsidR="00B57A56">
        <w:rPr>
          <w:lang w:val="fr-CH"/>
        </w:rPr>
        <w:t xml:space="preserve">, plusieurs dispositions nouvelles attribuent à la protection des SDA un poids plus important qu’auparavant. </w:t>
      </w:r>
      <w:r w:rsidR="0081422E">
        <w:rPr>
          <w:lang w:val="fr-CH"/>
        </w:rPr>
        <w:t>Durant</w:t>
      </w:r>
      <w:r w:rsidR="00B57A56">
        <w:rPr>
          <w:lang w:val="fr-CH"/>
        </w:rPr>
        <w:t xml:space="preserve"> la deuxième étape de la révision de la loi fédérale sur l’aménagement du territoire (LAT</w:t>
      </w:r>
      <w:r w:rsidR="3120AD34" w:rsidRPr="00F0226F">
        <w:rPr>
          <w:lang w:val="fr-CH"/>
        </w:rPr>
        <w:t xml:space="preserve"> 2)</w:t>
      </w:r>
      <w:r w:rsidR="0081422E">
        <w:rPr>
          <w:lang w:val="fr-CH"/>
        </w:rPr>
        <w:t>,</w:t>
      </w:r>
      <w:r w:rsidR="3120AD34" w:rsidRPr="00F0226F">
        <w:rPr>
          <w:lang w:val="fr-CH"/>
        </w:rPr>
        <w:t xml:space="preserve"> </w:t>
      </w:r>
      <w:r w:rsidR="006675CF">
        <w:rPr>
          <w:lang w:val="fr-CH"/>
        </w:rPr>
        <w:t>la</w:t>
      </w:r>
      <w:r w:rsidR="005973DF">
        <w:rPr>
          <w:lang w:val="fr-CH"/>
        </w:rPr>
        <w:t xml:space="preserve"> protection </w:t>
      </w:r>
      <w:r w:rsidR="006675CF">
        <w:rPr>
          <w:lang w:val="fr-CH"/>
        </w:rPr>
        <w:t>accordée</w:t>
      </w:r>
      <w:r w:rsidR="005973DF">
        <w:rPr>
          <w:lang w:val="fr-CH"/>
        </w:rPr>
        <w:t xml:space="preserve"> aux terres cultivables</w:t>
      </w:r>
      <w:r w:rsidR="006675CF">
        <w:rPr>
          <w:lang w:val="fr-CH"/>
        </w:rPr>
        <w:t xml:space="preserve"> sera encore renforcée</w:t>
      </w:r>
      <w:r w:rsidR="00B57A56">
        <w:rPr>
          <w:lang w:val="fr-CH"/>
        </w:rPr>
        <w:t>.</w:t>
      </w:r>
    </w:p>
    <w:p w14:paraId="48AAFEA5" w14:textId="1B105C0F" w:rsidR="00221729" w:rsidRPr="00F0226F" w:rsidRDefault="005973DF" w:rsidP="325E5E49">
      <w:pPr>
        <w:rPr>
          <w:rFonts w:eastAsia="Arial" w:cs="Arial"/>
          <w:lang w:val="fr-CH"/>
        </w:rPr>
      </w:pPr>
      <w:r>
        <w:rPr>
          <w:rFonts w:eastAsia="Arial" w:cs="Arial"/>
          <w:lang w:val="fr-CH"/>
        </w:rPr>
        <w:t>La</w:t>
      </w:r>
      <w:r w:rsidR="00FC74BA">
        <w:rPr>
          <w:rFonts w:eastAsia="Arial" w:cs="Arial"/>
          <w:lang w:val="fr-CH"/>
        </w:rPr>
        <w:t xml:space="preserve"> population et le monde politique</w:t>
      </w:r>
      <w:r>
        <w:rPr>
          <w:rFonts w:eastAsia="Arial" w:cs="Arial"/>
          <w:lang w:val="fr-CH"/>
        </w:rPr>
        <w:t xml:space="preserve"> ont pris conscience </w:t>
      </w:r>
      <w:r w:rsidR="00FC74BA">
        <w:rPr>
          <w:rFonts w:eastAsia="Arial" w:cs="Arial"/>
          <w:lang w:val="fr-CH"/>
        </w:rPr>
        <w:t xml:space="preserve">de la nécessité de </w:t>
      </w:r>
      <w:r>
        <w:rPr>
          <w:rFonts w:eastAsia="Arial" w:cs="Arial"/>
          <w:lang w:val="fr-CH"/>
        </w:rPr>
        <w:t>mieux protéger les</w:t>
      </w:r>
      <w:r w:rsidR="00FC74BA">
        <w:rPr>
          <w:rFonts w:eastAsia="Arial" w:cs="Arial"/>
          <w:lang w:val="fr-CH"/>
        </w:rPr>
        <w:t xml:space="preserve"> terres cultivables</w:t>
      </w:r>
      <w:r>
        <w:rPr>
          <w:rFonts w:eastAsia="Arial" w:cs="Arial"/>
          <w:lang w:val="fr-CH"/>
        </w:rPr>
        <w:t>, comme en témoignent</w:t>
      </w:r>
      <w:r w:rsidR="00FC74BA">
        <w:rPr>
          <w:rFonts w:eastAsia="Arial" w:cs="Arial"/>
          <w:lang w:val="fr-CH"/>
        </w:rPr>
        <w:t xml:space="preserve"> les initiatives sur les terres cultivables dans les cantons de </w:t>
      </w:r>
      <w:r w:rsidR="325E5E49" w:rsidRPr="00F0226F">
        <w:rPr>
          <w:rFonts w:eastAsia="Arial" w:cs="Arial"/>
          <w:lang w:val="fr-CH"/>
        </w:rPr>
        <w:t>Z</w:t>
      </w:r>
      <w:r w:rsidR="00FC74BA">
        <w:rPr>
          <w:rFonts w:eastAsia="Arial" w:cs="Arial"/>
          <w:lang w:val="fr-CH"/>
        </w:rPr>
        <w:t>u</w:t>
      </w:r>
      <w:r w:rsidR="325E5E49" w:rsidRPr="00F0226F">
        <w:rPr>
          <w:rFonts w:eastAsia="Arial" w:cs="Arial"/>
          <w:lang w:val="fr-CH"/>
        </w:rPr>
        <w:t>rich, Bern</w:t>
      </w:r>
      <w:r w:rsidR="00FC74BA">
        <w:rPr>
          <w:rFonts w:eastAsia="Arial" w:cs="Arial"/>
          <w:lang w:val="fr-CH"/>
        </w:rPr>
        <w:t>e</w:t>
      </w:r>
      <w:r w:rsidR="325E5E49" w:rsidRPr="00F0226F">
        <w:rPr>
          <w:rFonts w:eastAsia="Arial" w:cs="Arial"/>
          <w:lang w:val="fr-CH"/>
        </w:rPr>
        <w:t>, Thurg</w:t>
      </w:r>
      <w:r w:rsidR="00FC74BA">
        <w:rPr>
          <w:rFonts w:eastAsia="Arial" w:cs="Arial"/>
          <w:lang w:val="fr-CH"/>
        </w:rPr>
        <w:t>ovie</w:t>
      </w:r>
      <w:r w:rsidR="325E5E49" w:rsidRPr="00F0226F">
        <w:rPr>
          <w:rFonts w:eastAsia="Arial" w:cs="Arial"/>
          <w:lang w:val="fr-CH"/>
        </w:rPr>
        <w:t xml:space="preserve"> </w:t>
      </w:r>
      <w:r w:rsidR="00FC74BA">
        <w:rPr>
          <w:rFonts w:eastAsia="Arial" w:cs="Arial"/>
          <w:lang w:val="fr-CH"/>
        </w:rPr>
        <w:t>et</w:t>
      </w:r>
      <w:r w:rsidR="325E5E49" w:rsidRPr="00F0226F">
        <w:rPr>
          <w:rFonts w:eastAsia="Arial" w:cs="Arial"/>
          <w:lang w:val="fr-CH"/>
        </w:rPr>
        <w:t xml:space="preserve"> Lu</w:t>
      </w:r>
      <w:r w:rsidR="00FC74BA">
        <w:rPr>
          <w:rFonts w:eastAsia="Arial" w:cs="Arial"/>
          <w:lang w:val="fr-CH"/>
        </w:rPr>
        <w:t>c</w:t>
      </w:r>
      <w:r w:rsidR="325E5E49" w:rsidRPr="00F0226F">
        <w:rPr>
          <w:rFonts w:eastAsia="Arial" w:cs="Arial"/>
          <w:lang w:val="fr-CH"/>
        </w:rPr>
        <w:t>ern</w:t>
      </w:r>
      <w:r w:rsidR="00FC74BA">
        <w:rPr>
          <w:rFonts w:eastAsia="Arial" w:cs="Arial"/>
          <w:lang w:val="fr-CH"/>
        </w:rPr>
        <w:t>e, l’acceptation de l’initiative sur les résidences secondaires et le dépôt de l’initiative contre le mitage du territoire</w:t>
      </w:r>
      <w:r w:rsidR="325E5E49" w:rsidRPr="00F0226F">
        <w:rPr>
          <w:rFonts w:eastAsia="Arial" w:cs="Arial"/>
          <w:lang w:val="fr-CH"/>
        </w:rPr>
        <w:t xml:space="preserve">. </w:t>
      </w:r>
      <w:r w:rsidR="004F41CE">
        <w:rPr>
          <w:rFonts w:eastAsia="Arial" w:cs="Arial"/>
          <w:lang w:val="fr-CH"/>
        </w:rPr>
        <w:t>Le</w:t>
      </w:r>
      <w:r w:rsidR="325E5E49" w:rsidRPr="00F0226F">
        <w:rPr>
          <w:rFonts w:eastAsia="Arial" w:cs="Arial"/>
          <w:lang w:val="fr-CH"/>
        </w:rPr>
        <w:t xml:space="preserve"> 24</w:t>
      </w:r>
      <w:r w:rsidR="004F41CE">
        <w:rPr>
          <w:rFonts w:eastAsia="Arial" w:cs="Arial"/>
          <w:lang w:val="fr-CH"/>
        </w:rPr>
        <w:t xml:space="preserve"> septembre</w:t>
      </w:r>
      <w:r w:rsidR="325E5E49" w:rsidRPr="00F0226F">
        <w:rPr>
          <w:rFonts w:eastAsia="Arial" w:cs="Arial"/>
          <w:lang w:val="fr-CH"/>
        </w:rPr>
        <w:t xml:space="preserve"> 2017</w:t>
      </w:r>
      <w:r w:rsidR="004F41CE">
        <w:rPr>
          <w:rFonts w:eastAsia="Arial" w:cs="Arial"/>
          <w:lang w:val="fr-CH"/>
        </w:rPr>
        <w:t xml:space="preserve">, le peuple et les cantons ont accepté le nouvel article constitutionnel </w:t>
      </w:r>
      <w:r w:rsidR="325E5E49" w:rsidRPr="00F0226F">
        <w:rPr>
          <w:rFonts w:eastAsia="Arial" w:cs="Arial"/>
          <w:lang w:val="fr-CH"/>
        </w:rPr>
        <w:t>104</w:t>
      </w:r>
      <w:r w:rsidR="325E5E49" w:rsidRPr="007F751C">
        <w:rPr>
          <w:rFonts w:eastAsia="Arial" w:cs="Arial"/>
          <w:i/>
          <w:lang w:val="fr-CH"/>
        </w:rPr>
        <w:t>a</w:t>
      </w:r>
      <w:r w:rsidR="325E5E49" w:rsidRPr="00F0226F">
        <w:rPr>
          <w:rFonts w:eastAsia="Arial" w:cs="Arial"/>
          <w:lang w:val="fr-CH"/>
        </w:rPr>
        <w:t xml:space="preserve"> </w:t>
      </w:r>
      <w:r w:rsidR="004F41CE">
        <w:rPr>
          <w:rFonts w:eastAsia="Arial" w:cs="Arial"/>
          <w:lang w:val="fr-CH"/>
        </w:rPr>
        <w:t>sur la sécurité alimentaire</w:t>
      </w:r>
      <w:r w:rsidR="325E5E49" w:rsidRPr="00F0226F">
        <w:rPr>
          <w:rFonts w:eastAsia="Arial" w:cs="Arial"/>
          <w:lang w:val="fr-CH"/>
        </w:rPr>
        <w:t xml:space="preserve">. </w:t>
      </w:r>
      <w:r w:rsidR="00D06DF9">
        <w:rPr>
          <w:rFonts w:eastAsia="Arial" w:cs="Arial"/>
          <w:lang w:val="fr-CH"/>
        </w:rPr>
        <w:t>Cet article vise la préservation des terres agricoles, une production de denrées alimentaires adaptée aux conditions locales et utilisant les ressources de manière efficiente</w:t>
      </w:r>
      <w:r w:rsidR="325E5E49" w:rsidRPr="00F0226F">
        <w:rPr>
          <w:rFonts w:eastAsia="Arial" w:cs="Arial"/>
          <w:lang w:val="fr-CH"/>
        </w:rPr>
        <w:t xml:space="preserve"> </w:t>
      </w:r>
      <w:r w:rsidR="00D06DF9">
        <w:rPr>
          <w:rFonts w:eastAsia="Arial" w:cs="Arial"/>
          <w:lang w:val="fr-CH"/>
        </w:rPr>
        <w:t xml:space="preserve">ainsi qu’une agriculture et un secteur agroalimentaire répondant aux exigences du marché en vue d’assurer l’approvisionnement de la population en denrées alimentaires. </w:t>
      </w:r>
    </w:p>
    <w:p w14:paraId="754595B5" w14:textId="13F53070" w:rsidR="00064E3E" w:rsidRPr="00F0226F" w:rsidRDefault="00D06DF9" w:rsidP="3120AD34">
      <w:pPr>
        <w:pStyle w:val="berschrift2"/>
        <w:rPr>
          <w:rFonts w:eastAsia="Arial"/>
          <w:lang w:val="fr-CH"/>
        </w:rPr>
      </w:pPr>
      <w:bookmarkStart w:id="15" w:name="_Toc526428718"/>
      <w:bookmarkStart w:id="16" w:name="_Toc532996368"/>
      <w:r>
        <w:rPr>
          <w:rFonts w:eastAsia="Arial"/>
          <w:lang w:val="fr-CH"/>
        </w:rPr>
        <w:t>La planification alimentaire à la base du</w:t>
      </w:r>
      <w:r w:rsidR="00064E3E" w:rsidRPr="00F0226F">
        <w:rPr>
          <w:rFonts w:eastAsia="Arial"/>
          <w:lang w:val="fr-CH"/>
        </w:rPr>
        <w:t xml:space="preserve"> </w:t>
      </w:r>
      <w:r w:rsidR="0038432A">
        <w:rPr>
          <w:rFonts w:eastAsia="Arial"/>
          <w:lang w:val="fr-CH"/>
        </w:rPr>
        <w:t>P</w:t>
      </w:r>
      <w:r>
        <w:rPr>
          <w:rFonts w:eastAsia="Arial"/>
          <w:lang w:val="fr-CH"/>
        </w:rPr>
        <w:t>lan sectoriel</w:t>
      </w:r>
      <w:r w:rsidR="00064E3E" w:rsidRPr="00F0226F">
        <w:rPr>
          <w:rFonts w:eastAsia="Arial"/>
          <w:lang w:val="fr-CH"/>
        </w:rPr>
        <w:t xml:space="preserve"> </w:t>
      </w:r>
      <w:bookmarkEnd w:id="15"/>
      <w:r w:rsidR="001A3426">
        <w:rPr>
          <w:rFonts w:eastAsia="Arial"/>
          <w:lang w:val="fr-CH"/>
        </w:rPr>
        <w:t xml:space="preserve">des </w:t>
      </w:r>
      <w:r>
        <w:rPr>
          <w:rFonts w:eastAsia="Arial"/>
          <w:lang w:val="fr-CH"/>
        </w:rPr>
        <w:t>SDA</w:t>
      </w:r>
      <w:bookmarkEnd w:id="16"/>
    </w:p>
    <w:p w14:paraId="4C2B060F" w14:textId="60DDEF6D" w:rsidR="00134157" w:rsidRPr="00F0226F" w:rsidRDefault="008D203C" w:rsidP="00456836">
      <w:pPr>
        <w:rPr>
          <w:lang w:val="fr-CH"/>
        </w:rPr>
      </w:pPr>
      <w:r>
        <w:rPr>
          <w:lang w:val="fr-CH"/>
        </w:rPr>
        <w:t>Selon l’article</w:t>
      </w:r>
      <w:r w:rsidR="00134157" w:rsidRPr="00F0226F">
        <w:rPr>
          <w:lang w:val="fr-CH"/>
        </w:rPr>
        <w:t xml:space="preserve"> 102 </w:t>
      </w:r>
      <w:r>
        <w:rPr>
          <w:lang w:val="fr-CH"/>
        </w:rPr>
        <w:t>Cst</w:t>
      </w:r>
      <w:r w:rsidR="007100CF">
        <w:rPr>
          <w:lang w:val="fr-CH"/>
        </w:rPr>
        <w:t>.</w:t>
      </w:r>
      <w:r>
        <w:rPr>
          <w:lang w:val="fr-CH"/>
        </w:rPr>
        <w:t xml:space="preserve">, la Confédération assure l’approvisionnement du pays en biens et services </w:t>
      </w:r>
      <w:r w:rsidR="001A3426">
        <w:rPr>
          <w:lang w:val="fr-CH"/>
        </w:rPr>
        <w:t xml:space="preserve">de première nécessité </w:t>
      </w:r>
      <w:r>
        <w:rPr>
          <w:lang w:val="fr-CH"/>
        </w:rPr>
        <w:t>en temps de crise</w:t>
      </w:r>
      <w:r w:rsidR="00134157" w:rsidRPr="00F0226F">
        <w:rPr>
          <w:lang w:val="fr-CH"/>
        </w:rPr>
        <w:t xml:space="preserve">. </w:t>
      </w:r>
      <w:r>
        <w:rPr>
          <w:lang w:val="fr-CH"/>
        </w:rPr>
        <w:t xml:space="preserve">Elle prend </w:t>
      </w:r>
      <w:r w:rsidR="001A3426">
        <w:rPr>
          <w:lang w:val="fr-CH"/>
        </w:rPr>
        <w:t xml:space="preserve">à cet effet </w:t>
      </w:r>
      <w:r>
        <w:rPr>
          <w:lang w:val="fr-CH"/>
        </w:rPr>
        <w:t>des mesures préventives</w:t>
      </w:r>
      <w:r w:rsidR="00134157" w:rsidRPr="00F0226F">
        <w:rPr>
          <w:lang w:val="fr-CH"/>
        </w:rPr>
        <w:t xml:space="preserve">. </w:t>
      </w:r>
      <w:r w:rsidR="006675CF">
        <w:rPr>
          <w:lang w:val="fr-CH"/>
        </w:rPr>
        <w:t>D</w:t>
      </w:r>
      <w:r w:rsidR="002F29D5">
        <w:rPr>
          <w:lang w:val="fr-CH"/>
        </w:rPr>
        <w:t>epuis</w:t>
      </w:r>
      <w:r>
        <w:rPr>
          <w:lang w:val="fr-CH"/>
        </w:rPr>
        <w:t xml:space="preserve"> juin</w:t>
      </w:r>
      <w:r w:rsidR="00D85DCE" w:rsidRPr="00F0226F">
        <w:rPr>
          <w:lang w:val="fr-CH"/>
        </w:rPr>
        <w:t xml:space="preserve"> 2017</w:t>
      </w:r>
      <w:r w:rsidR="0079249F">
        <w:rPr>
          <w:lang w:val="fr-CH"/>
        </w:rPr>
        <w:t xml:space="preserve">, l’article </w:t>
      </w:r>
      <w:r w:rsidR="00D85DCE" w:rsidRPr="00F0226F">
        <w:rPr>
          <w:lang w:val="fr-CH"/>
        </w:rPr>
        <w:t xml:space="preserve">30 </w:t>
      </w:r>
      <w:r w:rsidR="0079249F">
        <w:rPr>
          <w:lang w:val="fr-CH"/>
        </w:rPr>
        <w:t>de la loi fédérale sur l’approvisionnement économique du pays</w:t>
      </w:r>
      <w:r w:rsidR="00D85DCE" w:rsidRPr="00F0226F">
        <w:rPr>
          <w:lang w:val="fr-CH"/>
        </w:rPr>
        <w:t xml:space="preserve"> (L</w:t>
      </w:r>
      <w:r w:rsidR="0079249F">
        <w:rPr>
          <w:lang w:val="fr-CH"/>
        </w:rPr>
        <w:t>AP</w:t>
      </w:r>
      <w:r w:rsidR="001A3426">
        <w:rPr>
          <w:lang w:val="fr-CH"/>
        </w:rPr>
        <w:t> ; RS 531</w:t>
      </w:r>
      <w:r w:rsidR="00D85DCE" w:rsidRPr="00F0226F">
        <w:rPr>
          <w:lang w:val="fr-CH"/>
        </w:rPr>
        <w:t>)</w:t>
      </w:r>
      <w:r w:rsidR="002F29D5">
        <w:rPr>
          <w:lang w:val="fr-CH"/>
        </w:rPr>
        <w:t xml:space="preserve"> dispose que la Confédération veille</w:t>
      </w:r>
      <w:r w:rsidR="00D85DCE" w:rsidRPr="00F0226F">
        <w:rPr>
          <w:lang w:val="fr-CH"/>
        </w:rPr>
        <w:t xml:space="preserve"> </w:t>
      </w:r>
      <w:r w:rsidR="0079249F">
        <w:rPr>
          <w:lang w:val="fr-CH"/>
        </w:rPr>
        <w:t>à maintenir suffisamment de bonnes terres cultivables, en particulier les surfaces d’assolement, afin d’assurer une base d’approvisionnement suffisante dans le pays en cas de pénurie grave. La garantie des SDA dans la perspective d</w:t>
      </w:r>
      <w:r w:rsidR="00191235">
        <w:rPr>
          <w:lang w:val="fr-CH"/>
        </w:rPr>
        <w:t>’une pénurie grave constitue une mesure préventive de la stratégie d’approvisionnement économique du pays</w:t>
      </w:r>
      <w:r w:rsidR="00134157" w:rsidRPr="00F0226F">
        <w:rPr>
          <w:rStyle w:val="Funotenzeichen"/>
          <w:lang w:val="fr-CH"/>
        </w:rPr>
        <w:footnoteReference w:id="7"/>
      </w:r>
      <w:r w:rsidR="002F29D5">
        <w:rPr>
          <w:lang w:val="fr-CH"/>
        </w:rPr>
        <w:t>.</w:t>
      </w:r>
      <w:r w:rsidR="00134157" w:rsidRPr="00F0226F">
        <w:rPr>
          <w:lang w:val="fr-CH"/>
        </w:rPr>
        <w:t xml:space="preserve"> </w:t>
      </w:r>
    </w:p>
    <w:p w14:paraId="0F8D9321" w14:textId="7CC01E30" w:rsidR="00456836" w:rsidRPr="00F0226F" w:rsidRDefault="00055D68" w:rsidP="00456836">
      <w:pPr>
        <w:rPr>
          <w:lang w:val="fr-CH"/>
        </w:rPr>
      </w:pPr>
      <w:r>
        <w:rPr>
          <w:lang w:val="fr-CH"/>
        </w:rPr>
        <w:t>Dans ce contexte, l’Office fédéral pour l’approvisionnemen</w:t>
      </w:r>
      <w:r w:rsidR="00134157" w:rsidRPr="00F0226F">
        <w:rPr>
          <w:lang w:val="fr-CH"/>
        </w:rPr>
        <w:t>t</w:t>
      </w:r>
      <w:r>
        <w:rPr>
          <w:lang w:val="fr-CH"/>
        </w:rPr>
        <w:t xml:space="preserve"> économique du pays</w:t>
      </w:r>
      <w:r w:rsidR="00134157" w:rsidRPr="00F0226F">
        <w:rPr>
          <w:lang w:val="fr-CH"/>
        </w:rPr>
        <w:t xml:space="preserve"> </w:t>
      </w:r>
      <w:r w:rsidR="003D3EB6">
        <w:rPr>
          <w:lang w:val="fr-CH"/>
        </w:rPr>
        <w:t>(OFAE</w:t>
      </w:r>
      <w:r w:rsidR="00134157" w:rsidRPr="00F0226F">
        <w:rPr>
          <w:lang w:val="fr-CH"/>
        </w:rPr>
        <w:t xml:space="preserve">) </w:t>
      </w:r>
      <w:r w:rsidR="003D3EB6">
        <w:rPr>
          <w:lang w:val="fr-CH"/>
        </w:rPr>
        <w:t>a procédé</w:t>
      </w:r>
      <w:r w:rsidR="006675CF">
        <w:rPr>
          <w:lang w:val="fr-CH"/>
        </w:rPr>
        <w:t>,</w:t>
      </w:r>
      <w:r w:rsidR="003D3EB6">
        <w:rPr>
          <w:lang w:val="fr-CH"/>
        </w:rPr>
        <w:t xml:space="preserve"> en collaboration avec </w:t>
      </w:r>
      <w:r w:rsidR="00456836" w:rsidRPr="00F0226F">
        <w:rPr>
          <w:lang w:val="fr-CH"/>
        </w:rPr>
        <w:t xml:space="preserve">Agroscope </w:t>
      </w:r>
      <w:r w:rsidR="003D3EB6">
        <w:rPr>
          <w:lang w:val="fr-CH"/>
        </w:rPr>
        <w:t xml:space="preserve">et </w:t>
      </w:r>
      <w:r w:rsidR="006D6D90">
        <w:rPr>
          <w:lang w:val="fr-CH"/>
        </w:rPr>
        <w:t>un large cercle d’</w:t>
      </w:r>
      <w:r w:rsidR="003D3EB6">
        <w:rPr>
          <w:lang w:val="fr-CH"/>
        </w:rPr>
        <w:t>experts</w:t>
      </w:r>
      <w:r w:rsidR="006675CF">
        <w:rPr>
          <w:lang w:val="fr-CH"/>
        </w:rPr>
        <w:t>,</w:t>
      </w:r>
      <w:r w:rsidR="003D3EB6">
        <w:rPr>
          <w:lang w:val="fr-CH"/>
        </w:rPr>
        <w:t xml:space="preserve"> à une</w:t>
      </w:r>
      <w:r w:rsidR="00456836" w:rsidRPr="00F0226F">
        <w:rPr>
          <w:lang w:val="fr-CH"/>
        </w:rPr>
        <w:t xml:space="preserve"> </w:t>
      </w:r>
      <w:r w:rsidR="003D3EB6">
        <w:rPr>
          <w:lang w:val="fr-CH"/>
        </w:rPr>
        <w:t>a</w:t>
      </w:r>
      <w:r w:rsidR="00456836" w:rsidRPr="00F0226F">
        <w:rPr>
          <w:lang w:val="fr-CH"/>
        </w:rPr>
        <w:t xml:space="preserve">nalyse </w:t>
      </w:r>
      <w:r w:rsidR="003D3EB6">
        <w:rPr>
          <w:lang w:val="fr-CH"/>
        </w:rPr>
        <w:t xml:space="preserve">du potentiel </w:t>
      </w:r>
      <w:r w:rsidR="000B65FB">
        <w:rPr>
          <w:lang w:val="fr-CH"/>
        </w:rPr>
        <w:t xml:space="preserve">alimentaire </w:t>
      </w:r>
      <w:r w:rsidR="003D3EB6">
        <w:rPr>
          <w:lang w:val="fr-CH"/>
        </w:rPr>
        <w:t xml:space="preserve">actuel des surfaces agricoles </w:t>
      </w:r>
      <w:r w:rsidR="000B65FB">
        <w:rPr>
          <w:lang w:val="fr-CH"/>
        </w:rPr>
        <w:t>cultivées en</w:t>
      </w:r>
      <w:r w:rsidR="003D3EB6">
        <w:rPr>
          <w:lang w:val="fr-CH"/>
        </w:rPr>
        <w:t xml:space="preserve"> Suisse. Cette étude montre quelle contribution la production indigène peut apporter </w:t>
      </w:r>
      <w:r w:rsidR="00E71DD4">
        <w:rPr>
          <w:lang w:val="fr-CH"/>
        </w:rPr>
        <w:t xml:space="preserve">à l’approvisionnement en denrées alimentaires en cas de perturbation des importations de produits agricoles si les </w:t>
      </w:r>
      <w:r w:rsidR="003D3EB6">
        <w:rPr>
          <w:lang w:val="fr-CH"/>
        </w:rPr>
        <w:t>surfaces agricoles encore disponibles aujourd’hui</w:t>
      </w:r>
      <w:r w:rsidR="00E71DD4">
        <w:rPr>
          <w:lang w:val="fr-CH"/>
        </w:rPr>
        <w:t xml:space="preserve"> sont utilisées de façon optimale</w:t>
      </w:r>
      <w:r w:rsidR="00456836" w:rsidRPr="00F0226F">
        <w:rPr>
          <w:lang w:val="fr-CH"/>
        </w:rPr>
        <w:t>.</w:t>
      </w:r>
      <w:r w:rsidR="0078738E" w:rsidRPr="00F0226F">
        <w:rPr>
          <w:lang w:val="fr-CH"/>
        </w:rPr>
        <w:t xml:space="preserve"> </w:t>
      </w:r>
      <w:r w:rsidR="00E71DD4">
        <w:rPr>
          <w:lang w:val="fr-CH"/>
        </w:rPr>
        <w:t xml:space="preserve">Les résultats obtenus ont </w:t>
      </w:r>
      <w:r w:rsidR="002F29D5">
        <w:rPr>
          <w:lang w:val="fr-CH"/>
        </w:rPr>
        <w:t xml:space="preserve">révélé </w:t>
      </w:r>
      <w:r w:rsidR="000C44F7">
        <w:rPr>
          <w:lang w:val="fr-CH"/>
        </w:rPr>
        <w:t xml:space="preserve">que la surface </w:t>
      </w:r>
      <w:r w:rsidR="0015753A">
        <w:rPr>
          <w:lang w:val="fr-CH"/>
        </w:rPr>
        <w:t xml:space="preserve">minimale d’assolement </w:t>
      </w:r>
      <w:r w:rsidR="000C44F7">
        <w:rPr>
          <w:lang w:val="fr-CH"/>
        </w:rPr>
        <w:t xml:space="preserve">actuelle </w:t>
      </w:r>
      <w:r w:rsidR="0015753A">
        <w:rPr>
          <w:lang w:val="fr-CH"/>
        </w:rPr>
        <w:t>répondant</w:t>
      </w:r>
      <w:r w:rsidR="000C44F7">
        <w:rPr>
          <w:lang w:val="fr-CH"/>
        </w:rPr>
        <w:t xml:space="preserve"> aux critères</w:t>
      </w:r>
      <w:r w:rsidR="0015753A">
        <w:rPr>
          <w:lang w:val="fr-CH"/>
        </w:rPr>
        <w:t xml:space="preserve"> de qualité</w:t>
      </w:r>
      <w:r w:rsidR="000C44F7">
        <w:rPr>
          <w:lang w:val="fr-CH"/>
        </w:rPr>
        <w:t xml:space="preserve"> définis dans l’aide à la mise en œuvre </w:t>
      </w:r>
      <w:r w:rsidR="000C44F7" w:rsidRPr="00F0226F">
        <w:rPr>
          <w:lang w:val="fr-CH"/>
        </w:rPr>
        <w:t xml:space="preserve">2006 </w:t>
      </w:r>
      <w:r w:rsidR="000C44F7">
        <w:rPr>
          <w:lang w:val="fr-CH"/>
        </w:rPr>
        <w:t>de l’</w:t>
      </w:r>
      <w:r w:rsidR="000D4AF7">
        <w:rPr>
          <w:lang w:val="fr-CH"/>
        </w:rPr>
        <w:t>Office fédéral du développement territorial (</w:t>
      </w:r>
      <w:r w:rsidR="000C44F7">
        <w:rPr>
          <w:lang w:val="fr-CH"/>
        </w:rPr>
        <w:t>ARE</w:t>
      </w:r>
      <w:r w:rsidR="000D4AF7">
        <w:rPr>
          <w:lang w:val="fr-CH"/>
        </w:rPr>
        <w:t>)</w:t>
      </w:r>
      <w:r w:rsidR="000C44F7">
        <w:rPr>
          <w:lang w:val="fr-CH"/>
        </w:rPr>
        <w:t xml:space="preserve"> permettait</w:t>
      </w:r>
      <w:r w:rsidR="00E71DD4">
        <w:rPr>
          <w:lang w:val="fr-CH"/>
        </w:rPr>
        <w:t xml:space="preserve"> de produire 2300</w:t>
      </w:r>
      <w:r w:rsidR="000C44F7">
        <w:rPr>
          <w:lang w:val="fr-CH"/>
        </w:rPr>
        <w:t xml:space="preserve"> k</w:t>
      </w:r>
      <w:r w:rsidR="00E71DD4">
        <w:rPr>
          <w:lang w:val="fr-CH"/>
        </w:rPr>
        <w:t>cal/</w:t>
      </w:r>
      <w:r w:rsidR="0015753A">
        <w:rPr>
          <w:lang w:val="fr-CH"/>
        </w:rPr>
        <w:t>tête</w:t>
      </w:r>
      <w:r w:rsidR="00E71DD4">
        <w:rPr>
          <w:lang w:val="fr-CH"/>
        </w:rPr>
        <w:t>/jour pour une population de quelque 8</w:t>
      </w:r>
      <w:r w:rsidR="006D6D90">
        <w:rPr>
          <w:lang w:val="fr-CH"/>
        </w:rPr>
        <w:t>,14</w:t>
      </w:r>
      <w:r w:rsidR="00E71DD4">
        <w:rPr>
          <w:lang w:val="fr-CH"/>
        </w:rPr>
        <w:t xml:space="preserve"> millions d’habitants</w:t>
      </w:r>
      <w:r w:rsidR="00456836" w:rsidRPr="00F0226F">
        <w:rPr>
          <w:lang w:val="fr-CH"/>
        </w:rPr>
        <w:t xml:space="preserve">. </w:t>
      </w:r>
      <w:r w:rsidR="000C44F7">
        <w:rPr>
          <w:lang w:val="fr-CH"/>
        </w:rPr>
        <w:t xml:space="preserve">Cette quantité de calories </w:t>
      </w:r>
      <w:r w:rsidR="006675CF">
        <w:rPr>
          <w:lang w:val="fr-CH"/>
        </w:rPr>
        <w:t>est conforme à celle qui figure dans le</w:t>
      </w:r>
      <w:r w:rsidR="000C44F7">
        <w:rPr>
          <w:lang w:val="fr-CH"/>
        </w:rPr>
        <w:t xml:space="preserve"> plan alimentaire de 1990 qui prévoyait </w:t>
      </w:r>
      <w:r w:rsidR="0015753A">
        <w:rPr>
          <w:lang w:val="fr-CH"/>
        </w:rPr>
        <w:t>une valeur minimale</w:t>
      </w:r>
      <w:r w:rsidR="00642D58">
        <w:rPr>
          <w:lang w:val="fr-CH"/>
        </w:rPr>
        <w:t xml:space="preserve"> de</w:t>
      </w:r>
      <w:r w:rsidR="000C44F7">
        <w:rPr>
          <w:lang w:val="fr-CH"/>
        </w:rPr>
        <w:t xml:space="preserve"> 2300 kcal</w:t>
      </w:r>
      <w:r w:rsidR="0015753A">
        <w:rPr>
          <w:lang w:val="fr-CH"/>
        </w:rPr>
        <w:t>,</w:t>
      </w:r>
      <w:r w:rsidR="000C44F7">
        <w:rPr>
          <w:lang w:val="fr-CH"/>
        </w:rPr>
        <w:t xml:space="preserve"> correspondant à</w:t>
      </w:r>
      <w:r w:rsidR="00456836" w:rsidRPr="00F0226F">
        <w:rPr>
          <w:lang w:val="fr-CH"/>
        </w:rPr>
        <w:t xml:space="preserve"> 78% d</w:t>
      </w:r>
      <w:r w:rsidR="000C44F7">
        <w:rPr>
          <w:lang w:val="fr-CH"/>
        </w:rPr>
        <w:t xml:space="preserve">e la quantité moyenne de </w:t>
      </w:r>
      <w:r w:rsidR="006675CF">
        <w:rPr>
          <w:lang w:val="fr-CH"/>
        </w:rPr>
        <w:t>3</w:t>
      </w:r>
      <w:r w:rsidR="0015753A" w:rsidRPr="00F0226F">
        <w:rPr>
          <w:lang w:val="fr-CH"/>
        </w:rPr>
        <w:t xml:space="preserve">015 </w:t>
      </w:r>
      <w:r w:rsidR="0015753A" w:rsidRPr="00F0226F">
        <w:rPr>
          <w:rFonts w:eastAsia="Arial"/>
          <w:lang w:val="fr-CH"/>
        </w:rPr>
        <w:t>kcal/</w:t>
      </w:r>
      <w:r w:rsidR="0015753A">
        <w:rPr>
          <w:rFonts w:eastAsia="Arial"/>
          <w:lang w:val="fr-CH"/>
        </w:rPr>
        <w:t>tête</w:t>
      </w:r>
      <w:r w:rsidR="0015753A" w:rsidRPr="00F0226F">
        <w:rPr>
          <w:rFonts w:eastAsia="Arial"/>
          <w:lang w:val="fr-CH"/>
        </w:rPr>
        <w:t>/</w:t>
      </w:r>
      <w:r w:rsidR="0015753A">
        <w:rPr>
          <w:rFonts w:eastAsia="Arial"/>
          <w:lang w:val="fr-CH"/>
        </w:rPr>
        <w:t>jour</w:t>
      </w:r>
      <w:r w:rsidR="000C44F7">
        <w:rPr>
          <w:lang w:val="fr-CH"/>
        </w:rPr>
        <w:t xml:space="preserve"> recommandée à l’heure actuelle</w:t>
      </w:r>
      <w:r w:rsidR="00456836" w:rsidRPr="00F0226F">
        <w:rPr>
          <w:lang w:val="fr-CH"/>
        </w:rPr>
        <w:t>.</w:t>
      </w:r>
    </w:p>
    <w:p w14:paraId="7198A089" w14:textId="10763C72" w:rsidR="00B3204A" w:rsidRPr="00F0226F" w:rsidRDefault="00642D58" w:rsidP="00456836">
      <w:pPr>
        <w:rPr>
          <w:lang w:val="fr-CH"/>
        </w:rPr>
      </w:pPr>
      <w:r>
        <w:rPr>
          <w:lang w:val="fr-CH"/>
        </w:rPr>
        <w:t xml:space="preserve">Il est possible de </w:t>
      </w:r>
      <w:r w:rsidR="002C1686">
        <w:rPr>
          <w:lang w:val="fr-CH"/>
        </w:rPr>
        <w:t>parvenir à la quantité minimale de calories visée par personne</w:t>
      </w:r>
      <w:r>
        <w:rPr>
          <w:lang w:val="fr-CH"/>
        </w:rPr>
        <w:t xml:space="preserve"> pour autant que</w:t>
      </w:r>
      <w:r w:rsidR="002C1686">
        <w:rPr>
          <w:lang w:val="fr-CH"/>
        </w:rPr>
        <w:t xml:space="preserve"> plusieurs conditions-cadre </w:t>
      </w:r>
      <w:r>
        <w:rPr>
          <w:lang w:val="fr-CH"/>
        </w:rPr>
        <w:t>soient</w:t>
      </w:r>
      <w:r w:rsidR="002C1686">
        <w:rPr>
          <w:lang w:val="fr-CH"/>
        </w:rPr>
        <w:t xml:space="preserve"> respectées </w:t>
      </w:r>
      <w:r w:rsidR="325E5E49" w:rsidRPr="00F0226F">
        <w:rPr>
          <w:lang w:val="fr-CH"/>
        </w:rPr>
        <w:t xml:space="preserve">: a.) </w:t>
      </w:r>
      <w:r w:rsidR="000B65FB">
        <w:rPr>
          <w:lang w:val="fr-CH"/>
        </w:rPr>
        <w:t>L</w:t>
      </w:r>
      <w:r w:rsidR="002C1686">
        <w:rPr>
          <w:lang w:val="fr-CH"/>
        </w:rPr>
        <w:t xml:space="preserve">e panier de la ménagère ne correspond </w:t>
      </w:r>
      <w:r w:rsidR="0015753A">
        <w:rPr>
          <w:lang w:val="fr-CH"/>
        </w:rPr>
        <w:t xml:space="preserve">pas </w:t>
      </w:r>
      <w:r w:rsidR="002C1686">
        <w:rPr>
          <w:lang w:val="fr-CH"/>
        </w:rPr>
        <w:t>aux habitudes de consommation actuelles</w:t>
      </w:r>
      <w:r w:rsidR="325E5E49" w:rsidRPr="00F0226F">
        <w:rPr>
          <w:lang w:val="fr-CH"/>
        </w:rPr>
        <w:t xml:space="preserve"> (</w:t>
      </w:r>
      <w:r w:rsidR="002C1686">
        <w:rPr>
          <w:lang w:val="fr-CH"/>
        </w:rPr>
        <w:t>plus d’hydrates de carbone</w:t>
      </w:r>
      <w:r w:rsidR="006D6D90">
        <w:rPr>
          <w:lang w:val="fr-CH"/>
        </w:rPr>
        <w:t xml:space="preserve"> issus de végétaux</w:t>
      </w:r>
      <w:r w:rsidR="002C1686">
        <w:rPr>
          <w:lang w:val="fr-CH"/>
        </w:rPr>
        <w:t xml:space="preserve"> et moins de viande, légumes, fruits et graisses végétales</w:t>
      </w:r>
      <w:r w:rsidR="325E5E49" w:rsidRPr="00F0226F">
        <w:rPr>
          <w:lang w:val="fr-CH"/>
        </w:rPr>
        <w:t>)</w:t>
      </w:r>
      <w:r w:rsidR="0015753A">
        <w:rPr>
          <w:lang w:val="fr-CH"/>
        </w:rPr>
        <w:t> ;</w:t>
      </w:r>
      <w:r w:rsidR="325E5E49" w:rsidRPr="00F0226F">
        <w:rPr>
          <w:lang w:val="fr-CH"/>
        </w:rPr>
        <w:t xml:space="preserve"> b.) </w:t>
      </w:r>
      <w:r w:rsidR="0015753A">
        <w:rPr>
          <w:lang w:val="fr-CH"/>
        </w:rPr>
        <w:t xml:space="preserve">du </w:t>
      </w:r>
      <w:r w:rsidR="002C1686">
        <w:rPr>
          <w:lang w:val="fr-CH"/>
        </w:rPr>
        <w:t xml:space="preserve">point de vue nutritionnel, il </w:t>
      </w:r>
      <w:r w:rsidR="325E5E49" w:rsidRPr="00F0226F">
        <w:rPr>
          <w:lang w:val="fr-CH"/>
        </w:rPr>
        <w:t>e</w:t>
      </w:r>
      <w:r w:rsidR="002C1686">
        <w:rPr>
          <w:lang w:val="fr-CH"/>
        </w:rPr>
        <w:t>st difficile, même avec une utilisation optimale, de produire les protéines indispensables</w:t>
      </w:r>
      <w:r w:rsidR="325E5E49" w:rsidRPr="00F0226F">
        <w:rPr>
          <w:lang w:val="fr-CH"/>
        </w:rPr>
        <w:t xml:space="preserve"> (</w:t>
      </w:r>
      <w:r w:rsidR="002C1686">
        <w:rPr>
          <w:lang w:val="fr-CH"/>
        </w:rPr>
        <w:t>issues de la production végétale</w:t>
      </w:r>
      <w:r w:rsidR="0015753A">
        <w:rPr>
          <w:lang w:val="fr-CH"/>
        </w:rPr>
        <w:t>) ;</w:t>
      </w:r>
      <w:r w:rsidR="0015753A" w:rsidRPr="00F0226F">
        <w:rPr>
          <w:lang w:val="fr-CH"/>
        </w:rPr>
        <w:t xml:space="preserve"> </w:t>
      </w:r>
      <w:r w:rsidR="325E5E49" w:rsidRPr="00F0226F">
        <w:rPr>
          <w:lang w:val="fr-CH"/>
        </w:rPr>
        <w:t>c.)</w:t>
      </w:r>
      <w:r w:rsidR="002C1686">
        <w:rPr>
          <w:lang w:val="fr-CH"/>
        </w:rPr>
        <w:t xml:space="preserve"> </w:t>
      </w:r>
      <w:r w:rsidR="0015753A">
        <w:rPr>
          <w:lang w:val="fr-CH"/>
        </w:rPr>
        <w:t xml:space="preserve">le </w:t>
      </w:r>
      <w:r w:rsidR="002C1686">
        <w:rPr>
          <w:lang w:val="fr-CH"/>
        </w:rPr>
        <w:t xml:space="preserve">calcul présente les meilleurs résultats </w:t>
      </w:r>
      <w:r w:rsidR="006675CF">
        <w:rPr>
          <w:lang w:val="fr-CH"/>
        </w:rPr>
        <w:t>possibles</w:t>
      </w:r>
      <w:r w:rsidR="002C1686">
        <w:rPr>
          <w:lang w:val="fr-CH"/>
        </w:rPr>
        <w:t xml:space="preserve"> si toutes les conditions sont </w:t>
      </w:r>
      <w:r w:rsidR="006675CF">
        <w:rPr>
          <w:lang w:val="fr-CH"/>
        </w:rPr>
        <w:t xml:space="preserve">absolument </w:t>
      </w:r>
      <w:r w:rsidR="002C1686">
        <w:rPr>
          <w:lang w:val="fr-CH"/>
        </w:rPr>
        <w:t xml:space="preserve">optimales. </w:t>
      </w:r>
      <w:r w:rsidR="00E122C0">
        <w:rPr>
          <w:lang w:val="fr-CH"/>
        </w:rPr>
        <w:t>C</w:t>
      </w:r>
      <w:r w:rsidR="002C1686">
        <w:rPr>
          <w:lang w:val="fr-CH"/>
        </w:rPr>
        <w:t>ette modélisation</w:t>
      </w:r>
      <w:r w:rsidR="00E122C0">
        <w:rPr>
          <w:lang w:val="fr-CH"/>
        </w:rPr>
        <w:t xml:space="preserve"> présuppose </w:t>
      </w:r>
      <w:r w:rsidR="002C1686">
        <w:rPr>
          <w:lang w:val="fr-CH"/>
        </w:rPr>
        <w:t>l’existence de tous les moyens de production tels que l’eau, les semences, les engrais, le fourrage, les moyens phytosanitaires, le savoir spécialisé, la main d’œuvre, les machines et surtout le sol</w:t>
      </w:r>
      <w:r w:rsidR="0015753A">
        <w:rPr>
          <w:lang w:val="fr-CH"/>
        </w:rPr>
        <w:t xml:space="preserve"> ; </w:t>
      </w:r>
      <w:r w:rsidR="325E5E49" w:rsidRPr="00F0226F">
        <w:rPr>
          <w:lang w:val="fr-CH"/>
        </w:rPr>
        <w:t xml:space="preserve">d) </w:t>
      </w:r>
      <w:r w:rsidR="0015753A">
        <w:rPr>
          <w:lang w:val="fr-CH"/>
        </w:rPr>
        <w:t xml:space="preserve">par </w:t>
      </w:r>
      <w:r w:rsidR="00E122C0">
        <w:rPr>
          <w:lang w:val="fr-CH"/>
        </w:rPr>
        <w:t xml:space="preserve">ailleurs, en cas de pénurie grave, une reconversion de la production exige au moins une </w:t>
      </w:r>
      <w:r w:rsidR="325E5E49" w:rsidRPr="00F0226F">
        <w:rPr>
          <w:lang w:val="fr-CH"/>
        </w:rPr>
        <w:t>p</w:t>
      </w:r>
      <w:r w:rsidR="00E122C0">
        <w:rPr>
          <w:lang w:val="fr-CH"/>
        </w:rPr>
        <w:t>é</w:t>
      </w:r>
      <w:r w:rsidR="325E5E49" w:rsidRPr="00F0226F">
        <w:rPr>
          <w:lang w:val="fr-CH"/>
        </w:rPr>
        <w:t>riode</w:t>
      </w:r>
      <w:r w:rsidR="00E122C0">
        <w:rPr>
          <w:lang w:val="fr-CH"/>
        </w:rPr>
        <w:t xml:space="preserve"> de végétation</w:t>
      </w:r>
      <w:r w:rsidR="325E5E49" w:rsidRPr="00F0226F">
        <w:rPr>
          <w:lang w:val="fr-CH"/>
        </w:rPr>
        <w:t>.</w:t>
      </w:r>
    </w:p>
    <w:p w14:paraId="5F77D55D" w14:textId="7C976143" w:rsidR="004D4DA4" w:rsidRPr="00F0226F" w:rsidRDefault="00E122C0" w:rsidP="092AEEA6">
      <w:pPr>
        <w:rPr>
          <w:lang w:val="fr-CH"/>
        </w:rPr>
      </w:pPr>
      <w:r>
        <w:rPr>
          <w:lang w:val="fr-CH"/>
        </w:rPr>
        <w:lastRenderedPageBreak/>
        <w:t xml:space="preserve">Dans ses calculs, l’OFAE a </w:t>
      </w:r>
      <w:r w:rsidR="0015753A">
        <w:rPr>
          <w:lang w:val="fr-CH"/>
        </w:rPr>
        <w:t>admis un nombre constant d’habitants,</w:t>
      </w:r>
      <w:r w:rsidR="00456836" w:rsidRPr="00F0226F">
        <w:rPr>
          <w:lang w:val="fr-CH"/>
        </w:rPr>
        <w:t xml:space="preserve"> </w:t>
      </w:r>
      <w:r>
        <w:rPr>
          <w:lang w:val="fr-CH"/>
        </w:rPr>
        <w:t>car l’expérience des années passées a montré que l’augmentation des rendements</w:t>
      </w:r>
      <w:r w:rsidR="00456836" w:rsidRPr="00F0226F">
        <w:rPr>
          <w:lang w:val="fr-CH"/>
        </w:rPr>
        <w:t xml:space="preserve"> </w:t>
      </w:r>
      <w:r w:rsidR="00642D58">
        <w:rPr>
          <w:lang w:val="fr-CH"/>
        </w:rPr>
        <w:t xml:space="preserve">pouvait </w:t>
      </w:r>
      <w:r w:rsidR="00557626">
        <w:rPr>
          <w:lang w:val="fr-CH"/>
        </w:rPr>
        <w:t xml:space="preserve">suivre le rythme de </w:t>
      </w:r>
      <w:r w:rsidR="00642D58">
        <w:rPr>
          <w:lang w:val="fr-CH"/>
        </w:rPr>
        <w:t xml:space="preserve">l’accroissement démographique </w:t>
      </w:r>
      <w:r w:rsidR="000B65FB">
        <w:rPr>
          <w:lang w:val="fr-CH"/>
        </w:rPr>
        <w:t>en cas de disponibilité illimitée des moyens auxiliaires</w:t>
      </w:r>
      <w:r w:rsidR="00456836" w:rsidRPr="00F0226F">
        <w:rPr>
          <w:rStyle w:val="Funotenzeichen"/>
          <w:lang w:val="fr-CH"/>
        </w:rPr>
        <w:footnoteReference w:id="8"/>
      </w:r>
      <w:r w:rsidR="00456836" w:rsidRPr="00F0226F">
        <w:rPr>
          <w:lang w:val="fr-CH"/>
        </w:rPr>
        <w:t xml:space="preserve">. </w:t>
      </w:r>
      <w:r w:rsidR="00DC3E12">
        <w:rPr>
          <w:lang w:val="fr-CH"/>
        </w:rPr>
        <w:t>L’Office fédéral de la statistique</w:t>
      </w:r>
      <w:r w:rsidR="009F1AEE" w:rsidRPr="00F0226F">
        <w:rPr>
          <w:lang w:val="fr-CH"/>
        </w:rPr>
        <w:t xml:space="preserve"> (</w:t>
      </w:r>
      <w:r w:rsidR="00DC3E12">
        <w:rPr>
          <w:lang w:val="fr-CH"/>
        </w:rPr>
        <w:t>O</w:t>
      </w:r>
      <w:r w:rsidR="00456836" w:rsidRPr="00F0226F">
        <w:rPr>
          <w:lang w:val="fr-CH"/>
        </w:rPr>
        <w:t>FS</w:t>
      </w:r>
      <w:r w:rsidR="009F1AEE" w:rsidRPr="00F0226F">
        <w:rPr>
          <w:lang w:val="fr-CH"/>
        </w:rPr>
        <w:t>)</w:t>
      </w:r>
      <w:r w:rsidR="00456836" w:rsidRPr="00F0226F">
        <w:rPr>
          <w:lang w:val="fr-CH"/>
        </w:rPr>
        <w:t xml:space="preserve"> </w:t>
      </w:r>
      <w:r w:rsidR="006675CF">
        <w:rPr>
          <w:lang w:val="fr-CH"/>
        </w:rPr>
        <w:t>table</w:t>
      </w:r>
      <w:r w:rsidR="00557626">
        <w:rPr>
          <w:lang w:val="fr-CH"/>
        </w:rPr>
        <w:t xml:space="preserve"> sur </w:t>
      </w:r>
      <w:r w:rsidR="00DC3E12">
        <w:rPr>
          <w:lang w:val="fr-CH"/>
        </w:rPr>
        <w:t xml:space="preserve">une croissance démographique </w:t>
      </w:r>
      <w:r w:rsidR="00D63B92">
        <w:rPr>
          <w:lang w:val="fr-CH"/>
        </w:rPr>
        <w:t>continue</w:t>
      </w:r>
      <w:r w:rsidR="006675CF">
        <w:rPr>
          <w:lang w:val="fr-CH"/>
        </w:rPr>
        <w:t xml:space="preserve"> et une hausse de la</w:t>
      </w:r>
      <w:r w:rsidR="00DC3E12">
        <w:rPr>
          <w:lang w:val="fr-CH"/>
        </w:rPr>
        <w:t xml:space="preserve"> population à </w:t>
      </w:r>
      <w:r w:rsidR="00456836" w:rsidRPr="00F0226F">
        <w:rPr>
          <w:lang w:val="fr-CH"/>
        </w:rPr>
        <w:t>10</w:t>
      </w:r>
      <w:r w:rsidR="00DC3E12">
        <w:rPr>
          <w:lang w:val="fr-CH"/>
        </w:rPr>
        <w:t>,</w:t>
      </w:r>
      <w:r w:rsidR="00456836" w:rsidRPr="00F0226F">
        <w:rPr>
          <w:lang w:val="fr-CH"/>
        </w:rPr>
        <w:t xml:space="preserve">2 </w:t>
      </w:r>
      <w:r w:rsidR="00DC3E12">
        <w:rPr>
          <w:lang w:val="fr-CH"/>
        </w:rPr>
        <w:t xml:space="preserve">millions </w:t>
      </w:r>
      <w:r w:rsidR="00075A31">
        <w:rPr>
          <w:lang w:val="fr-CH"/>
        </w:rPr>
        <w:t xml:space="preserve">d’habitants </w:t>
      </w:r>
      <w:r w:rsidR="00456836" w:rsidRPr="00F0226F">
        <w:rPr>
          <w:lang w:val="fr-CH"/>
        </w:rPr>
        <w:t>en 2045</w:t>
      </w:r>
      <w:r w:rsidR="00456836" w:rsidRPr="00F0226F">
        <w:rPr>
          <w:rStyle w:val="Funotenzeichen"/>
          <w:lang w:val="fr-CH"/>
        </w:rPr>
        <w:footnoteReference w:id="9"/>
      </w:r>
      <w:r w:rsidR="00D63B92">
        <w:rPr>
          <w:lang w:val="fr-CH"/>
        </w:rPr>
        <w:t xml:space="preserve">, </w:t>
      </w:r>
      <w:r w:rsidR="00075A31">
        <w:rPr>
          <w:lang w:val="fr-CH"/>
        </w:rPr>
        <w:t>alors que diverses études prévoient une stagnation des taux de rendement de la productivité agricole en Europe</w:t>
      </w:r>
      <w:r w:rsidR="00456836" w:rsidRPr="00F0226F">
        <w:rPr>
          <w:rStyle w:val="Funotenzeichen"/>
          <w:lang w:val="fr-CH"/>
        </w:rPr>
        <w:footnoteReference w:id="10"/>
      </w:r>
      <w:r w:rsidR="002F292A" w:rsidRPr="00F0226F">
        <w:rPr>
          <w:lang w:val="fr-CH"/>
        </w:rPr>
        <w:t>.</w:t>
      </w:r>
    </w:p>
    <w:p w14:paraId="2D8F11EA" w14:textId="46794E9A" w:rsidR="00456836" w:rsidRPr="00F0226F" w:rsidRDefault="00D63B92" w:rsidP="00456836">
      <w:pPr>
        <w:rPr>
          <w:lang w:val="fr-CH"/>
        </w:rPr>
      </w:pPr>
      <w:r>
        <w:rPr>
          <w:lang w:val="fr-CH"/>
        </w:rPr>
        <w:t>Les résultats de cette analyse</w:t>
      </w:r>
      <w:r w:rsidR="00456836" w:rsidRPr="00F0226F">
        <w:rPr>
          <w:lang w:val="fr-CH"/>
        </w:rPr>
        <w:t xml:space="preserve"> </w:t>
      </w:r>
      <w:r>
        <w:rPr>
          <w:lang w:val="fr-CH"/>
        </w:rPr>
        <w:t>confortent l’idée qu’il est très important de préserver la surface minimale d’assolement actuelle pour garantir la sécurité alimentaire de la Suisse en cas de pénurie grave</w:t>
      </w:r>
      <w:r w:rsidR="00456836" w:rsidRPr="00F0226F">
        <w:rPr>
          <w:lang w:val="fr-CH"/>
        </w:rPr>
        <w:t>.</w:t>
      </w:r>
    </w:p>
    <w:p w14:paraId="69E7044D" w14:textId="34634548" w:rsidR="00C264D9" w:rsidRPr="00F0226F" w:rsidRDefault="007878A4" w:rsidP="005D1CBC">
      <w:pPr>
        <w:pStyle w:val="berschrift2"/>
        <w:rPr>
          <w:lang w:val="fr-CH"/>
        </w:rPr>
      </w:pPr>
      <w:bookmarkStart w:id="17" w:name="_Ref532980875"/>
      <w:bookmarkStart w:id="18" w:name="_Toc532996369"/>
      <w:r>
        <w:rPr>
          <w:lang w:val="fr-CH"/>
        </w:rPr>
        <w:t xml:space="preserve">Insuffisance des informations </w:t>
      </w:r>
      <w:r w:rsidR="00032063">
        <w:rPr>
          <w:lang w:val="fr-CH"/>
        </w:rPr>
        <w:t>sur les</w:t>
      </w:r>
      <w:r>
        <w:rPr>
          <w:lang w:val="fr-CH"/>
        </w:rPr>
        <w:t xml:space="preserve"> sol</w:t>
      </w:r>
      <w:r w:rsidR="00032063">
        <w:rPr>
          <w:lang w:val="fr-CH"/>
        </w:rPr>
        <w:t>s</w:t>
      </w:r>
      <w:r w:rsidR="0082692F">
        <w:rPr>
          <w:lang w:val="fr-CH"/>
        </w:rPr>
        <w:t> : deux phases de r</w:t>
      </w:r>
      <w:r w:rsidR="00EF5471">
        <w:rPr>
          <w:lang w:val="fr-CH"/>
        </w:rPr>
        <w:t>emaniement</w:t>
      </w:r>
      <w:r w:rsidR="0038432A">
        <w:rPr>
          <w:lang w:val="fr-CH"/>
        </w:rPr>
        <w:t xml:space="preserve"> du P</w:t>
      </w:r>
      <w:r w:rsidR="0082692F">
        <w:rPr>
          <w:lang w:val="fr-CH"/>
        </w:rPr>
        <w:t>lan sectoriel SDA</w:t>
      </w:r>
      <w:bookmarkEnd w:id="17"/>
      <w:bookmarkEnd w:id="18"/>
      <w:r w:rsidR="00BC4AF0" w:rsidRPr="00F0226F">
        <w:rPr>
          <w:lang w:val="fr-CH"/>
        </w:rPr>
        <w:t xml:space="preserve"> </w:t>
      </w:r>
    </w:p>
    <w:p w14:paraId="7E9A0F52" w14:textId="2895957A" w:rsidR="008325AB" w:rsidRPr="00F0226F" w:rsidRDefault="0082692F" w:rsidP="00C22AA3">
      <w:pPr>
        <w:rPr>
          <w:lang w:val="fr-CH"/>
        </w:rPr>
      </w:pPr>
      <w:r>
        <w:rPr>
          <w:lang w:val="fr-CH"/>
        </w:rPr>
        <w:t>L</w:t>
      </w:r>
      <w:r w:rsidR="007878A4">
        <w:rPr>
          <w:lang w:val="fr-CH"/>
        </w:rPr>
        <w:t>es surfaces d’assolement (SDA) sont désignées comme telles sur la base des relevés cartographiques des sols et des critères qui définissent les exigences qualitatives minimales des SDA</w:t>
      </w:r>
      <w:r w:rsidR="325E5E49" w:rsidRPr="00F0226F">
        <w:rPr>
          <w:lang w:val="fr-CH"/>
        </w:rPr>
        <w:t xml:space="preserve">. </w:t>
      </w:r>
    </w:p>
    <w:p w14:paraId="443A9AFE" w14:textId="136C19F5" w:rsidR="008325AB" w:rsidRPr="00F0226F" w:rsidRDefault="007878A4">
      <w:pPr>
        <w:rPr>
          <w:lang w:val="fr-CH"/>
        </w:rPr>
      </w:pPr>
      <w:r>
        <w:rPr>
          <w:rFonts w:eastAsia="Arial"/>
          <w:lang w:val="fr-CH"/>
        </w:rPr>
        <w:t>La première aide à la mise en œuvre publiée par les</w:t>
      </w:r>
      <w:r w:rsidR="00977AEA">
        <w:rPr>
          <w:rFonts w:eastAsia="Arial"/>
          <w:lang w:val="fr-CH"/>
        </w:rPr>
        <w:t xml:space="preserve"> </w:t>
      </w:r>
      <w:r>
        <w:rPr>
          <w:rFonts w:eastAsia="Arial"/>
          <w:lang w:val="fr-CH"/>
        </w:rPr>
        <w:t xml:space="preserve">Offices fédéraux de l’aménagement du territoire et de l’agriculture </w:t>
      </w:r>
      <w:r w:rsidR="00977AEA">
        <w:rPr>
          <w:rFonts w:eastAsia="Arial"/>
          <w:lang w:val="fr-CH"/>
        </w:rPr>
        <w:t xml:space="preserve">en </w:t>
      </w:r>
      <w:r w:rsidR="00DC7A6B" w:rsidRPr="00F0226F">
        <w:rPr>
          <w:rFonts w:eastAsia="Arial"/>
          <w:lang w:val="fr-CH"/>
        </w:rPr>
        <w:t>1983</w:t>
      </w:r>
      <w:r w:rsidR="0078738E" w:rsidRPr="00F0226F">
        <w:rPr>
          <w:rStyle w:val="Funotenzeichen"/>
          <w:rFonts w:eastAsia="Arial"/>
          <w:lang w:val="fr-CH"/>
        </w:rPr>
        <w:footnoteReference w:id="11"/>
      </w:r>
      <w:r w:rsidR="00DC7A6B" w:rsidRPr="00F0226F">
        <w:rPr>
          <w:rFonts w:eastAsia="Arial"/>
          <w:lang w:val="fr-CH"/>
        </w:rPr>
        <w:t xml:space="preserve"> </w:t>
      </w:r>
      <w:r w:rsidR="00977AEA">
        <w:rPr>
          <w:rFonts w:eastAsia="Arial"/>
          <w:lang w:val="fr-CH"/>
        </w:rPr>
        <w:t>ainsi que l’ordonnance sur l’aménagement du territoire et le rapport explicatif de l’</w:t>
      </w:r>
      <w:r w:rsidR="00DC7A6B" w:rsidRPr="00F0226F">
        <w:rPr>
          <w:rFonts w:eastAsia="Arial"/>
          <w:lang w:val="fr-CH"/>
        </w:rPr>
        <w:t xml:space="preserve">ARE </w:t>
      </w:r>
      <w:r w:rsidR="00977AEA">
        <w:rPr>
          <w:rFonts w:eastAsia="Arial"/>
          <w:lang w:val="fr-CH"/>
        </w:rPr>
        <w:t>de juillet</w:t>
      </w:r>
      <w:r w:rsidR="00DC7A6B" w:rsidRPr="00F0226F">
        <w:rPr>
          <w:rFonts w:eastAsia="Arial"/>
          <w:lang w:val="fr-CH"/>
        </w:rPr>
        <w:t xml:space="preserve"> 1986</w:t>
      </w:r>
      <w:r w:rsidR="0078738E" w:rsidRPr="00F0226F">
        <w:rPr>
          <w:rStyle w:val="Funotenzeichen"/>
          <w:rFonts w:eastAsia="Arial"/>
          <w:lang w:val="fr-CH"/>
        </w:rPr>
        <w:footnoteReference w:id="12"/>
      </w:r>
      <w:r w:rsidR="00DC7A6B" w:rsidRPr="00F0226F">
        <w:rPr>
          <w:rFonts w:eastAsia="Arial"/>
          <w:lang w:val="fr-CH"/>
        </w:rPr>
        <w:t xml:space="preserve"> l</w:t>
      </w:r>
      <w:r w:rsidR="00977AEA">
        <w:rPr>
          <w:rFonts w:eastAsia="Arial"/>
          <w:lang w:val="fr-CH"/>
        </w:rPr>
        <w:t>aissaient aux cantons une marge de manœuvre considérable pour procéder au relevé de leurs SDA</w:t>
      </w:r>
      <w:r w:rsidR="00DC7A6B" w:rsidRPr="00F0226F">
        <w:rPr>
          <w:rFonts w:eastAsia="Arial"/>
          <w:lang w:val="fr-CH"/>
        </w:rPr>
        <w:t>.</w:t>
      </w:r>
      <w:r w:rsidR="0078738E" w:rsidRPr="00F0226F">
        <w:rPr>
          <w:rFonts w:eastAsia="Arial"/>
          <w:lang w:val="fr-CH"/>
        </w:rPr>
        <w:t xml:space="preserve"> </w:t>
      </w:r>
      <w:r w:rsidR="00977AEA">
        <w:rPr>
          <w:rFonts w:eastAsiaTheme="minorEastAsia"/>
          <w:lang w:val="fr-CH"/>
        </w:rPr>
        <w:t>Les cantons ont donc utilisé des méthodes différentes pour la cartographie et la définition des critères de délimitation des SDA</w:t>
      </w:r>
      <w:r w:rsidR="001A33B7" w:rsidRPr="00F0226F">
        <w:rPr>
          <w:rFonts w:eastAsiaTheme="minorEastAsia"/>
          <w:lang w:val="fr-CH"/>
        </w:rPr>
        <w:t xml:space="preserve">. </w:t>
      </w:r>
      <w:r w:rsidR="00977AEA">
        <w:rPr>
          <w:lang w:val="fr-CH"/>
        </w:rPr>
        <w:t>Depuis, les méthodes de cartographie des sols se sont développées et les critères de délimitation des SDA ont été précisés</w:t>
      </w:r>
      <w:r w:rsidR="00C22AA3" w:rsidRPr="00F0226F">
        <w:rPr>
          <w:rStyle w:val="Funotenzeichen"/>
          <w:lang w:val="fr-CH"/>
        </w:rPr>
        <w:footnoteReference w:id="13"/>
      </w:r>
      <w:r w:rsidR="009D030B">
        <w:rPr>
          <w:lang w:val="fr-CH"/>
        </w:rPr>
        <w:t>.</w:t>
      </w:r>
      <w:r w:rsidR="00C22AA3" w:rsidRPr="00F0226F">
        <w:rPr>
          <w:lang w:val="fr-CH"/>
        </w:rPr>
        <w:t xml:space="preserve"> </w:t>
      </w:r>
      <w:r w:rsidR="009D030B">
        <w:rPr>
          <w:rFonts w:cs="Arial"/>
          <w:lang w:val="fr-CH"/>
        </w:rPr>
        <w:t>À</w:t>
      </w:r>
      <w:r w:rsidR="00032063">
        <w:rPr>
          <w:lang w:val="fr-CH"/>
        </w:rPr>
        <w:t xml:space="preserve"> l’heure actuelle néanmoins, les données du sol en Suisse restent très hétérogènes</w:t>
      </w:r>
      <w:r w:rsidR="00C22AA3" w:rsidRPr="00F0226F">
        <w:rPr>
          <w:lang w:val="fr-CH"/>
        </w:rPr>
        <w:t xml:space="preserve">. </w:t>
      </w:r>
      <w:r w:rsidR="00032063">
        <w:rPr>
          <w:lang w:val="fr-CH"/>
        </w:rPr>
        <w:t>Les données existantes présentent des qualités et des formats différents</w:t>
      </w:r>
      <w:r w:rsidR="00C22AA3" w:rsidRPr="00F0226F">
        <w:rPr>
          <w:lang w:val="fr-CH"/>
        </w:rPr>
        <w:t xml:space="preserve">. </w:t>
      </w:r>
      <w:r w:rsidR="00032063">
        <w:rPr>
          <w:lang w:val="fr-CH"/>
        </w:rPr>
        <w:t xml:space="preserve">Il n’existe pas de cartographie </w:t>
      </w:r>
      <w:r w:rsidR="009D030B">
        <w:rPr>
          <w:lang w:val="fr-CH"/>
        </w:rPr>
        <w:t xml:space="preserve">de </w:t>
      </w:r>
      <w:r w:rsidR="00032063">
        <w:rPr>
          <w:lang w:val="fr-CH"/>
        </w:rPr>
        <w:t>l’ensemble du territoire suisse</w:t>
      </w:r>
      <w:r w:rsidR="009D030B">
        <w:rPr>
          <w:lang w:val="fr-CH"/>
        </w:rPr>
        <w:t xml:space="preserve"> à l’échelle nécessaire</w:t>
      </w:r>
      <w:r w:rsidR="00032063">
        <w:rPr>
          <w:lang w:val="fr-CH"/>
        </w:rPr>
        <w:t xml:space="preserve"> qui puisse servir de base à la détermination et/ou au r</w:t>
      </w:r>
      <w:r w:rsidR="00EF5471">
        <w:rPr>
          <w:lang w:val="fr-CH"/>
        </w:rPr>
        <w:t>éexamen</w:t>
      </w:r>
      <w:r w:rsidR="00032063">
        <w:rPr>
          <w:lang w:val="fr-CH"/>
        </w:rPr>
        <w:t xml:space="preserve"> des </w:t>
      </w:r>
      <w:r w:rsidR="00D83EFB">
        <w:rPr>
          <w:lang w:val="fr-CH"/>
        </w:rPr>
        <w:t xml:space="preserve">inventaires de </w:t>
      </w:r>
      <w:r w:rsidR="00032063">
        <w:rPr>
          <w:lang w:val="fr-CH"/>
        </w:rPr>
        <w:t>SDA</w:t>
      </w:r>
      <w:r w:rsidR="00C22AA3" w:rsidRPr="00F0226F">
        <w:rPr>
          <w:lang w:val="fr-CH"/>
        </w:rPr>
        <w:t>.</w:t>
      </w:r>
      <w:r w:rsidR="008325AB" w:rsidRPr="00F0226F">
        <w:rPr>
          <w:lang w:val="fr-CH"/>
        </w:rPr>
        <w:t xml:space="preserve"> </w:t>
      </w:r>
      <w:r w:rsidR="00830987">
        <w:rPr>
          <w:lang w:val="fr-CH"/>
        </w:rPr>
        <w:t xml:space="preserve">Jusqu’à présent, un peu moins d’un tiers des surfaces cultivées </w:t>
      </w:r>
      <w:r w:rsidR="009D030B">
        <w:rPr>
          <w:lang w:val="fr-CH"/>
        </w:rPr>
        <w:t xml:space="preserve">a fait l’objet </w:t>
      </w:r>
      <w:r w:rsidR="00830987">
        <w:rPr>
          <w:lang w:val="fr-CH"/>
        </w:rPr>
        <w:t>d’une cartographie pédologique détaillée</w:t>
      </w:r>
      <w:r w:rsidR="0057762B" w:rsidRPr="00F0226F">
        <w:rPr>
          <w:rStyle w:val="Funotenzeichen"/>
          <w:lang w:val="fr-CH"/>
        </w:rPr>
        <w:footnoteReference w:id="14"/>
      </w:r>
      <w:r w:rsidR="009D030B">
        <w:rPr>
          <w:lang w:val="fr-CH"/>
        </w:rPr>
        <w:t>.</w:t>
      </w:r>
      <w:r w:rsidR="0057762B" w:rsidRPr="00F0226F">
        <w:rPr>
          <w:lang w:val="fr-CH"/>
        </w:rPr>
        <w:t xml:space="preserve"> </w:t>
      </w:r>
      <w:r w:rsidR="00B834B3">
        <w:rPr>
          <w:rFonts w:eastAsiaTheme="minorEastAsia"/>
          <w:lang w:val="fr-CH"/>
        </w:rPr>
        <w:t>Si l’on ajoute</w:t>
      </w:r>
      <w:r w:rsidR="000052B9">
        <w:rPr>
          <w:rFonts w:eastAsiaTheme="minorEastAsia"/>
          <w:lang w:val="fr-CH"/>
        </w:rPr>
        <w:t xml:space="preserve"> </w:t>
      </w:r>
      <w:r w:rsidR="00830987">
        <w:rPr>
          <w:rFonts w:eastAsiaTheme="minorEastAsia"/>
          <w:lang w:val="fr-CH"/>
        </w:rPr>
        <w:t>le fait que la qualité des meilleurs sols varie considérablement en fonction de la situation géographique et des caractéristiques naturelles dans chaque canton</w:t>
      </w:r>
      <w:r w:rsidR="00B834B3">
        <w:rPr>
          <w:rFonts w:eastAsiaTheme="minorEastAsia"/>
          <w:lang w:val="fr-CH"/>
        </w:rPr>
        <w:t>, les surfaces définies comme des SDA se caractérisent au niveau national par une grande hétérogénéité</w:t>
      </w:r>
      <w:r w:rsidR="00C22AA3" w:rsidRPr="00F0226F">
        <w:rPr>
          <w:rStyle w:val="Funotenzeichen"/>
          <w:rFonts w:eastAsiaTheme="minorEastAsia"/>
          <w:lang w:val="fr-CH"/>
        </w:rPr>
        <w:footnoteReference w:id="15"/>
      </w:r>
      <w:r w:rsidR="009D030B">
        <w:rPr>
          <w:rFonts w:eastAsiaTheme="minorEastAsia"/>
          <w:lang w:val="fr-CH"/>
        </w:rPr>
        <w:t>.</w:t>
      </w:r>
      <w:r w:rsidR="008325AB" w:rsidRPr="00F0226F">
        <w:rPr>
          <w:lang w:val="fr-CH"/>
        </w:rPr>
        <w:t xml:space="preserve"> </w:t>
      </w:r>
    </w:p>
    <w:p w14:paraId="2EBD970C" w14:textId="6F6CE09B" w:rsidR="00064E3E" w:rsidRPr="00F0226F" w:rsidRDefault="00B834B3" w:rsidP="004E624C">
      <w:pPr>
        <w:rPr>
          <w:lang w:val="fr-CH"/>
        </w:rPr>
      </w:pPr>
      <w:r>
        <w:rPr>
          <w:lang w:val="fr-CH"/>
        </w:rPr>
        <w:lastRenderedPageBreak/>
        <w:t xml:space="preserve">Pour tendre vers une </w:t>
      </w:r>
      <w:r w:rsidR="009D030B">
        <w:rPr>
          <w:lang w:val="fr-CH"/>
        </w:rPr>
        <w:t xml:space="preserve">uniformisation </w:t>
      </w:r>
      <w:r>
        <w:rPr>
          <w:lang w:val="fr-CH"/>
        </w:rPr>
        <w:t>et une meilleure fia</w:t>
      </w:r>
      <w:r w:rsidR="0038432A">
        <w:rPr>
          <w:lang w:val="fr-CH"/>
        </w:rPr>
        <w:t>bilité des données, le présent P</w:t>
      </w:r>
      <w:r>
        <w:rPr>
          <w:lang w:val="fr-CH"/>
        </w:rPr>
        <w:t>lan sectoriel définit des critères de délimitation des SDA</w:t>
      </w:r>
      <w:r w:rsidR="00D47D5D" w:rsidRPr="00F0226F">
        <w:rPr>
          <w:lang w:val="fr-CH"/>
        </w:rPr>
        <w:t xml:space="preserve"> (</w:t>
      </w:r>
      <w:r>
        <w:rPr>
          <w:lang w:val="fr-CH"/>
        </w:rPr>
        <w:t>cf</w:t>
      </w:r>
      <w:r w:rsidR="00D47D5D" w:rsidRPr="00F0226F">
        <w:rPr>
          <w:lang w:val="fr-CH"/>
        </w:rPr>
        <w:t xml:space="preserve">. </w:t>
      </w:r>
      <w:r w:rsidR="00D47D5D" w:rsidRPr="00F0226F">
        <w:rPr>
          <w:lang w:val="fr-CH"/>
        </w:rPr>
        <w:fldChar w:fldCharType="begin"/>
      </w:r>
      <w:r w:rsidR="00D47D5D" w:rsidRPr="00F0226F">
        <w:rPr>
          <w:lang w:val="fr-CH"/>
        </w:rPr>
        <w:instrText xml:space="preserve"> REF _Ref520123456 \r \h  \* MERGEFORMAT </w:instrText>
      </w:r>
      <w:r w:rsidR="00D47D5D" w:rsidRPr="00F0226F">
        <w:rPr>
          <w:lang w:val="fr-CH"/>
        </w:rPr>
      </w:r>
      <w:r w:rsidR="00D47D5D" w:rsidRPr="00F0226F">
        <w:rPr>
          <w:lang w:val="fr-CH"/>
        </w:rPr>
        <w:fldChar w:fldCharType="separate"/>
      </w:r>
      <w:r w:rsidR="001971CC">
        <w:rPr>
          <w:lang w:val="fr-CH"/>
        </w:rPr>
        <w:t>P6</w:t>
      </w:r>
      <w:r w:rsidR="00D47D5D" w:rsidRPr="00F0226F">
        <w:rPr>
          <w:lang w:val="fr-CH"/>
        </w:rPr>
        <w:fldChar w:fldCharType="end"/>
      </w:r>
      <w:r w:rsidR="00D47D5D" w:rsidRPr="00F0226F">
        <w:rPr>
          <w:lang w:val="fr-CH"/>
        </w:rPr>
        <w:t xml:space="preserve">) </w:t>
      </w:r>
      <w:r>
        <w:rPr>
          <w:lang w:val="fr-CH"/>
        </w:rPr>
        <w:t>et fixe un standard minimal de cartographie</w:t>
      </w:r>
      <w:r w:rsidR="00D47D5D" w:rsidRPr="00F0226F">
        <w:rPr>
          <w:lang w:val="fr-CH"/>
        </w:rPr>
        <w:t xml:space="preserve"> (</w:t>
      </w:r>
      <w:r>
        <w:rPr>
          <w:lang w:val="fr-CH"/>
        </w:rPr>
        <w:t>cf</w:t>
      </w:r>
      <w:r w:rsidR="00D47D5D" w:rsidRPr="00F0226F">
        <w:rPr>
          <w:lang w:val="fr-CH"/>
        </w:rPr>
        <w:t xml:space="preserve">. </w:t>
      </w:r>
      <w:r w:rsidR="00D47D5D" w:rsidRPr="00F0226F">
        <w:rPr>
          <w:lang w:val="fr-CH"/>
        </w:rPr>
        <w:fldChar w:fldCharType="begin"/>
      </w:r>
      <w:r w:rsidR="00D47D5D" w:rsidRPr="00F0226F">
        <w:rPr>
          <w:lang w:val="fr-CH"/>
        </w:rPr>
        <w:instrText xml:space="preserve"> REF _Ref525658814 \r \h </w:instrText>
      </w:r>
      <w:r w:rsidR="004E624C" w:rsidRPr="00F0226F">
        <w:rPr>
          <w:lang w:val="fr-CH"/>
        </w:rPr>
        <w:instrText xml:space="preserve"> \* MERGEFORMAT </w:instrText>
      </w:r>
      <w:r w:rsidR="00D47D5D" w:rsidRPr="00F0226F">
        <w:rPr>
          <w:lang w:val="fr-CH"/>
        </w:rPr>
      </w:r>
      <w:r w:rsidR="00D47D5D" w:rsidRPr="00F0226F">
        <w:rPr>
          <w:lang w:val="fr-CH"/>
        </w:rPr>
        <w:fldChar w:fldCharType="separate"/>
      </w:r>
      <w:r w:rsidR="001971CC">
        <w:rPr>
          <w:lang w:val="fr-CH"/>
        </w:rPr>
        <w:t>P5</w:t>
      </w:r>
      <w:r w:rsidR="00D47D5D" w:rsidRPr="00F0226F">
        <w:rPr>
          <w:lang w:val="fr-CH"/>
        </w:rPr>
        <w:fldChar w:fldCharType="end"/>
      </w:r>
      <w:r w:rsidR="00D47D5D" w:rsidRPr="00F0226F">
        <w:rPr>
          <w:lang w:val="fr-CH"/>
        </w:rPr>
        <w:t>).</w:t>
      </w:r>
      <w:r w:rsidR="001A33B7" w:rsidRPr="00F0226F">
        <w:rPr>
          <w:lang w:val="fr-CH"/>
        </w:rPr>
        <w:t xml:space="preserve"> </w:t>
      </w:r>
    </w:p>
    <w:p w14:paraId="6B29906D" w14:textId="171D665D" w:rsidR="006B26D2" w:rsidRDefault="00B834B3" w:rsidP="00C034FA">
      <w:pPr>
        <w:rPr>
          <w:lang w:val="fr-CH"/>
        </w:rPr>
      </w:pPr>
      <w:r>
        <w:rPr>
          <w:lang w:val="fr-CH"/>
        </w:rPr>
        <w:t xml:space="preserve">Les cantons </w:t>
      </w:r>
      <w:r w:rsidR="009D030B">
        <w:rPr>
          <w:lang w:val="fr-CH"/>
        </w:rPr>
        <w:t>avec</w:t>
      </w:r>
      <w:r>
        <w:rPr>
          <w:lang w:val="fr-CH"/>
        </w:rPr>
        <w:t xml:space="preserve"> des besoins accrus de surface </w:t>
      </w:r>
      <w:r w:rsidR="00D83EFB">
        <w:rPr>
          <w:lang w:val="fr-CH"/>
        </w:rPr>
        <w:t>pour des constructions et des infrastructures</w:t>
      </w:r>
      <w:r w:rsidR="009D030B">
        <w:rPr>
          <w:lang w:val="fr-CH"/>
        </w:rPr>
        <w:t>, en particulier,</w:t>
      </w:r>
      <w:r w:rsidR="00D83EFB">
        <w:rPr>
          <w:lang w:val="fr-CH"/>
        </w:rPr>
        <w:t xml:space="preserve"> </w:t>
      </w:r>
      <w:r w:rsidR="009D030B">
        <w:rPr>
          <w:lang w:val="fr-CH"/>
        </w:rPr>
        <w:t>souhaitent disposer d’</w:t>
      </w:r>
      <w:r>
        <w:rPr>
          <w:lang w:val="fr-CH"/>
        </w:rPr>
        <w:t xml:space="preserve">une plus grande </w:t>
      </w:r>
      <w:r w:rsidR="009D030B">
        <w:rPr>
          <w:lang w:val="fr-CH"/>
        </w:rPr>
        <w:t xml:space="preserve">souplesse </w:t>
      </w:r>
      <w:r>
        <w:rPr>
          <w:lang w:val="fr-CH"/>
        </w:rPr>
        <w:t xml:space="preserve">dans la mise en œuvre du </w:t>
      </w:r>
      <w:r w:rsidR="0038432A">
        <w:rPr>
          <w:lang w:val="fr-CH"/>
        </w:rPr>
        <w:t>P</w:t>
      </w:r>
      <w:r>
        <w:rPr>
          <w:lang w:val="fr-CH"/>
        </w:rPr>
        <w:t xml:space="preserve">lan sectoriel. Les explications qui précèdent </w:t>
      </w:r>
      <w:r w:rsidR="00752154">
        <w:rPr>
          <w:lang w:val="fr-CH"/>
        </w:rPr>
        <w:t xml:space="preserve">sur </w:t>
      </w:r>
      <w:r>
        <w:rPr>
          <w:lang w:val="fr-CH"/>
        </w:rPr>
        <w:t xml:space="preserve">l’insuffisance </w:t>
      </w:r>
      <w:r w:rsidR="00752154">
        <w:rPr>
          <w:lang w:val="fr-CH"/>
        </w:rPr>
        <w:t>d</w:t>
      </w:r>
      <w:r>
        <w:rPr>
          <w:lang w:val="fr-CH"/>
        </w:rPr>
        <w:t xml:space="preserve">es informations </w:t>
      </w:r>
      <w:r w:rsidR="00752154">
        <w:rPr>
          <w:lang w:val="fr-CH"/>
        </w:rPr>
        <w:t>pédologiques montrent toutefois que les poss</w:t>
      </w:r>
      <w:r w:rsidR="0038432A">
        <w:rPr>
          <w:lang w:val="fr-CH"/>
        </w:rPr>
        <w:t>ibilités de flexibilisation du P</w:t>
      </w:r>
      <w:r w:rsidR="00752154">
        <w:rPr>
          <w:lang w:val="fr-CH"/>
        </w:rPr>
        <w:t xml:space="preserve">lan sectoriel ne peuvent être envisagées que sur la base d’informations fiables sur la qualité des sols qui peut être relevée à l’aide de la cartographie des sols. Sinon, le risque d’une diminution de la superficie et surtout de la qualité des </w:t>
      </w:r>
      <w:r w:rsidR="00D83EFB">
        <w:rPr>
          <w:lang w:val="fr-CH"/>
        </w:rPr>
        <w:t xml:space="preserve">inventaires de </w:t>
      </w:r>
      <w:r w:rsidR="00752154">
        <w:rPr>
          <w:lang w:val="fr-CH"/>
        </w:rPr>
        <w:t>SDA serait trop élevé. Cela mettrait en péril l’approvisionnement en denrées alimentaires de la Suisse en cas de pénurie grave</w:t>
      </w:r>
      <w:r w:rsidR="325E5E49" w:rsidRPr="00F0226F">
        <w:rPr>
          <w:lang w:val="fr-CH"/>
        </w:rPr>
        <w:t xml:space="preserve">. </w:t>
      </w:r>
      <w:r w:rsidR="00752154">
        <w:rPr>
          <w:lang w:val="fr-CH"/>
        </w:rPr>
        <w:t xml:space="preserve">De plus, la fiabilité de ces données constitue une base importante aussi bien pour les possibilités de flexibilisation que pour la mise en œuvre effective du </w:t>
      </w:r>
      <w:r w:rsidR="0038432A">
        <w:rPr>
          <w:lang w:val="fr-CH"/>
        </w:rPr>
        <w:t>P</w:t>
      </w:r>
      <w:r w:rsidR="00752154">
        <w:rPr>
          <w:lang w:val="fr-CH"/>
        </w:rPr>
        <w:t>lan sectoriel</w:t>
      </w:r>
      <w:r w:rsidR="325E5E49" w:rsidRPr="00F0226F">
        <w:rPr>
          <w:lang w:val="fr-CH"/>
        </w:rPr>
        <w:t>.</w:t>
      </w:r>
    </w:p>
    <w:p w14:paraId="509FC269" w14:textId="4AC7F229" w:rsidR="00C034FA" w:rsidRPr="00F0226F" w:rsidRDefault="00384858" w:rsidP="00C034FA">
      <w:pPr>
        <w:rPr>
          <w:lang w:val="fr-CH"/>
        </w:rPr>
      </w:pPr>
      <w:r>
        <w:rPr>
          <w:lang w:val="fr-CH"/>
        </w:rPr>
        <w:t>Jusqu’à ce que des</w:t>
      </w:r>
      <w:r w:rsidR="006B26D2">
        <w:rPr>
          <w:lang w:val="fr-CH"/>
        </w:rPr>
        <w:t xml:space="preserve"> données </w:t>
      </w:r>
      <w:r>
        <w:rPr>
          <w:lang w:val="fr-CH"/>
        </w:rPr>
        <w:t>pédologiques</w:t>
      </w:r>
      <w:r w:rsidR="006B26D2">
        <w:rPr>
          <w:lang w:val="fr-CH"/>
        </w:rPr>
        <w:t xml:space="preserve"> fiables</w:t>
      </w:r>
      <w:r>
        <w:rPr>
          <w:lang w:val="fr-CH"/>
        </w:rPr>
        <w:t xml:space="preserve"> soient disponibles</w:t>
      </w:r>
      <w:r w:rsidR="006B26D2">
        <w:rPr>
          <w:lang w:val="fr-CH"/>
        </w:rPr>
        <w:t>,</w:t>
      </w:r>
      <w:r w:rsidR="006B26D2" w:rsidRPr="00572D0C">
        <w:rPr>
          <w:lang w:val="fr-CH"/>
        </w:rPr>
        <w:t xml:space="preserve"> </w:t>
      </w:r>
      <w:r w:rsidR="006B26D2">
        <w:rPr>
          <w:lang w:val="fr-CH"/>
        </w:rPr>
        <w:t>les relevés achevés en</w:t>
      </w:r>
      <w:r w:rsidR="006B26D2" w:rsidRPr="00572D0C">
        <w:rPr>
          <w:lang w:val="fr-CH"/>
        </w:rPr>
        <w:t xml:space="preserve"> 1988 </w:t>
      </w:r>
      <w:r w:rsidR="006B26D2">
        <w:rPr>
          <w:lang w:val="fr-CH"/>
        </w:rPr>
        <w:t xml:space="preserve">ne </w:t>
      </w:r>
      <w:r>
        <w:rPr>
          <w:lang w:val="fr-CH"/>
        </w:rPr>
        <w:t xml:space="preserve">seront </w:t>
      </w:r>
      <w:r w:rsidR="006B26D2">
        <w:rPr>
          <w:lang w:val="fr-CH"/>
        </w:rPr>
        <w:t>pas remis en question et les surfaces qualifiées de SDA en</w:t>
      </w:r>
      <w:r w:rsidR="006B26D2" w:rsidRPr="00572D0C">
        <w:rPr>
          <w:lang w:val="fr-CH"/>
        </w:rPr>
        <w:t xml:space="preserve"> 1988 </w:t>
      </w:r>
      <w:r w:rsidR="006B26D2">
        <w:rPr>
          <w:lang w:val="fr-CH"/>
        </w:rPr>
        <w:t>et répertoriées dans les inventaires</w:t>
      </w:r>
      <w:r>
        <w:rPr>
          <w:lang w:val="fr-CH"/>
        </w:rPr>
        <w:t xml:space="preserve"> cantonaux</w:t>
      </w:r>
      <w:r w:rsidR="006B26D2">
        <w:rPr>
          <w:lang w:val="fr-CH"/>
        </w:rPr>
        <w:t xml:space="preserve"> continue</w:t>
      </w:r>
      <w:r>
        <w:rPr>
          <w:lang w:val="fr-CH"/>
        </w:rPr>
        <w:t>ro</w:t>
      </w:r>
      <w:r w:rsidR="006B26D2">
        <w:rPr>
          <w:lang w:val="fr-CH"/>
        </w:rPr>
        <w:t>nt d’être considérées comme des SDA</w:t>
      </w:r>
      <w:r w:rsidR="006B26D2" w:rsidRPr="00572D0C">
        <w:rPr>
          <w:lang w:val="fr-CH"/>
        </w:rPr>
        <w:t xml:space="preserve">. </w:t>
      </w:r>
      <w:r w:rsidR="006B26D2">
        <w:rPr>
          <w:lang w:val="fr-CH"/>
        </w:rPr>
        <w:t>Les cantons sont toutefois tenus de fonder leurs inventaires sur des informations du sol fiables</w:t>
      </w:r>
      <w:r w:rsidR="000D4AF7">
        <w:rPr>
          <w:lang w:val="fr-CH"/>
        </w:rPr>
        <w:t>. Ils doivent</w:t>
      </w:r>
      <w:r w:rsidR="006B26D2">
        <w:rPr>
          <w:lang w:val="fr-CH"/>
        </w:rPr>
        <w:t xml:space="preserve"> cartographier leurs sols selon l’état actuel de la technique</w:t>
      </w:r>
      <w:r w:rsidR="000D4AF7">
        <w:rPr>
          <w:lang w:val="fr-CH"/>
        </w:rPr>
        <w:t xml:space="preserve"> (</w:t>
      </w:r>
      <w:r w:rsidR="006B26D2" w:rsidRPr="00572D0C">
        <w:rPr>
          <w:lang w:val="fr-CH"/>
        </w:rPr>
        <w:t>FAL 24+</w:t>
      </w:r>
      <w:r w:rsidR="000D4AF7">
        <w:rPr>
          <w:lang w:val="fr-CH"/>
        </w:rPr>
        <w:t>)</w:t>
      </w:r>
      <w:r w:rsidR="006B26D2">
        <w:rPr>
          <w:lang w:val="fr-CH"/>
        </w:rPr>
        <w:t xml:space="preserve"> et délimiter leurs SDA en se conformant aux critères de qualité définis dan</w:t>
      </w:r>
      <w:r w:rsidR="0038432A">
        <w:rPr>
          <w:lang w:val="fr-CH"/>
        </w:rPr>
        <w:t>s le P</w:t>
      </w:r>
      <w:r w:rsidR="006B26D2">
        <w:rPr>
          <w:lang w:val="fr-CH"/>
        </w:rPr>
        <w:t>lan sectoriel.</w:t>
      </w:r>
      <w:r w:rsidR="006B26D2" w:rsidRPr="00572D0C">
        <w:rPr>
          <w:lang w:val="fr-CH"/>
        </w:rPr>
        <w:t xml:space="preserve"> </w:t>
      </w:r>
      <w:r w:rsidR="006B26D2">
        <w:rPr>
          <w:lang w:val="fr-CH"/>
        </w:rPr>
        <w:t>Les nouvelles cartographies et les relevés de SDA</w:t>
      </w:r>
      <w:r>
        <w:rPr>
          <w:lang w:val="fr-CH"/>
        </w:rPr>
        <w:t xml:space="preserve"> fondés sur celles-ci</w:t>
      </w:r>
      <w:r w:rsidR="006B26D2">
        <w:rPr>
          <w:lang w:val="fr-CH"/>
        </w:rPr>
        <w:t xml:space="preserve"> ont montré qu’il est en principe possible de respecter les contingents</w:t>
      </w:r>
      <w:r>
        <w:rPr>
          <w:lang w:val="fr-CH"/>
        </w:rPr>
        <w:t>,</w:t>
      </w:r>
      <w:r w:rsidR="006B26D2">
        <w:rPr>
          <w:lang w:val="fr-CH"/>
        </w:rPr>
        <w:t xml:space="preserve"> mais que les surfaces </w:t>
      </w:r>
      <w:r>
        <w:rPr>
          <w:lang w:val="fr-CH"/>
        </w:rPr>
        <w:t>concernées se trouvent en partie ailleurs</w:t>
      </w:r>
      <w:r w:rsidR="006B26D2" w:rsidRPr="00572D0C" w:rsidDel="00CB069F">
        <w:rPr>
          <w:lang w:val="fr-CH"/>
        </w:rPr>
        <w:t>.</w:t>
      </w:r>
      <w:r w:rsidR="325E5E49" w:rsidRPr="00F0226F">
        <w:rPr>
          <w:lang w:val="fr-CH"/>
        </w:rPr>
        <w:t xml:space="preserve"> </w:t>
      </w:r>
    </w:p>
    <w:p w14:paraId="162DB3FC" w14:textId="16727848" w:rsidR="00FC002B" w:rsidRDefault="006B4F83" w:rsidP="00022779">
      <w:pPr>
        <w:rPr>
          <w:lang w:val="fr-CH"/>
        </w:rPr>
      </w:pPr>
      <w:r>
        <w:rPr>
          <w:lang w:val="fr-CH"/>
        </w:rPr>
        <w:t xml:space="preserve">Quelques cantons disposent déjà de bonnes données de base pour inventorier leurs SDA. </w:t>
      </w:r>
      <w:r w:rsidR="00C53BB4">
        <w:rPr>
          <w:lang w:val="fr-CH"/>
        </w:rPr>
        <w:t>Selon le</w:t>
      </w:r>
      <w:r>
        <w:rPr>
          <w:lang w:val="fr-CH"/>
        </w:rPr>
        <w:t xml:space="preserve"> principe</w:t>
      </w:r>
      <w:r w:rsidR="00D56714">
        <w:rPr>
          <w:lang w:val="fr-CH"/>
        </w:rPr>
        <w:t xml:space="preserve"> </w:t>
      </w:r>
      <w:r w:rsidR="00D56714">
        <w:rPr>
          <w:lang w:val="fr-CH"/>
        </w:rPr>
        <w:fldChar w:fldCharType="begin"/>
      </w:r>
      <w:r w:rsidR="00D56714">
        <w:rPr>
          <w:lang w:val="fr-CH"/>
        </w:rPr>
        <w:instrText xml:space="preserve"> REF _Ref532980835 \r \h </w:instrText>
      </w:r>
      <w:r w:rsidR="00D56714">
        <w:rPr>
          <w:lang w:val="fr-CH"/>
        </w:rPr>
      </w:r>
      <w:r w:rsidR="00D56714">
        <w:rPr>
          <w:lang w:val="fr-CH"/>
        </w:rPr>
        <w:fldChar w:fldCharType="separate"/>
      </w:r>
      <w:r w:rsidR="001971CC">
        <w:rPr>
          <w:lang w:val="fr-CH"/>
        </w:rPr>
        <w:t>P17</w:t>
      </w:r>
      <w:r w:rsidR="00D56714">
        <w:rPr>
          <w:lang w:val="fr-CH"/>
        </w:rPr>
        <w:fldChar w:fldCharType="end"/>
      </w:r>
      <w:r>
        <w:rPr>
          <w:lang w:val="fr-CH"/>
        </w:rPr>
        <w:t xml:space="preserve">, ces cantons seront dorénavant en mesure </w:t>
      </w:r>
      <w:r w:rsidR="00C53BB4">
        <w:rPr>
          <w:lang w:val="fr-CH"/>
        </w:rPr>
        <w:t xml:space="preserve">de négocier leur contingent de </w:t>
      </w:r>
      <w:r>
        <w:rPr>
          <w:lang w:val="fr-CH"/>
        </w:rPr>
        <w:t>SDA au-delà de leurs frontières pour autant qu’ils respectent certaines conditions précises</w:t>
      </w:r>
      <w:r w:rsidR="00C979A5" w:rsidRPr="00F0226F">
        <w:rPr>
          <w:lang w:val="fr-CH"/>
        </w:rPr>
        <w:t xml:space="preserve">. </w:t>
      </w:r>
      <w:r>
        <w:rPr>
          <w:lang w:val="fr-CH"/>
        </w:rPr>
        <w:t xml:space="preserve">Cette possibilité de flexibilisation devrait par ailleurs inciter les autres cantons à </w:t>
      </w:r>
      <w:r w:rsidR="00384858">
        <w:rPr>
          <w:lang w:val="fr-CH"/>
        </w:rPr>
        <w:t xml:space="preserve">accélérer </w:t>
      </w:r>
      <w:r>
        <w:rPr>
          <w:lang w:val="fr-CH"/>
        </w:rPr>
        <w:t xml:space="preserve">leurs travaux de cartographie et </w:t>
      </w:r>
      <w:r w:rsidR="00384858">
        <w:rPr>
          <w:lang w:val="fr-CH"/>
        </w:rPr>
        <w:t xml:space="preserve">à </w:t>
      </w:r>
      <w:r>
        <w:rPr>
          <w:lang w:val="fr-CH"/>
        </w:rPr>
        <w:t>réexaminer en conséquence l’inventaire de leurs SDA. Les cantons qui disposent d’une base de données insuffisante seront tenus, selon le principe</w:t>
      </w:r>
      <w:r w:rsidR="00D56714">
        <w:rPr>
          <w:lang w:val="fr-CH"/>
        </w:rPr>
        <w:t xml:space="preserve"> </w:t>
      </w:r>
      <w:r w:rsidR="00D56714">
        <w:rPr>
          <w:lang w:val="fr-CH"/>
        </w:rPr>
        <w:fldChar w:fldCharType="begin"/>
      </w:r>
      <w:r w:rsidR="00D56714">
        <w:rPr>
          <w:lang w:val="fr-CH"/>
        </w:rPr>
        <w:instrText xml:space="preserve"> REF _Ref532980847 \r \h </w:instrText>
      </w:r>
      <w:r w:rsidR="00D56714">
        <w:rPr>
          <w:lang w:val="fr-CH"/>
        </w:rPr>
      </w:r>
      <w:r w:rsidR="00D56714">
        <w:rPr>
          <w:lang w:val="fr-CH"/>
        </w:rPr>
        <w:fldChar w:fldCharType="separate"/>
      </w:r>
      <w:r w:rsidR="001971CC">
        <w:rPr>
          <w:lang w:val="fr-CH"/>
        </w:rPr>
        <w:t>P18</w:t>
      </w:r>
      <w:r w:rsidR="00D56714">
        <w:rPr>
          <w:lang w:val="fr-CH"/>
        </w:rPr>
        <w:fldChar w:fldCharType="end"/>
      </w:r>
      <w:r w:rsidR="00FC002B">
        <w:rPr>
          <w:lang w:val="fr-CH"/>
        </w:rPr>
        <w:t>,</w:t>
      </w:r>
      <w:r w:rsidR="00674CDA" w:rsidRPr="00F0226F">
        <w:rPr>
          <w:lang w:val="fr-CH"/>
        </w:rPr>
        <w:t xml:space="preserve"> </w:t>
      </w:r>
      <w:r>
        <w:rPr>
          <w:lang w:val="fr-CH"/>
        </w:rPr>
        <w:t xml:space="preserve">d’introduire une réglementation relative à la compensation des SDA </w:t>
      </w:r>
      <w:r w:rsidR="002300C3">
        <w:rPr>
          <w:lang w:val="fr-CH"/>
        </w:rPr>
        <w:t xml:space="preserve">sollicitées </w:t>
      </w:r>
      <w:r w:rsidR="00C53BB4">
        <w:rPr>
          <w:lang w:val="fr-CH"/>
        </w:rPr>
        <w:t>répertoriées dans leurs inventaires</w:t>
      </w:r>
      <w:r w:rsidR="008325AB" w:rsidRPr="00F0226F">
        <w:rPr>
          <w:lang w:val="fr-CH"/>
        </w:rPr>
        <w:t xml:space="preserve">. </w:t>
      </w:r>
    </w:p>
    <w:p w14:paraId="17E822A4" w14:textId="3B598924" w:rsidR="00530307" w:rsidRPr="00F0226F" w:rsidRDefault="00FC002B" w:rsidP="00022779">
      <w:pPr>
        <w:rPr>
          <w:lang w:val="fr-CH"/>
        </w:rPr>
      </w:pPr>
      <w:r>
        <w:rPr>
          <w:lang w:val="fr-CH"/>
        </w:rPr>
        <w:t xml:space="preserve">Dès que la constitution d’une base de données </w:t>
      </w:r>
      <w:r w:rsidR="00384858">
        <w:rPr>
          <w:lang w:val="fr-CH"/>
        </w:rPr>
        <w:t xml:space="preserve">meilleure </w:t>
      </w:r>
      <w:r>
        <w:rPr>
          <w:lang w:val="fr-CH"/>
        </w:rPr>
        <w:t>et plus fiable sera achevée sur tout le territoire suisse, il sera possible de lancer la deuxième phase de r</w:t>
      </w:r>
      <w:r w:rsidR="00EF5471">
        <w:rPr>
          <w:lang w:val="fr-CH"/>
        </w:rPr>
        <w:t>emaniement</w:t>
      </w:r>
      <w:r w:rsidR="0038432A">
        <w:rPr>
          <w:lang w:val="fr-CH"/>
        </w:rPr>
        <w:t xml:space="preserve"> du P</w:t>
      </w:r>
      <w:r>
        <w:rPr>
          <w:lang w:val="fr-CH"/>
        </w:rPr>
        <w:t>lan sectoriel SDA et d’introduire de nouvelles possibilités de flexibilisation, notamment le réexamen des contingents cantonaux ou l’intégration des fonctions du sol</w:t>
      </w:r>
      <w:r w:rsidR="003B15AE" w:rsidRPr="00F0226F">
        <w:rPr>
          <w:rStyle w:val="Funotenzeichen"/>
          <w:lang w:val="fr-CH"/>
        </w:rPr>
        <w:footnoteReference w:id="16"/>
      </w:r>
      <w:r w:rsidR="325E5E49" w:rsidRPr="00F0226F">
        <w:rPr>
          <w:lang w:val="fr-CH"/>
        </w:rPr>
        <w:t xml:space="preserve">. </w:t>
      </w:r>
      <w:r w:rsidR="00530307" w:rsidRPr="00F0226F">
        <w:rPr>
          <w:lang w:val="fr-CH"/>
        </w:rPr>
        <w:br w:type="page"/>
      </w:r>
    </w:p>
    <w:p w14:paraId="103647E2" w14:textId="0A09C79F" w:rsidR="007B6805" w:rsidRPr="00F0226F" w:rsidRDefault="00171751" w:rsidP="00064E3E">
      <w:pPr>
        <w:pStyle w:val="berschrift1"/>
        <w:rPr>
          <w:lang w:val="fr-CH"/>
        </w:rPr>
      </w:pPr>
      <w:bookmarkStart w:id="19" w:name="_Toc526428720"/>
      <w:bookmarkStart w:id="20" w:name="_Toc532996370"/>
      <w:r>
        <w:rPr>
          <w:lang w:val="fr-CH"/>
        </w:rPr>
        <w:lastRenderedPageBreak/>
        <w:t xml:space="preserve">Finalité </w:t>
      </w:r>
      <w:r w:rsidR="000602A0">
        <w:rPr>
          <w:lang w:val="fr-CH"/>
        </w:rPr>
        <w:t>et utilisation</w:t>
      </w:r>
      <w:r w:rsidR="00E5429B" w:rsidRPr="00F0226F">
        <w:rPr>
          <w:lang w:val="fr-CH"/>
        </w:rPr>
        <w:t xml:space="preserve"> </w:t>
      </w:r>
      <w:r w:rsidR="007B6805" w:rsidRPr="00F0226F">
        <w:rPr>
          <w:lang w:val="fr-CH"/>
        </w:rPr>
        <w:t>d</w:t>
      </w:r>
      <w:bookmarkEnd w:id="19"/>
      <w:r w:rsidR="0038432A">
        <w:rPr>
          <w:lang w:val="fr-CH"/>
        </w:rPr>
        <w:t>u P</w:t>
      </w:r>
      <w:r w:rsidR="000602A0">
        <w:rPr>
          <w:lang w:val="fr-CH"/>
        </w:rPr>
        <w:t>lan sectoriel</w:t>
      </w:r>
      <w:bookmarkEnd w:id="20"/>
    </w:p>
    <w:p w14:paraId="3AE25DB9" w14:textId="0A7B9660" w:rsidR="00BD4DF2" w:rsidRPr="00F0226F" w:rsidRDefault="00F56587" w:rsidP="00751660">
      <w:pPr>
        <w:pStyle w:val="berschrift2"/>
        <w:rPr>
          <w:lang w:val="fr-CH"/>
        </w:rPr>
      </w:pPr>
      <w:bookmarkStart w:id="21" w:name="_Toc532996371"/>
      <w:r>
        <w:rPr>
          <w:lang w:val="fr-CH"/>
        </w:rPr>
        <w:t>Finalité</w:t>
      </w:r>
      <w:bookmarkEnd w:id="21"/>
    </w:p>
    <w:p w14:paraId="04D7B705" w14:textId="31E8E076" w:rsidR="00A84A1E" w:rsidRPr="00F0226F" w:rsidRDefault="0038432A" w:rsidP="3120AD34">
      <w:pPr>
        <w:spacing w:after="60"/>
        <w:rPr>
          <w:b/>
          <w:bCs/>
          <w:lang w:val="fr-CH"/>
        </w:rPr>
      </w:pPr>
      <w:r>
        <w:rPr>
          <w:b/>
          <w:bCs/>
          <w:lang w:val="fr-CH"/>
        </w:rPr>
        <w:t>Le P</w:t>
      </w:r>
      <w:r w:rsidR="000602A0">
        <w:rPr>
          <w:b/>
          <w:bCs/>
          <w:lang w:val="fr-CH"/>
        </w:rPr>
        <w:t xml:space="preserve">lan sectoriel </w:t>
      </w:r>
      <w:r w:rsidR="00C04793">
        <w:rPr>
          <w:b/>
          <w:bCs/>
          <w:lang w:val="fr-CH"/>
        </w:rPr>
        <w:t>spécifie les prescriptions applicables à la garantie des SDA et en fixe les principes</w:t>
      </w:r>
      <w:r w:rsidR="3120AD34" w:rsidRPr="00F0226F">
        <w:rPr>
          <w:b/>
          <w:bCs/>
          <w:lang w:val="fr-CH"/>
        </w:rPr>
        <w:t>.</w:t>
      </w:r>
    </w:p>
    <w:p w14:paraId="4F0C2E93" w14:textId="4EDBC111" w:rsidR="00A84A1E" w:rsidRPr="00F0226F" w:rsidRDefault="00C04793" w:rsidP="00A84A1E">
      <w:pPr>
        <w:rPr>
          <w:lang w:val="fr-CH"/>
        </w:rPr>
      </w:pPr>
      <w:r>
        <w:rPr>
          <w:lang w:val="fr-CH"/>
        </w:rPr>
        <w:t xml:space="preserve">Le </w:t>
      </w:r>
      <w:r w:rsidR="0038432A">
        <w:rPr>
          <w:lang w:val="fr-CH"/>
        </w:rPr>
        <w:t>Plan sectoriel SDA est un P</w:t>
      </w:r>
      <w:r>
        <w:rPr>
          <w:lang w:val="fr-CH"/>
        </w:rPr>
        <w:t>lan sectoriel au sens de l’art.</w:t>
      </w:r>
      <w:r w:rsidR="3120AD34" w:rsidRPr="00F0226F">
        <w:rPr>
          <w:lang w:val="fr-CH"/>
        </w:rPr>
        <w:t xml:space="preserve"> 13 </w:t>
      </w:r>
      <w:r w:rsidR="00C53BB4">
        <w:rPr>
          <w:lang w:val="fr-CH"/>
        </w:rPr>
        <w:t>LAT</w:t>
      </w:r>
      <w:r w:rsidR="3120AD34" w:rsidRPr="00F0226F">
        <w:rPr>
          <w:lang w:val="fr-CH"/>
        </w:rPr>
        <w:t xml:space="preserve">. </w:t>
      </w:r>
      <w:r>
        <w:rPr>
          <w:lang w:val="fr-CH"/>
        </w:rPr>
        <w:t xml:space="preserve">Il concrétise et clarifie les </w:t>
      </w:r>
      <w:r w:rsidR="00F56587">
        <w:rPr>
          <w:lang w:val="fr-CH"/>
        </w:rPr>
        <w:t xml:space="preserve">règles </w:t>
      </w:r>
      <w:r>
        <w:rPr>
          <w:lang w:val="fr-CH"/>
        </w:rPr>
        <w:t xml:space="preserve">d’aménagement </w:t>
      </w:r>
      <w:r w:rsidR="00F56587">
        <w:rPr>
          <w:lang w:val="fr-CH"/>
        </w:rPr>
        <w:t>relatives aux</w:t>
      </w:r>
      <w:r>
        <w:rPr>
          <w:lang w:val="fr-CH"/>
        </w:rPr>
        <w:t xml:space="preserve"> SDA définies aux a</w:t>
      </w:r>
      <w:r w:rsidR="3120AD34" w:rsidRPr="00F0226F">
        <w:rPr>
          <w:lang w:val="fr-CH"/>
        </w:rPr>
        <w:t>rt</w:t>
      </w:r>
      <w:r w:rsidR="00C53BB4">
        <w:rPr>
          <w:lang w:val="fr-CH"/>
        </w:rPr>
        <w:t>icles</w:t>
      </w:r>
      <w:r w:rsidR="00C53BB4" w:rsidRPr="00F0226F">
        <w:rPr>
          <w:lang w:val="fr-CH"/>
        </w:rPr>
        <w:t xml:space="preserve"> </w:t>
      </w:r>
      <w:r w:rsidR="3120AD34" w:rsidRPr="00F0226F">
        <w:rPr>
          <w:lang w:val="fr-CH"/>
        </w:rPr>
        <w:t xml:space="preserve">26 </w:t>
      </w:r>
      <w:r>
        <w:rPr>
          <w:lang w:val="fr-CH"/>
        </w:rPr>
        <w:t>à</w:t>
      </w:r>
      <w:r w:rsidR="3120AD34" w:rsidRPr="00F0226F">
        <w:rPr>
          <w:lang w:val="fr-CH"/>
        </w:rPr>
        <w:t xml:space="preserve"> 30 </w:t>
      </w:r>
      <w:r>
        <w:rPr>
          <w:lang w:val="fr-CH"/>
        </w:rPr>
        <w:t>OAT</w:t>
      </w:r>
      <w:r w:rsidR="3120AD34" w:rsidRPr="00F0226F">
        <w:rPr>
          <w:lang w:val="fr-CH"/>
        </w:rPr>
        <w:t xml:space="preserve"> </w:t>
      </w:r>
      <w:r>
        <w:rPr>
          <w:lang w:val="fr-CH"/>
        </w:rPr>
        <w:t>et fixe, le cas échéant, d’autres principes</w:t>
      </w:r>
      <w:r w:rsidR="3120AD34" w:rsidRPr="00F0226F">
        <w:rPr>
          <w:lang w:val="fr-CH"/>
        </w:rPr>
        <w:t xml:space="preserve">. </w:t>
      </w:r>
    </w:p>
    <w:p w14:paraId="061644ED" w14:textId="41932E70" w:rsidR="00A84A1E" w:rsidRPr="00F0226F" w:rsidRDefault="0020601A" w:rsidP="3120AD34">
      <w:pPr>
        <w:spacing w:before="240" w:after="60"/>
        <w:rPr>
          <w:b/>
          <w:bCs/>
          <w:lang w:val="fr-CH"/>
        </w:rPr>
      </w:pPr>
      <w:r>
        <w:rPr>
          <w:b/>
          <w:bCs/>
          <w:lang w:val="fr-CH"/>
        </w:rPr>
        <w:t>Il importe, a</w:t>
      </w:r>
      <w:r w:rsidR="00C04793">
        <w:rPr>
          <w:b/>
          <w:bCs/>
          <w:lang w:val="fr-CH"/>
        </w:rPr>
        <w:t>fi</w:t>
      </w:r>
      <w:r>
        <w:rPr>
          <w:b/>
          <w:bCs/>
          <w:lang w:val="fr-CH"/>
        </w:rPr>
        <w:t xml:space="preserve">n </w:t>
      </w:r>
      <w:r w:rsidR="00C04793">
        <w:rPr>
          <w:b/>
          <w:bCs/>
          <w:lang w:val="fr-CH"/>
        </w:rPr>
        <w:t>d’assurer</w:t>
      </w:r>
      <w:r>
        <w:rPr>
          <w:b/>
          <w:bCs/>
          <w:lang w:val="fr-CH"/>
        </w:rPr>
        <w:t xml:space="preserve"> au pays une base d’approvisionnement en denrées alimentaires suffisante en cas de pénurie grave, de garantir dans le </w:t>
      </w:r>
      <w:r w:rsidR="0038432A">
        <w:rPr>
          <w:b/>
          <w:bCs/>
          <w:lang w:val="fr-CH"/>
        </w:rPr>
        <w:t>P</w:t>
      </w:r>
      <w:r>
        <w:rPr>
          <w:b/>
          <w:bCs/>
          <w:lang w:val="fr-CH"/>
        </w:rPr>
        <w:t>lan sectoriel SDA la sauvegarde des meilleures terres agricoles</w:t>
      </w:r>
      <w:r w:rsidR="3120AD34" w:rsidRPr="00F0226F">
        <w:rPr>
          <w:b/>
          <w:bCs/>
          <w:lang w:val="fr-CH"/>
        </w:rPr>
        <w:t xml:space="preserve">. </w:t>
      </w:r>
      <w:r>
        <w:rPr>
          <w:b/>
          <w:bCs/>
          <w:lang w:val="fr-CH"/>
        </w:rPr>
        <w:t>Il est donc nécessaire de déterminer la surface minimale d’assolement à préserver</w:t>
      </w:r>
      <w:r w:rsidR="3120AD34" w:rsidRPr="00F0226F">
        <w:rPr>
          <w:b/>
          <w:bCs/>
          <w:lang w:val="fr-CH"/>
        </w:rPr>
        <w:t>.</w:t>
      </w:r>
    </w:p>
    <w:p w14:paraId="1F5EF9D0" w14:textId="62021A1A" w:rsidR="00A84A1E" w:rsidRPr="00F0226F" w:rsidRDefault="0020601A" w:rsidP="00A84A1E">
      <w:pPr>
        <w:rPr>
          <w:lang w:val="fr-CH"/>
        </w:rPr>
      </w:pPr>
      <w:r>
        <w:rPr>
          <w:lang w:val="fr-CH"/>
        </w:rPr>
        <w:t>Selon l’a</w:t>
      </w:r>
      <w:r w:rsidR="325E5E49" w:rsidRPr="00F0226F">
        <w:rPr>
          <w:lang w:val="fr-CH"/>
        </w:rPr>
        <w:t xml:space="preserve">rt. 102 </w:t>
      </w:r>
      <w:r>
        <w:rPr>
          <w:lang w:val="fr-CH"/>
        </w:rPr>
        <w:t>Cst</w:t>
      </w:r>
      <w:r w:rsidR="00AF288F">
        <w:rPr>
          <w:lang w:val="fr-CH"/>
        </w:rPr>
        <w:t>.</w:t>
      </w:r>
      <w:r>
        <w:rPr>
          <w:lang w:val="fr-CH"/>
        </w:rPr>
        <w:t>, la Confédération prend des mesures préventives pour assurer l’approvisionnement du pays en cas de grave pénurie. Selon l’a</w:t>
      </w:r>
      <w:r w:rsidR="325E5E49" w:rsidRPr="00F0226F">
        <w:rPr>
          <w:lang w:val="fr-CH"/>
        </w:rPr>
        <w:t>rt</w:t>
      </w:r>
      <w:r w:rsidR="00C53BB4">
        <w:rPr>
          <w:lang w:val="fr-CH"/>
        </w:rPr>
        <w:t>icle</w:t>
      </w:r>
      <w:r w:rsidR="325E5E49" w:rsidRPr="00F0226F">
        <w:rPr>
          <w:lang w:val="fr-CH"/>
        </w:rPr>
        <w:t xml:space="preserve"> 26</w:t>
      </w:r>
      <w:r>
        <w:rPr>
          <w:lang w:val="fr-CH"/>
        </w:rPr>
        <w:t>, al</w:t>
      </w:r>
      <w:r w:rsidR="00C53BB4">
        <w:rPr>
          <w:lang w:val="fr-CH"/>
        </w:rPr>
        <w:t>inéa</w:t>
      </w:r>
      <w:r w:rsidR="325E5E49" w:rsidRPr="00F0226F">
        <w:rPr>
          <w:lang w:val="fr-CH"/>
        </w:rPr>
        <w:t xml:space="preserve"> 3 </w:t>
      </w:r>
      <w:r>
        <w:rPr>
          <w:lang w:val="fr-CH"/>
        </w:rPr>
        <w:t>OAT</w:t>
      </w:r>
      <w:r w:rsidR="325E5E49" w:rsidRPr="00F0226F">
        <w:rPr>
          <w:lang w:val="fr-CH"/>
        </w:rPr>
        <w:t xml:space="preserve"> </w:t>
      </w:r>
      <w:r>
        <w:rPr>
          <w:lang w:val="fr-CH"/>
        </w:rPr>
        <w:t>et l’a</w:t>
      </w:r>
      <w:r w:rsidR="325E5E49" w:rsidRPr="00F0226F">
        <w:rPr>
          <w:lang w:val="fr-CH"/>
        </w:rPr>
        <w:t>rt</w:t>
      </w:r>
      <w:r w:rsidR="00C53BB4">
        <w:rPr>
          <w:lang w:val="fr-CH"/>
        </w:rPr>
        <w:t>icle</w:t>
      </w:r>
      <w:r w:rsidR="325E5E49" w:rsidRPr="00F0226F">
        <w:rPr>
          <w:lang w:val="fr-CH"/>
        </w:rPr>
        <w:t xml:space="preserve"> 30 </w:t>
      </w:r>
      <w:r w:rsidR="003540FA" w:rsidRPr="00F0226F">
        <w:rPr>
          <w:lang w:val="fr-CH"/>
        </w:rPr>
        <w:t>L</w:t>
      </w:r>
      <w:r>
        <w:rPr>
          <w:lang w:val="fr-CH"/>
        </w:rPr>
        <w:t>A</w:t>
      </w:r>
      <w:r w:rsidR="00624C5D">
        <w:rPr>
          <w:lang w:val="fr-CH"/>
        </w:rPr>
        <w:t xml:space="preserve">P, l’une de ces mesures est de garantir les surfaces d’assolement. La surface minimale d’assolement est indispensable pour pouvoir </w:t>
      </w:r>
      <w:r w:rsidR="00AF288F">
        <w:rPr>
          <w:lang w:val="fr-CH"/>
        </w:rPr>
        <w:t>produire la quantité de calories nécessaires</w:t>
      </w:r>
      <w:r w:rsidR="00624C5D">
        <w:rPr>
          <w:lang w:val="fr-CH"/>
        </w:rPr>
        <w:t xml:space="preserve"> à la population en cas de grave pénurie</w:t>
      </w:r>
      <w:r w:rsidR="325E5E49" w:rsidRPr="00F0226F">
        <w:rPr>
          <w:lang w:val="fr-CH"/>
        </w:rPr>
        <w:t>.</w:t>
      </w:r>
    </w:p>
    <w:p w14:paraId="60E59BA7" w14:textId="716C3BE4" w:rsidR="00A97B7F" w:rsidRPr="00F0226F" w:rsidRDefault="0038432A" w:rsidP="3120AD34">
      <w:pPr>
        <w:spacing w:before="240" w:after="60"/>
        <w:rPr>
          <w:b/>
          <w:bCs/>
          <w:lang w:val="fr-CH"/>
        </w:rPr>
      </w:pPr>
      <w:r>
        <w:rPr>
          <w:b/>
          <w:bCs/>
          <w:lang w:val="fr-CH"/>
        </w:rPr>
        <w:t>Le P</w:t>
      </w:r>
      <w:r w:rsidR="00624C5D">
        <w:rPr>
          <w:b/>
          <w:bCs/>
          <w:lang w:val="fr-CH"/>
        </w:rPr>
        <w:t xml:space="preserve">lan sectoriel </w:t>
      </w:r>
      <w:r w:rsidR="00E2679F">
        <w:rPr>
          <w:b/>
          <w:bCs/>
          <w:lang w:val="fr-CH"/>
        </w:rPr>
        <w:t>contribue</w:t>
      </w:r>
      <w:r w:rsidR="00C53BB4">
        <w:rPr>
          <w:b/>
          <w:bCs/>
          <w:lang w:val="fr-CH"/>
        </w:rPr>
        <w:t xml:space="preserve"> également</w:t>
      </w:r>
      <w:r w:rsidR="00E2679F">
        <w:rPr>
          <w:b/>
          <w:bCs/>
          <w:lang w:val="fr-CH"/>
        </w:rPr>
        <w:t xml:space="preserve"> à la préservation des bases naturelles de la vie, des surfaces de compensatio</w:t>
      </w:r>
      <w:r w:rsidR="3120AD34" w:rsidRPr="00F0226F">
        <w:rPr>
          <w:b/>
          <w:bCs/>
          <w:lang w:val="fr-CH"/>
        </w:rPr>
        <w:t>n</w:t>
      </w:r>
      <w:r w:rsidR="00E2679F">
        <w:rPr>
          <w:b/>
          <w:bCs/>
          <w:lang w:val="fr-CH"/>
        </w:rPr>
        <w:t xml:space="preserve"> écologique</w:t>
      </w:r>
      <w:r w:rsidR="3120AD34" w:rsidRPr="00F0226F">
        <w:rPr>
          <w:b/>
          <w:bCs/>
          <w:lang w:val="fr-CH"/>
        </w:rPr>
        <w:t xml:space="preserve">, </w:t>
      </w:r>
      <w:r w:rsidR="00E2679F">
        <w:rPr>
          <w:b/>
          <w:bCs/>
          <w:lang w:val="fr-CH"/>
        </w:rPr>
        <w:t>de la diversité des paysages proches de l’état naturel</w:t>
      </w:r>
      <w:r w:rsidR="3120AD34" w:rsidRPr="00F0226F">
        <w:rPr>
          <w:b/>
          <w:bCs/>
          <w:lang w:val="fr-CH"/>
        </w:rPr>
        <w:t xml:space="preserve">, </w:t>
      </w:r>
      <w:r w:rsidR="00E2679F">
        <w:rPr>
          <w:b/>
          <w:bCs/>
          <w:lang w:val="fr-CH"/>
        </w:rPr>
        <w:t>de la diversité des espèces</w:t>
      </w:r>
      <w:r w:rsidR="00C53BB4">
        <w:rPr>
          <w:b/>
          <w:bCs/>
          <w:lang w:val="fr-CH"/>
        </w:rPr>
        <w:t xml:space="preserve">, </w:t>
      </w:r>
      <w:r w:rsidR="00E2679F">
        <w:rPr>
          <w:b/>
          <w:bCs/>
          <w:lang w:val="fr-CH"/>
        </w:rPr>
        <w:t>de la préservation des espaces de détente</w:t>
      </w:r>
      <w:r w:rsidR="00C53BB4">
        <w:rPr>
          <w:b/>
          <w:bCs/>
          <w:lang w:val="fr-CH"/>
        </w:rPr>
        <w:t xml:space="preserve"> et du maintien de corridors</w:t>
      </w:r>
      <w:r w:rsidR="00B6334F">
        <w:rPr>
          <w:b/>
          <w:bCs/>
          <w:lang w:val="fr-CH"/>
        </w:rPr>
        <w:t xml:space="preserve"> écologiques</w:t>
      </w:r>
      <w:r w:rsidR="3120AD34" w:rsidRPr="00F0226F">
        <w:rPr>
          <w:b/>
          <w:bCs/>
          <w:lang w:val="fr-CH"/>
        </w:rPr>
        <w:t>.</w:t>
      </w:r>
    </w:p>
    <w:p w14:paraId="3B9846A5" w14:textId="122604F3" w:rsidR="00A97B7F" w:rsidRPr="00F0226F" w:rsidRDefault="00E2679F" w:rsidP="00A97B7F">
      <w:pPr>
        <w:rPr>
          <w:lang w:val="fr-CH"/>
        </w:rPr>
      </w:pPr>
      <w:r>
        <w:rPr>
          <w:lang w:val="fr-CH"/>
        </w:rPr>
        <w:t>L</w:t>
      </w:r>
      <w:r w:rsidR="00B6334F">
        <w:rPr>
          <w:lang w:val="fr-CH"/>
        </w:rPr>
        <w:t xml:space="preserve">a garantie du maintien des SDA ainsi que leur gestion durable peuvent constituer une contribution importante à la préservation </w:t>
      </w:r>
      <w:r w:rsidR="00AF288F">
        <w:rPr>
          <w:lang w:val="fr-CH"/>
        </w:rPr>
        <w:t xml:space="preserve">des </w:t>
      </w:r>
      <w:r w:rsidR="00B6334F">
        <w:rPr>
          <w:lang w:val="fr-CH"/>
        </w:rPr>
        <w:t xml:space="preserve">fonctions présentées ci-dessus. </w:t>
      </w:r>
    </w:p>
    <w:p w14:paraId="3F60BD9C" w14:textId="595177CA" w:rsidR="00B6334F" w:rsidRPr="00376500" w:rsidRDefault="00E2679F" w:rsidP="00B6334F">
      <w:pPr>
        <w:pStyle w:val="berschrift2"/>
        <w:rPr>
          <w:lang w:val="fr-CH"/>
        </w:rPr>
      </w:pPr>
      <w:bookmarkStart w:id="22" w:name="_Toc526428722"/>
      <w:bookmarkStart w:id="23" w:name="_Toc532996372"/>
      <w:r>
        <w:rPr>
          <w:lang w:val="fr-CH"/>
        </w:rPr>
        <w:t>Por</w:t>
      </w:r>
      <w:r w:rsidR="00BD4DF2" w:rsidRPr="00F0226F">
        <w:rPr>
          <w:lang w:val="fr-CH"/>
        </w:rPr>
        <w:t>t</w:t>
      </w:r>
      <w:r>
        <w:rPr>
          <w:lang w:val="fr-CH"/>
        </w:rPr>
        <w:t>ée</w:t>
      </w:r>
      <w:r w:rsidR="00BD4DF2" w:rsidRPr="00F0226F">
        <w:rPr>
          <w:lang w:val="fr-CH"/>
        </w:rPr>
        <w:t xml:space="preserve"> </w:t>
      </w:r>
      <w:r>
        <w:rPr>
          <w:lang w:val="fr-CH"/>
        </w:rPr>
        <w:t>et</w:t>
      </w:r>
      <w:r w:rsidR="00BD4DF2" w:rsidRPr="00F0226F">
        <w:rPr>
          <w:lang w:val="fr-CH"/>
        </w:rPr>
        <w:t xml:space="preserve"> </w:t>
      </w:r>
      <w:bookmarkEnd w:id="22"/>
      <w:r w:rsidR="001F783D">
        <w:rPr>
          <w:lang w:val="fr-CH"/>
        </w:rPr>
        <w:t>champ d’application</w:t>
      </w:r>
      <w:bookmarkEnd w:id="23"/>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515"/>
      </w:tblGrid>
      <w:tr w:rsidR="00B6334F" w:rsidRPr="008454A6" w14:paraId="09DFF4AD" w14:textId="77777777" w:rsidTr="00BB4760">
        <w:tc>
          <w:tcPr>
            <w:tcW w:w="9515" w:type="dxa"/>
            <w:shd w:val="clear" w:color="auto" w:fill="BFBFBF" w:themeFill="background1" w:themeFillShade="BF"/>
          </w:tcPr>
          <w:p w14:paraId="7D56E6C4" w14:textId="343EE70A" w:rsidR="00B6334F" w:rsidRPr="00BC7767" w:rsidRDefault="00B6334F" w:rsidP="0038432A">
            <w:pPr>
              <w:spacing w:before="120"/>
              <w:rPr>
                <w:lang w:val="fr-CH"/>
              </w:rPr>
            </w:pPr>
            <w:r>
              <w:rPr>
                <w:lang w:val="fr-CH"/>
              </w:rPr>
              <w:t xml:space="preserve">Le </w:t>
            </w:r>
            <w:r w:rsidR="0038432A">
              <w:rPr>
                <w:lang w:val="fr-CH"/>
              </w:rPr>
              <w:t>P</w:t>
            </w:r>
            <w:r>
              <w:rPr>
                <w:lang w:val="fr-CH"/>
              </w:rPr>
              <w:t>lan sectori</w:t>
            </w:r>
            <w:r w:rsidR="0038432A">
              <w:rPr>
                <w:lang w:val="fr-CH"/>
              </w:rPr>
              <w:t>el des SDA remanié remplace le P</w:t>
            </w:r>
            <w:r>
              <w:rPr>
                <w:lang w:val="fr-CH"/>
              </w:rPr>
              <w:t>lan sectoriel de</w:t>
            </w:r>
            <w:r w:rsidRPr="00BC7767">
              <w:rPr>
                <w:lang w:val="fr-CH"/>
              </w:rPr>
              <w:t xml:space="preserve"> 1992</w:t>
            </w:r>
            <w:r>
              <w:rPr>
                <w:lang w:val="fr-CH"/>
              </w:rPr>
              <w:t xml:space="preserve"> : </w:t>
            </w:r>
            <w:r w:rsidRPr="00BC7767">
              <w:rPr>
                <w:lang w:val="fr-CH"/>
              </w:rPr>
              <w:t>«</w:t>
            </w:r>
            <w:r>
              <w:rPr>
                <w:lang w:val="fr-CH"/>
              </w:rPr>
              <w:t xml:space="preserve"> Plan sectoriel des surfaces d’assolement (SDA).</w:t>
            </w:r>
            <w:r w:rsidR="00BC7767">
              <w:rPr>
                <w:lang w:val="fr-CH"/>
              </w:rPr>
              <w:t xml:space="preserve"> </w:t>
            </w:r>
            <w:r>
              <w:rPr>
                <w:lang w:val="fr-CH"/>
              </w:rPr>
              <w:t xml:space="preserve">Surface totale minimale et sa répartition entre les cantons </w:t>
            </w:r>
            <w:r w:rsidRPr="00BC7767">
              <w:rPr>
                <w:lang w:val="fr-CH"/>
              </w:rPr>
              <w:t xml:space="preserve">», </w:t>
            </w:r>
            <w:r>
              <w:rPr>
                <w:lang w:val="fr-CH"/>
              </w:rPr>
              <w:t xml:space="preserve">adopté par le Conseil fédéral </w:t>
            </w:r>
            <w:r w:rsidR="00AF288F">
              <w:rPr>
                <w:lang w:val="fr-CH"/>
              </w:rPr>
              <w:t>par arrêté</w:t>
            </w:r>
            <w:r w:rsidR="00BC7767">
              <w:rPr>
                <w:lang w:val="fr-CH"/>
              </w:rPr>
              <w:t xml:space="preserve"> du</w:t>
            </w:r>
            <w:r w:rsidRPr="00BC7767">
              <w:rPr>
                <w:lang w:val="fr-CH"/>
              </w:rPr>
              <w:t xml:space="preserve"> 8</w:t>
            </w:r>
            <w:r w:rsidR="00BC7767">
              <w:rPr>
                <w:lang w:val="fr-CH"/>
              </w:rPr>
              <w:t xml:space="preserve"> avril</w:t>
            </w:r>
            <w:r w:rsidRPr="00BC7767">
              <w:rPr>
                <w:lang w:val="fr-CH"/>
              </w:rPr>
              <w:t xml:space="preserve"> 1992 </w:t>
            </w:r>
            <w:r w:rsidR="00BC7767">
              <w:rPr>
                <w:lang w:val="fr-CH"/>
              </w:rPr>
              <w:t>(FF</w:t>
            </w:r>
            <w:r w:rsidRPr="00BC7767">
              <w:rPr>
                <w:lang w:val="fr-CH"/>
              </w:rPr>
              <w:t xml:space="preserve"> 1992 II 16</w:t>
            </w:r>
            <w:r w:rsidR="00BC7767">
              <w:rPr>
                <w:lang w:val="fr-CH"/>
              </w:rPr>
              <w:t>16</w:t>
            </w:r>
            <w:r w:rsidRPr="00BC7767">
              <w:rPr>
                <w:lang w:val="fr-CH"/>
              </w:rPr>
              <w:t>).</w:t>
            </w:r>
          </w:p>
        </w:tc>
      </w:tr>
    </w:tbl>
    <w:p w14:paraId="20FF3D2B" w14:textId="77777777" w:rsidR="00376500" w:rsidRDefault="00376500" w:rsidP="00CA7F1E">
      <w:pPr>
        <w:rPr>
          <w:lang w:val="fr-CH"/>
        </w:rPr>
      </w:pPr>
    </w:p>
    <w:p w14:paraId="0EC3180C" w14:textId="0099A297" w:rsidR="007C53EC" w:rsidRPr="00F0226F" w:rsidRDefault="0084459C" w:rsidP="00CA7F1E">
      <w:pPr>
        <w:rPr>
          <w:lang w:val="fr-CH"/>
        </w:rPr>
      </w:pPr>
      <w:r>
        <w:rPr>
          <w:lang w:val="fr-CH"/>
        </w:rPr>
        <w:t>Selon l’article 22 OAT, l</w:t>
      </w:r>
      <w:r w:rsidR="00DF7A47">
        <w:rPr>
          <w:lang w:val="fr-CH"/>
        </w:rPr>
        <w:t>e p</w:t>
      </w:r>
      <w:r w:rsidR="001F783D">
        <w:rPr>
          <w:lang w:val="fr-CH"/>
        </w:rPr>
        <w:t>lan sectoriel</w:t>
      </w:r>
      <w:r w:rsidR="00D657EC" w:rsidRPr="00F0226F">
        <w:rPr>
          <w:lang w:val="fr-CH"/>
        </w:rPr>
        <w:t xml:space="preserve"> </w:t>
      </w:r>
      <w:r>
        <w:rPr>
          <w:lang w:val="fr-CH"/>
        </w:rPr>
        <w:t xml:space="preserve">a force obligatoire pour les autorités et doit par conséquent être pris en compte par les </w:t>
      </w:r>
      <w:r w:rsidR="00AF288F">
        <w:rPr>
          <w:lang w:val="fr-CH"/>
        </w:rPr>
        <w:t xml:space="preserve">services </w:t>
      </w:r>
      <w:r>
        <w:rPr>
          <w:lang w:val="fr-CH"/>
        </w:rPr>
        <w:t>fédéraux, les cantons, les responsables</w:t>
      </w:r>
      <w:r w:rsidR="00AF288F">
        <w:rPr>
          <w:lang w:val="fr-CH"/>
        </w:rPr>
        <w:t xml:space="preserve"> régionaux</w:t>
      </w:r>
      <w:r>
        <w:rPr>
          <w:lang w:val="fr-CH"/>
        </w:rPr>
        <w:t xml:space="preserve"> de l’aménagement </w:t>
      </w:r>
      <w:r>
        <w:rPr>
          <w:rFonts w:eastAsiaTheme="minorEastAsia"/>
          <w:lang w:val="fr-CH"/>
        </w:rPr>
        <w:t>et les communes lors de l’élaboration, de l’application et du réexamen de leur</w:t>
      </w:r>
      <w:r w:rsidR="00CE4E2B">
        <w:rPr>
          <w:rFonts w:eastAsiaTheme="minorEastAsia"/>
          <w:lang w:val="fr-CH"/>
        </w:rPr>
        <w:t>s</w:t>
      </w:r>
      <w:r>
        <w:rPr>
          <w:rFonts w:eastAsiaTheme="minorEastAsia"/>
          <w:lang w:val="fr-CH"/>
        </w:rPr>
        <w:t xml:space="preserve"> plan</w:t>
      </w:r>
      <w:r w:rsidR="00CE4E2B">
        <w:rPr>
          <w:rFonts w:eastAsiaTheme="minorEastAsia"/>
          <w:lang w:val="fr-CH"/>
        </w:rPr>
        <w:t>s</w:t>
      </w:r>
      <w:r>
        <w:rPr>
          <w:rFonts w:eastAsiaTheme="minorEastAsia"/>
          <w:lang w:val="fr-CH"/>
        </w:rPr>
        <w:t xml:space="preserve"> sectoriel</w:t>
      </w:r>
      <w:r w:rsidR="00CE4E2B">
        <w:rPr>
          <w:rFonts w:eastAsiaTheme="minorEastAsia"/>
          <w:lang w:val="fr-CH"/>
        </w:rPr>
        <w:t>s</w:t>
      </w:r>
      <w:r>
        <w:rPr>
          <w:rFonts w:eastAsiaTheme="minorEastAsia"/>
          <w:lang w:val="fr-CH"/>
        </w:rPr>
        <w:t xml:space="preserve">, </w:t>
      </w:r>
      <w:r w:rsidR="00CE4E2B">
        <w:rPr>
          <w:rFonts w:eastAsiaTheme="minorEastAsia"/>
          <w:lang w:val="fr-CH"/>
        </w:rPr>
        <w:t xml:space="preserve">de leurs plans </w:t>
      </w:r>
      <w:r>
        <w:rPr>
          <w:rFonts w:eastAsiaTheme="minorEastAsia"/>
          <w:lang w:val="fr-CH"/>
        </w:rPr>
        <w:t>directeur</w:t>
      </w:r>
      <w:r w:rsidR="00CE4E2B">
        <w:rPr>
          <w:rFonts w:eastAsiaTheme="minorEastAsia"/>
          <w:lang w:val="fr-CH"/>
        </w:rPr>
        <w:t>s</w:t>
      </w:r>
      <w:r>
        <w:rPr>
          <w:rFonts w:eastAsiaTheme="minorEastAsia"/>
          <w:lang w:val="fr-CH"/>
        </w:rPr>
        <w:t xml:space="preserve"> ou</w:t>
      </w:r>
      <w:r w:rsidR="00CE4E2B">
        <w:rPr>
          <w:rFonts w:eastAsiaTheme="minorEastAsia"/>
          <w:lang w:val="fr-CH"/>
        </w:rPr>
        <w:t xml:space="preserve"> de leurs plans</w:t>
      </w:r>
      <w:r>
        <w:rPr>
          <w:rFonts w:eastAsiaTheme="minorEastAsia"/>
          <w:lang w:val="fr-CH"/>
        </w:rPr>
        <w:t xml:space="preserve"> d’affectation. </w:t>
      </w:r>
    </w:p>
    <w:p w14:paraId="5AEB8F20" w14:textId="4CEC8F5D" w:rsidR="00EA41DE" w:rsidRPr="00F0226F" w:rsidRDefault="00CE4E2B" w:rsidP="0026145F">
      <w:pPr>
        <w:rPr>
          <w:lang w:val="fr-CH"/>
        </w:rPr>
      </w:pPr>
      <w:r>
        <w:rPr>
          <w:lang w:val="fr-CH"/>
        </w:rPr>
        <w:t>La</w:t>
      </w:r>
      <w:r w:rsidR="00BC7767">
        <w:rPr>
          <w:lang w:val="fr-CH"/>
        </w:rPr>
        <w:t xml:space="preserve"> gestion des SDA</w:t>
      </w:r>
      <w:r>
        <w:rPr>
          <w:lang w:val="fr-CH"/>
        </w:rPr>
        <w:t xml:space="preserve"> est régie par les art</w:t>
      </w:r>
      <w:r w:rsidR="007F751C">
        <w:rPr>
          <w:lang w:val="fr-CH"/>
        </w:rPr>
        <w:t>icles</w:t>
      </w:r>
      <w:r>
        <w:rPr>
          <w:lang w:val="fr-CH"/>
        </w:rPr>
        <w:t xml:space="preserve"> 26 à 30 OAT</w:t>
      </w:r>
      <w:r w:rsidR="325E5E49" w:rsidRPr="00F0226F">
        <w:rPr>
          <w:lang w:val="fr-CH"/>
        </w:rPr>
        <w:t>.</w:t>
      </w:r>
    </w:p>
    <w:p w14:paraId="55F8CF8D" w14:textId="7E3BF561" w:rsidR="00D806DA" w:rsidRPr="00F0226F" w:rsidRDefault="00CE4E2B" w:rsidP="0026145F">
      <w:pPr>
        <w:rPr>
          <w:lang w:val="fr-CH"/>
        </w:rPr>
      </w:pPr>
      <w:r>
        <w:rPr>
          <w:rFonts w:cs="Arial"/>
          <w:lang w:val="fr-CH"/>
        </w:rPr>
        <w:t>À</w:t>
      </w:r>
      <w:r w:rsidR="00BC7767">
        <w:rPr>
          <w:lang w:val="fr-CH"/>
        </w:rPr>
        <w:t xml:space="preserve"> la différence des</w:t>
      </w:r>
      <w:r w:rsidR="0016700E">
        <w:rPr>
          <w:lang w:val="fr-CH"/>
        </w:rPr>
        <w:t xml:space="preserve"> autres plans sectoriels de la Confédération, ce plan sectoriel ne donne pas d’indications </w:t>
      </w:r>
      <w:r w:rsidR="00BC7767">
        <w:rPr>
          <w:lang w:val="fr-CH"/>
        </w:rPr>
        <w:t xml:space="preserve">géographiques </w:t>
      </w:r>
      <w:r w:rsidR="0016700E">
        <w:rPr>
          <w:lang w:val="fr-CH"/>
        </w:rPr>
        <w:t>concrètes</w:t>
      </w:r>
      <w:r w:rsidR="3120AD34" w:rsidRPr="00F0226F">
        <w:rPr>
          <w:lang w:val="fr-CH"/>
        </w:rPr>
        <w:t xml:space="preserve">. </w:t>
      </w:r>
      <w:r w:rsidR="0016700E">
        <w:rPr>
          <w:lang w:val="fr-CH"/>
        </w:rPr>
        <w:t xml:space="preserve">Il fixe néanmoins la surface minimale d’assolement en Suisse et sa répartition entre les cantons </w:t>
      </w:r>
      <w:r w:rsidR="00BC7767">
        <w:rPr>
          <w:lang w:val="fr-CH"/>
        </w:rPr>
        <w:t>(</w:t>
      </w:r>
      <w:r w:rsidR="0016700E">
        <w:rPr>
          <w:lang w:val="fr-CH"/>
        </w:rPr>
        <w:t>a</w:t>
      </w:r>
      <w:r w:rsidR="3120AD34" w:rsidRPr="00F0226F">
        <w:rPr>
          <w:lang w:val="fr-CH"/>
        </w:rPr>
        <w:t xml:space="preserve">rt. 29 </w:t>
      </w:r>
      <w:r w:rsidR="0016700E">
        <w:rPr>
          <w:lang w:val="fr-CH"/>
        </w:rPr>
        <w:t>OAT</w:t>
      </w:r>
      <w:r w:rsidR="00BC7767">
        <w:rPr>
          <w:lang w:val="fr-CH"/>
        </w:rPr>
        <w:t>)</w:t>
      </w:r>
      <w:r w:rsidR="3120AD34" w:rsidRPr="00F0226F">
        <w:rPr>
          <w:lang w:val="fr-CH"/>
        </w:rPr>
        <w:t xml:space="preserve">. </w:t>
      </w:r>
    </w:p>
    <w:p w14:paraId="26035D24" w14:textId="591C1CB0" w:rsidR="006A29BC" w:rsidRPr="00F0226F" w:rsidRDefault="0016700E" w:rsidP="0026145F">
      <w:pPr>
        <w:rPr>
          <w:lang w:val="fr-CH"/>
        </w:rPr>
      </w:pPr>
      <w:r>
        <w:rPr>
          <w:lang w:val="fr-CH"/>
        </w:rPr>
        <w:t>Le</w:t>
      </w:r>
      <w:r w:rsidR="00BC7767">
        <w:rPr>
          <w:lang w:val="fr-CH"/>
        </w:rPr>
        <w:t>s principes énoncés dans le</w:t>
      </w:r>
      <w:r>
        <w:rPr>
          <w:lang w:val="fr-CH"/>
        </w:rPr>
        <w:t xml:space="preserve"> plan sectoriel </w:t>
      </w:r>
      <w:r w:rsidR="00BC7767">
        <w:rPr>
          <w:lang w:val="fr-CH"/>
        </w:rPr>
        <w:t xml:space="preserve">sont </w:t>
      </w:r>
      <w:r>
        <w:rPr>
          <w:lang w:val="fr-CH"/>
        </w:rPr>
        <w:t>applicable</w:t>
      </w:r>
      <w:r w:rsidR="00BC7767">
        <w:rPr>
          <w:lang w:val="fr-CH"/>
        </w:rPr>
        <w:t>s</w:t>
      </w:r>
      <w:r>
        <w:rPr>
          <w:lang w:val="fr-CH"/>
        </w:rPr>
        <w:t xml:space="preserve"> à </w:t>
      </w:r>
      <w:r w:rsidR="00BC7767">
        <w:rPr>
          <w:lang w:val="fr-CH"/>
        </w:rPr>
        <w:t xml:space="preserve">toutes </w:t>
      </w:r>
      <w:r>
        <w:rPr>
          <w:lang w:val="fr-CH"/>
        </w:rPr>
        <w:t xml:space="preserve">les SDA </w:t>
      </w:r>
      <w:r w:rsidR="00BC7767">
        <w:rPr>
          <w:lang w:val="fr-CH"/>
        </w:rPr>
        <w:t xml:space="preserve">répertoriées dans les inventaires cantonaux (cf. également figure 1 et </w:t>
      </w:r>
      <w:r w:rsidR="0035219B">
        <w:rPr>
          <w:lang w:val="fr-CH"/>
        </w:rPr>
        <w:t>terminologie</w:t>
      </w:r>
      <w:r w:rsidR="00BC7767">
        <w:rPr>
          <w:lang w:val="fr-CH"/>
        </w:rPr>
        <w:t xml:space="preserve"> au chapitre 6.1.1)</w:t>
      </w:r>
      <w:r w:rsidR="3120AD34" w:rsidRPr="00F0226F">
        <w:rPr>
          <w:lang w:val="fr-CH"/>
        </w:rPr>
        <w:t>.</w:t>
      </w:r>
    </w:p>
    <w:p w14:paraId="7C71F14D" w14:textId="5A71DC4D" w:rsidR="00790BD4" w:rsidRPr="00F0226F" w:rsidRDefault="0016700E" w:rsidP="007C53EC">
      <w:pPr>
        <w:rPr>
          <w:lang w:val="fr-CH"/>
        </w:rPr>
      </w:pPr>
      <w:r>
        <w:rPr>
          <w:lang w:val="fr-CH"/>
        </w:rPr>
        <w:t>Le plan sectoriel est complété d’un rapport explicatif.</w:t>
      </w:r>
    </w:p>
    <w:p w14:paraId="595BE0F0" w14:textId="15C1B6A4" w:rsidR="008E77EE" w:rsidRPr="00F0226F" w:rsidRDefault="0016700E" w:rsidP="007C53EC">
      <w:pPr>
        <w:rPr>
          <w:lang w:val="fr-CH"/>
        </w:rPr>
      </w:pPr>
      <w:r>
        <w:rPr>
          <w:lang w:val="fr-CH"/>
        </w:rPr>
        <w:t xml:space="preserve">Le modèle minimal de géodonnées </w:t>
      </w:r>
      <w:r w:rsidR="3120AD34" w:rsidRPr="00F0226F">
        <w:rPr>
          <w:lang w:val="fr-CH"/>
        </w:rPr>
        <w:t>(</w:t>
      </w:r>
      <w:r>
        <w:rPr>
          <w:lang w:val="fr-CH"/>
        </w:rPr>
        <w:t>n</w:t>
      </w:r>
      <w:r w:rsidRPr="0016700E">
        <w:rPr>
          <w:vertAlign w:val="superscript"/>
          <w:lang w:val="fr-CH"/>
        </w:rPr>
        <w:t>o</w:t>
      </w:r>
      <w:r w:rsidR="3120AD34" w:rsidRPr="00F0226F">
        <w:rPr>
          <w:lang w:val="fr-CH"/>
        </w:rPr>
        <w:t xml:space="preserve"> 68 </w:t>
      </w:r>
      <w:r w:rsidR="00B64ED9">
        <w:rPr>
          <w:lang w:val="fr-CH"/>
        </w:rPr>
        <w:t>Surfaces d’assolement</w:t>
      </w:r>
      <w:r w:rsidR="3120AD34" w:rsidRPr="00F0226F">
        <w:rPr>
          <w:lang w:val="fr-CH"/>
        </w:rPr>
        <w:t xml:space="preserve">) </w:t>
      </w:r>
      <w:r w:rsidR="00B64ED9">
        <w:rPr>
          <w:lang w:val="fr-CH"/>
        </w:rPr>
        <w:t>complète également le plan sectoriel et décrit</w:t>
      </w:r>
      <w:r w:rsidR="00D657EC" w:rsidRPr="00F0226F">
        <w:rPr>
          <w:lang w:val="fr-CH"/>
        </w:rPr>
        <w:t xml:space="preserve"> </w:t>
      </w:r>
      <w:r w:rsidR="00B64ED9">
        <w:rPr>
          <w:lang w:val="fr-CH"/>
        </w:rPr>
        <w:t>la modélisation des géodonnées de base de</w:t>
      </w:r>
      <w:r w:rsidR="00BC7767">
        <w:rPr>
          <w:lang w:val="fr-CH"/>
        </w:rPr>
        <w:t xml:space="preserve">s inventaires cantonaux de </w:t>
      </w:r>
      <w:r w:rsidR="00B64ED9">
        <w:rPr>
          <w:lang w:val="fr-CH"/>
        </w:rPr>
        <w:t>SDA</w:t>
      </w:r>
      <w:r w:rsidR="3120AD34" w:rsidRPr="00F0226F">
        <w:rPr>
          <w:lang w:val="fr-CH"/>
        </w:rPr>
        <w:t>.</w:t>
      </w:r>
      <w:r w:rsidR="00DF4A0E" w:rsidRPr="00F0226F">
        <w:rPr>
          <w:lang w:val="fr-CH"/>
        </w:rPr>
        <w:br w:type="page"/>
      </w:r>
    </w:p>
    <w:p w14:paraId="49609CA6" w14:textId="6367E125" w:rsidR="00122CC4" w:rsidRPr="00F0226F" w:rsidRDefault="00B64ED9" w:rsidP="092AEEA6">
      <w:pPr>
        <w:rPr>
          <w:lang w:val="fr-CH"/>
        </w:rPr>
      </w:pPr>
      <w:bookmarkStart w:id="24" w:name="_Ref511200753"/>
      <w:r>
        <w:rPr>
          <w:lang w:val="fr-CH"/>
        </w:rPr>
        <w:lastRenderedPageBreak/>
        <w:t>Les chapitres</w:t>
      </w:r>
      <w:r w:rsidR="00122CC4" w:rsidRPr="00F0226F">
        <w:rPr>
          <w:lang w:val="fr-CH"/>
        </w:rPr>
        <w:t xml:space="preserve"> </w:t>
      </w:r>
      <w:r w:rsidR="00122CC4" w:rsidRPr="00F0226F">
        <w:rPr>
          <w:lang w:val="fr-CH"/>
        </w:rPr>
        <w:fldChar w:fldCharType="begin"/>
      </w:r>
      <w:r w:rsidR="00122CC4" w:rsidRPr="00F0226F">
        <w:rPr>
          <w:lang w:val="fr-CH"/>
        </w:rPr>
        <w:instrText xml:space="preserve"> REF _Ref526428492 \r \h </w:instrText>
      </w:r>
      <w:r w:rsidR="00122CC4" w:rsidRPr="00F0226F">
        <w:rPr>
          <w:lang w:val="fr-CH"/>
        </w:rPr>
      </w:r>
      <w:r w:rsidR="00122CC4" w:rsidRPr="00F0226F">
        <w:rPr>
          <w:lang w:val="fr-CH"/>
        </w:rPr>
        <w:fldChar w:fldCharType="separate"/>
      </w:r>
      <w:r w:rsidR="001971CC">
        <w:rPr>
          <w:lang w:val="fr-CH"/>
        </w:rPr>
        <w:t>3</w:t>
      </w:r>
      <w:r w:rsidR="00122CC4" w:rsidRPr="00F0226F">
        <w:rPr>
          <w:lang w:val="fr-CH"/>
        </w:rPr>
        <w:fldChar w:fldCharType="end"/>
      </w:r>
      <w:r w:rsidR="00122CC4" w:rsidRPr="00F0226F">
        <w:rPr>
          <w:lang w:val="fr-CH"/>
        </w:rPr>
        <w:t xml:space="preserve"> </w:t>
      </w:r>
      <w:r>
        <w:rPr>
          <w:lang w:val="fr-CH"/>
        </w:rPr>
        <w:t>et</w:t>
      </w:r>
      <w:r w:rsidR="00122CC4" w:rsidRPr="00F0226F">
        <w:rPr>
          <w:lang w:val="fr-CH"/>
        </w:rPr>
        <w:t xml:space="preserve"> </w:t>
      </w:r>
      <w:r w:rsidR="00122CC4" w:rsidRPr="00F0226F">
        <w:rPr>
          <w:lang w:val="fr-CH"/>
        </w:rPr>
        <w:fldChar w:fldCharType="begin"/>
      </w:r>
      <w:r w:rsidR="00122CC4" w:rsidRPr="00F0226F">
        <w:rPr>
          <w:lang w:val="fr-CH"/>
        </w:rPr>
        <w:instrText xml:space="preserve"> REF _Ref526428497 \r \h </w:instrText>
      </w:r>
      <w:r w:rsidR="00122CC4" w:rsidRPr="00F0226F">
        <w:rPr>
          <w:lang w:val="fr-CH"/>
        </w:rPr>
      </w:r>
      <w:r w:rsidR="00122CC4" w:rsidRPr="00F0226F">
        <w:rPr>
          <w:lang w:val="fr-CH"/>
        </w:rPr>
        <w:fldChar w:fldCharType="separate"/>
      </w:r>
      <w:r w:rsidR="001971CC">
        <w:rPr>
          <w:lang w:val="fr-CH"/>
        </w:rPr>
        <w:t>4</w:t>
      </w:r>
      <w:r w:rsidR="00122CC4" w:rsidRPr="00F0226F">
        <w:rPr>
          <w:lang w:val="fr-CH"/>
        </w:rPr>
        <w:fldChar w:fldCharType="end"/>
      </w:r>
      <w:r w:rsidR="00122CC4" w:rsidRPr="00F0226F">
        <w:rPr>
          <w:lang w:val="fr-CH"/>
        </w:rPr>
        <w:t xml:space="preserve"> </w:t>
      </w:r>
      <w:r w:rsidR="00555ACD">
        <w:rPr>
          <w:lang w:val="fr-CH"/>
        </w:rPr>
        <w:t>présentent</w:t>
      </w:r>
      <w:r>
        <w:rPr>
          <w:lang w:val="fr-CH"/>
        </w:rPr>
        <w:t xml:space="preserve"> les indications ayant explicitement force obligatoire pour les autorités</w:t>
      </w:r>
      <w:r w:rsidR="00555ACD">
        <w:rPr>
          <w:lang w:val="fr-CH"/>
        </w:rPr>
        <w:t xml:space="preserve"> (en grisé)</w:t>
      </w:r>
      <w:r w:rsidR="00122CC4" w:rsidRPr="00F0226F">
        <w:rPr>
          <w:lang w:val="fr-CH"/>
        </w:rPr>
        <w:t>.</w:t>
      </w:r>
    </w:p>
    <w:p w14:paraId="1A6662B3" w14:textId="2791C4EA" w:rsidR="00122CC4" w:rsidRDefault="0030204F" w:rsidP="29D59492">
      <w:pPr>
        <w:rPr>
          <w:lang w:val="fr-CH"/>
        </w:rPr>
      </w:pPr>
      <w:r>
        <w:rPr>
          <w:lang w:val="fr-CH"/>
        </w:rPr>
        <w:t>La formulation choisie est délibérément succincte</w:t>
      </w:r>
      <w:r w:rsidR="00122CC4" w:rsidRPr="00F0226F">
        <w:rPr>
          <w:lang w:val="fr-CH"/>
        </w:rPr>
        <w:t xml:space="preserve">. </w:t>
      </w:r>
      <w:r>
        <w:rPr>
          <w:lang w:val="fr-CH"/>
        </w:rPr>
        <w:t xml:space="preserve">Le rapport explicatif approfondit les </w:t>
      </w:r>
      <w:r w:rsidR="00CE4E2B">
        <w:rPr>
          <w:lang w:val="fr-CH"/>
        </w:rPr>
        <w:t xml:space="preserve">énoncés </w:t>
      </w:r>
      <w:r>
        <w:rPr>
          <w:lang w:val="fr-CH"/>
        </w:rPr>
        <w:t xml:space="preserve">du plan sectoriel et précise le cas échéant les procédures et processus proposés ou </w:t>
      </w:r>
      <w:r w:rsidR="00555ACD">
        <w:rPr>
          <w:lang w:val="fr-CH"/>
        </w:rPr>
        <w:t xml:space="preserve">fournit </w:t>
      </w:r>
      <w:r>
        <w:rPr>
          <w:lang w:val="fr-CH"/>
        </w:rPr>
        <w:t>d’autres justifications</w:t>
      </w:r>
      <w:r w:rsidR="00122CC4" w:rsidRPr="00F0226F">
        <w:rPr>
          <w:lang w:val="fr-CH"/>
        </w:rPr>
        <w:t xml:space="preserve">. </w:t>
      </w:r>
    </w:p>
    <w:p w14:paraId="41271F70" w14:textId="5DFD6A42" w:rsidR="00555ACD" w:rsidRPr="00F0226F" w:rsidRDefault="00555ACD" w:rsidP="29D59492">
      <w:pPr>
        <w:rPr>
          <w:lang w:val="fr-CH"/>
        </w:rPr>
      </w:pPr>
      <w:r>
        <w:rPr>
          <w:lang w:val="fr-CH"/>
        </w:rPr>
        <w:t xml:space="preserve">Les notions utilisées </w:t>
      </w:r>
      <w:r w:rsidR="00CE4E2B">
        <w:rPr>
          <w:lang w:val="fr-CH"/>
        </w:rPr>
        <w:t>en relations avec les</w:t>
      </w:r>
      <w:r>
        <w:rPr>
          <w:lang w:val="fr-CH"/>
        </w:rPr>
        <w:t xml:space="preserve"> SDA, par exemple « inventaire », « contingent » sont expliquées au chapitre 6.1.1. Elles sont </w:t>
      </w:r>
      <w:r w:rsidR="00CE4E2B">
        <w:rPr>
          <w:lang w:val="fr-CH"/>
        </w:rPr>
        <w:t>essentielles à</w:t>
      </w:r>
      <w:r>
        <w:rPr>
          <w:lang w:val="fr-CH"/>
        </w:rPr>
        <w:t xml:space="preserve"> la compréhension des explications qui suivent.</w:t>
      </w:r>
    </w:p>
    <w:p w14:paraId="44D9F0A3" w14:textId="3C915695" w:rsidR="007B6805" w:rsidRPr="00F0226F" w:rsidRDefault="000C3A00" w:rsidP="000001B4">
      <w:pPr>
        <w:pStyle w:val="berschrift1"/>
        <w:rPr>
          <w:lang w:val="fr-CH"/>
        </w:rPr>
      </w:pPr>
      <w:bookmarkStart w:id="25" w:name="_Ref526428492"/>
      <w:bookmarkStart w:id="26" w:name="_Toc526428723"/>
      <w:bookmarkStart w:id="27" w:name="_Toc532996373"/>
      <w:bookmarkEnd w:id="24"/>
      <w:r>
        <w:rPr>
          <w:lang w:val="fr-CH"/>
        </w:rPr>
        <w:t>But et indicatio</w:t>
      </w:r>
      <w:r w:rsidR="009407AD" w:rsidRPr="00F0226F">
        <w:rPr>
          <w:lang w:val="fr-CH"/>
        </w:rPr>
        <w:t>n</w:t>
      </w:r>
      <w:bookmarkEnd w:id="25"/>
      <w:bookmarkEnd w:id="26"/>
      <w:r>
        <w:rPr>
          <w:lang w:val="fr-CH"/>
        </w:rPr>
        <w:t>s contraignantes</w:t>
      </w:r>
      <w:bookmarkEnd w:id="27"/>
    </w:p>
    <w:p w14:paraId="06295195" w14:textId="7921C585" w:rsidR="00E821AA" w:rsidRPr="00E821AA" w:rsidRDefault="000C3A00" w:rsidP="00E821AA">
      <w:pPr>
        <w:pStyle w:val="berschrift2"/>
        <w:tabs>
          <w:tab w:val="clear" w:pos="1135"/>
        </w:tabs>
        <w:jc w:val="both"/>
        <w:rPr>
          <w:lang w:val="fr-CH"/>
        </w:rPr>
      </w:pPr>
      <w:bookmarkStart w:id="28" w:name="_Toc383511844"/>
      <w:bookmarkStart w:id="29" w:name="_Toc526428724"/>
      <w:bookmarkStart w:id="30" w:name="_Toc532996374"/>
      <w:bookmarkStart w:id="31" w:name="_Toc359397559"/>
      <w:r>
        <w:rPr>
          <w:lang w:val="fr-CH"/>
        </w:rPr>
        <w:t>Bu</w:t>
      </w:r>
      <w:bookmarkEnd w:id="28"/>
      <w:bookmarkEnd w:id="29"/>
      <w:r>
        <w:rPr>
          <w:lang w:val="fr-CH"/>
        </w:rPr>
        <w:t>t</w:t>
      </w:r>
      <w:bookmarkEnd w:id="30"/>
    </w:p>
    <w:tbl>
      <w:tblPr>
        <w:tblStyle w:val="Tabellenraster"/>
        <w:tblW w:w="9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9066"/>
      </w:tblGrid>
      <w:tr w:rsidR="00237714" w:rsidRPr="00F0226F" w14:paraId="4DB5961C" w14:textId="77777777" w:rsidTr="000E0979">
        <w:trPr>
          <w:trHeight w:val="567"/>
        </w:trPr>
        <w:tc>
          <w:tcPr>
            <w:tcW w:w="9066" w:type="dxa"/>
            <w:tcBorders>
              <w:bottom w:val="single" w:sz="4" w:space="0" w:color="auto"/>
            </w:tcBorders>
            <w:shd w:val="clear" w:color="auto" w:fill="767171"/>
          </w:tcPr>
          <w:p w14:paraId="46E15639" w14:textId="589D28C2" w:rsidR="00237714" w:rsidRPr="00F0226F" w:rsidRDefault="000C3A00" w:rsidP="325E5E49">
            <w:pPr>
              <w:spacing w:before="120"/>
              <w:rPr>
                <w:b/>
                <w:bCs/>
                <w:sz w:val="24"/>
                <w:szCs w:val="24"/>
                <w:lang w:val="fr-CH"/>
              </w:rPr>
            </w:pPr>
            <w:r>
              <w:rPr>
                <w:b/>
                <w:bCs/>
                <w:sz w:val="24"/>
                <w:szCs w:val="24"/>
                <w:lang w:val="fr-CH"/>
              </w:rPr>
              <w:t>BUT</w:t>
            </w:r>
          </w:p>
        </w:tc>
      </w:tr>
      <w:tr w:rsidR="00162A09" w:rsidRPr="008454A6" w14:paraId="6A626C24" w14:textId="77777777" w:rsidTr="000E0979">
        <w:trPr>
          <w:trHeight w:val="1692"/>
        </w:trPr>
        <w:tc>
          <w:tcPr>
            <w:tcW w:w="9066" w:type="dxa"/>
            <w:tcBorders>
              <w:top w:val="single" w:sz="4" w:space="0" w:color="auto"/>
            </w:tcBorders>
            <w:shd w:val="clear" w:color="auto" w:fill="D9D9D9" w:themeFill="background1" w:themeFillShade="D9"/>
          </w:tcPr>
          <w:p w14:paraId="602A64FB" w14:textId="5E8A34FC" w:rsidR="00162A09" w:rsidRPr="00F0226F" w:rsidRDefault="00DF7A47" w:rsidP="000048F0">
            <w:pPr>
              <w:shd w:val="clear" w:color="auto" w:fill="D9D9D9" w:themeFill="background1" w:themeFillShade="D9"/>
              <w:spacing w:before="120"/>
              <w:rPr>
                <w:lang w:val="fr-CH"/>
              </w:rPr>
            </w:pPr>
            <w:r>
              <w:rPr>
                <w:b/>
                <w:bCs/>
                <w:lang w:val="fr-CH"/>
              </w:rPr>
              <w:t>Le P</w:t>
            </w:r>
            <w:r w:rsidR="000C3A00">
              <w:rPr>
                <w:b/>
                <w:bCs/>
                <w:lang w:val="fr-CH"/>
              </w:rPr>
              <w:t>lan sectoriel SDA</w:t>
            </w:r>
            <w:r w:rsidR="00162A09" w:rsidRPr="00F0226F">
              <w:rPr>
                <w:b/>
                <w:bCs/>
                <w:lang w:val="fr-CH"/>
              </w:rPr>
              <w:t xml:space="preserve"> </w:t>
            </w:r>
            <w:r w:rsidR="000C3A00">
              <w:rPr>
                <w:b/>
                <w:bCs/>
                <w:lang w:val="fr-CH"/>
              </w:rPr>
              <w:t>garantit</w:t>
            </w:r>
            <w:r w:rsidR="00AB6A36">
              <w:rPr>
                <w:b/>
                <w:bCs/>
                <w:lang w:val="fr-CH"/>
              </w:rPr>
              <w:t xml:space="preserve"> à long terme</w:t>
            </w:r>
            <w:r w:rsidR="000C3A00">
              <w:rPr>
                <w:b/>
                <w:bCs/>
                <w:lang w:val="fr-CH"/>
              </w:rPr>
              <w:t xml:space="preserve"> la protection </w:t>
            </w:r>
            <w:r w:rsidR="009D2BAC">
              <w:rPr>
                <w:b/>
                <w:bCs/>
                <w:lang w:val="fr-CH"/>
              </w:rPr>
              <w:t xml:space="preserve">qualitative et quantitative </w:t>
            </w:r>
            <w:r w:rsidR="000C3A00">
              <w:rPr>
                <w:b/>
                <w:bCs/>
                <w:lang w:val="fr-CH"/>
              </w:rPr>
              <w:t>des meilleur</w:t>
            </w:r>
            <w:r w:rsidR="00A2684B">
              <w:rPr>
                <w:b/>
                <w:bCs/>
                <w:lang w:val="fr-CH"/>
              </w:rPr>
              <w:t>e</w:t>
            </w:r>
            <w:r w:rsidR="000C3A00">
              <w:rPr>
                <w:b/>
                <w:bCs/>
                <w:lang w:val="fr-CH"/>
              </w:rPr>
              <w:t>s terres agricoles de Suisse</w:t>
            </w:r>
            <w:r w:rsidR="00162A09" w:rsidRPr="00F0226F">
              <w:rPr>
                <w:b/>
                <w:bCs/>
                <w:lang w:val="fr-CH"/>
              </w:rPr>
              <w:t>.</w:t>
            </w:r>
          </w:p>
          <w:p w14:paraId="32A12057" w14:textId="5258E57E" w:rsidR="00162A09" w:rsidRPr="00F0226F" w:rsidRDefault="009D2BAC" w:rsidP="00A6154F">
            <w:pPr>
              <w:rPr>
                <w:lang w:val="fr-CH"/>
              </w:rPr>
            </w:pPr>
            <w:r>
              <w:rPr>
                <w:lang w:val="fr-CH"/>
              </w:rPr>
              <w:t xml:space="preserve">Les SDA </w:t>
            </w:r>
            <w:r w:rsidR="00A7258D">
              <w:rPr>
                <w:lang w:val="fr-CH"/>
              </w:rPr>
              <w:t>constituent les terres agricoles les plus productives, respectivement les meilleures terres arables</w:t>
            </w:r>
            <w:r w:rsidR="00715940">
              <w:rPr>
                <w:lang w:val="fr-CH"/>
              </w:rPr>
              <w:t xml:space="preserve"> de Suisse</w:t>
            </w:r>
            <w:r w:rsidR="00A7258D">
              <w:rPr>
                <w:lang w:val="fr-CH"/>
              </w:rPr>
              <w:t>. Elles comprennent avant tout les terres ouvertes, les prairies artificielles intercalaires et les prairies naturelles arables</w:t>
            </w:r>
            <w:r w:rsidR="00162A09" w:rsidRPr="00F0226F">
              <w:rPr>
                <w:lang w:val="fr-CH"/>
              </w:rPr>
              <w:t>.</w:t>
            </w:r>
          </w:p>
        </w:tc>
      </w:tr>
    </w:tbl>
    <w:p w14:paraId="08830277" w14:textId="77777777" w:rsidR="00237714" w:rsidRPr="00F0226F" w:rsidRDefault="00237714" w:rsidP="00810877">
      <w:pPr>
        <w:rPr>
          <w:lang w:val="fr-CH"/>
        </w:rPr>
      </w:pPr>
    </w:p>
    <w:p w14:paraId="5150B373" w14:textId="25D46821" w:rsidR="00E15452" w:rsidRPr="00F0226F" w:rsidRDefault="000C3A00" w:rsidP="00162A09">
      <w:pPr>
        <w:pStyle w:val="berschrift2"/>
        <w:rPr>
          <w:lang w:val="fr-CH"/>
        </w:rPr>
      </w:pPr>
      <w:bookmarkStart w:id="32" w:name="_Toc526428725"/>
      <w:bookmarkStart w:id="33" w:name="_Toc532996375"/>
      <w:r>
        <w:rPr>
          <w:lang w:val="fr-CH"/>
        </w:rPr>
        <w:t>Indications co</w:t>
      </w:r>
      <w:r w:rsidR="00162A09" w:rsidRPr="00F0226F">
        <w:rPr>
          <w:lang w:val="fr-CH"/>
        </w:rPr>
        <w:t>n</w:t>
      </w:r>
      <w:bookmarkEnd w:id="32"/>
      <w:r>
        <w:rPr>
          <w:lang w:val="fr-CH"/>
        </w:rPr>
        <w:t>traignantes</w:t>
      </w:r>
      <w:bookmarkEnd w:id="33"/>
    </w:p>
    <w:tbl>
      <w:tblPr>
        <w:tblStyle w:val="Tabellenraster"/>
        <w:tblW w:w="9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572"/>
        <w:gridCol w:w="8494"/>
      </w:tblGrid>
      <w:tr w:rsidR="00162A09" w:rsidRPr="00F0226F" w14:paraId="355077C8" w14:textId="77777777" w:rsidTr="007F751C">
        <w:trPr>
          <w:trHeight w:val="567"/>
        </w:trPr>
        <w:tc>
          <w:tcPr>
            <w:tcW w:w="9066" w:type="dxa"/>
            <w:gridSpan w:val="2"/>
            <w:tcBorders>
              <w:bottom w:val="single" w:sz="4" w:space="0" w:color="auto"/>
            </w:tcBorders>
            <w:shd w:val="clear" w:color="auto" w:fill="767171"/>
          </w:tcPr>
          <w:p w14:paraId="312D638A" w14:textId="7CF98832" w:rsidR="00162A09" w:rsidRPr="00F0226F" w:rsidRDefault="000C3A00">
            <w:pPr>
              <w:spacing w:before="120"/>
              <w:rPr>
                <w:b/>
                <w:bCs/>
                <w:sz w:val="24"/>
                <w:szCs w:val="24"/>
                <w:lang w:val="fr-CH"/>
              </w:rPr>
            </w:pPr>
            <w:r>
              <w:rPr>
                <w:b/>
                <w:bCs/>
                <w:sz w:val="24"/>
                <w:szCs w:val="24"/>
                <w:lang w:val="fr-CH"/>
              </w:rPr>
              <w:t>I</w:t>
            </w:r>
            <w:r w:rsidR="00162A09" w:rsidRPr="00F0226F">
              <w:rPr>
                <w:b/>
                <w:bCs/>
                <w:sz w:val="24"/>
                <w:szCs w:val="24"/>
                <w:lang w:val="fr-CH"/>
              </w:rPr>
              <w:t>N</w:t>
            </w:r>
            <w:r>
              <w:rPr>
                <w:b/>
                <w:bCs/>
                <w:sz w:val="24"/>
                <w:szCs w:val="24"/>
                <w:lang w:val="fr-CH"/>
              </w:rPr>
              <w:t>DICATIONS CONTRAIGNANTES</w:t>
            </w:r>
          </w:p>
        </w:tc>
      </w:tr>
      <w:tr w:rsidR="00162A09" w:rsidRPr="008454A6" w14:paraId="6B15216A" w14:textId="77777777" w:rsidTr="009C0257">
        <w:tc>
          <w:tcPr>
            <w:tcW w:w="572" w:type="dxa"/>
            <w:shd w:val="clear" w:color="auto" w:fill="D9D9D9" w:themeFill="background1" w:themeFillShade="D9"/>
          </w:tcPr>
          <w:p w14:paraId="7AA88F1A" w14:textId="0C1421F8" w:rsidR="00162A09" w:rsidRPr="009C0257" w:rsidRDefault="00162A09" w:rsidP="009C0257">
            <w:pPr>
              <w:pStyle w:val="Listenabsatz"/>
              <w:numPr>
                <w:ilvl w:val="0"/>
                <w:numId w:val="35"/>
              </w:numPr>
              <w:spacing w:before="120"/>
              <w:rPr>
                <w:b/>
                <w:lang w:val="fr-CH"/>
              </w:rPr>
            </w:pPr>
            <w:bookmarkStart w:id="34" w:name="_Ref532981101"/>
          </w:p>
        </w:tc>
        <w:bookmarkEnd w:id="34"/>
        <w:tc>
          <w:tcPr>
            <w:tcW w:w="8494" w:type="dxa"/>
            <w:shd w:val="clear" w:color="auto" w:fill="D9D9D9" w:themeFill="background1" w:themeFillShade="D9"/>
          </w:tcPr>
          <w:p w14:paraId="2F86DC9F" w14:textId="5C6438E1" w:rsidR="00162A09" w:rsidRPr="00F0226F" w:rsidRDefault="00715940" w:rsidP="00162A09">
            <w:pPr>
              <w:spacing w:before="120"/>
              <w:rPr>
                <w:b/>
                <w:bCs/>
                <w:lang w:val="fr-CH"/>
              </w:rPr>
            </w:pPr>
            <w:r>
              <w:rPr>
                <w:b/>
                <w:bCs/>
                <w:lang w:val="fr-CH"/>
              </w:rPr>
              <w:t xml:space="preserve">La surface totale minimale </w:t>
            </w:r>
            <w:r w:rsidR="00B642D7">
              <w:rPr>
                <w:b/>
                <w:bCs/>
                <w:lang w:val="fr-CH"/>
              </w:rPr>
              <w:t>d’assolement</w:t>
            </w:r>
            <w:r>
              <w:rPr>
                <w:b/>
                <w:bCs/>
                <w:lang w:val="fr-CH"/>
              </w:rPr>
              <w:t xml:space="preserve"> à garantir en Suisse est de</w:t>
            </w:r>
            <w:r w:rsidR="00162A09" w:rsidRPr="00F0226F">
              <w:rPr>
                <w:b/>
                <w:bCs/>
                <w:lang w:val="fr-CH"/>
              </w:rPr>
              <w:t xml:space="preserve"> 438</w:t>
            </w:r>
            <w:r w:rsidR="00482439">
              <w:rPr>
                <w:b/>
                <w:bCs/>
                <w:lang w:val="fr-CH"/>
              </w:rPr>
              <w:t>’</w:t>
            </w:r>
            <w:r w:rsidR="00162A09" w:rsidRPr="00F0226F">
              <w:rPr>
                <w:b/>
                <w:bCs/>
                <w:lang w:val="fr-CH"/>
              </w:rPr>
              <w:t>460 ha.</w:t>
            </w:r>
            <w:r w:rsidR="00162A09" w:rsidRPr="00F0226F">
              <w:rPr>
                <w:lang w:val="fr-CH"/>
              </w:rPr>
              <w:t xml:space="preserve"> </w:t>
            </w:r>
          </w:p>
          <w:p w14:paraId="63CA831F" w14:textId="3EBCD905" w:rsidR="00162A09" w:rsidRPr="00F0226F" w:rsidRDefault="00ED0AFC">
            <w:pPr>
              <w:spacing w:before="120"/>
              <w:rPr>
                <w:lang w:val="fr-CH"/>
              </w:rPr>
            </w:pPr>
            <w:r>
              <w:rPr>
                <w:lang w:val="fr-CH"/>
              </w:rPr>
              <w:t>Selon l’art.29 OAT,</w:t>
            </w:r>
            <w:r w:rsidR="00715940">
              <w:rPr>
                <w:lang w:val="fr-CH"/>
              </w:rPr>
              <w:t xml:space="preserve"> la surface totale minimale d’assolement</w:t>
            </w:r>
            <w:r w:rsidR="00482439">
              <w:rPr>
                <w:lang w:val="fr-CH"/>
              </w:rPr>
              <w:t xml:space="preserve"> est fixée par la Confédération</w:t>
            </w:r>
            <w:r w:rsidR="000A0086" w:rsidRPr="00F0226F">
              <w:rPr>
                <w:lang w:val="fr-CH"/>
              </w:rPr>
              <w:t>.</w:t>
            </w:r>
            <w:r w:rsidR="00162A09" w:rsidRPr="00F0226F">
              <w:rPr>
                <w:lang w:val="fr-CH"/>
              </w:rPr>
              <w:t xml:space="preserve"> </w:t>
            </w:r>
            <w:r w:rsidR="005265BD">
              <w:rPr>
                <w:lang w:val="fr-CH"/>
              </w:rPr>
              <w:t>L</w:t>
            </w:r>
            <w:r w:rsidR="00715940">
              <w:rPr>
                <w:lang w:val="fr-CH"/>
              </w:rPr>
              <w:t xml:space="preserve">es analyses </w:t>
            </w:r>
            <w:r>
              <w:rPr>
                <w:lang w:val="fr-CH"/>
              </w:rPr>
              <w:t xml:space="preserve">en matière d’approvisionnement économique du pays </w:t>
            </w:r>
            <w:r w:rsidR="00482439">
              <w:rPr>
                <w:lang w:val="fr-CH"/>
              </w:rPr>
              <w:t xml:space="preserve">fournissent </w:t>
            </w:r>
            <w:r w:rsidR="00B94E8B">
              <w:rPr>
                <w:lang w:val="fr-CH"/>
              </w:rPr>
              <w:t>la valeur de référence</w:t>
            </w:r>
            <w:r w:rsidR="00482439">
              <w:rPr>
                <w:lang w:val="fr-CH"/>
              </w:rPr>
              <w:t xml:space="preserve"> pour déterminer</w:t>
            </w:r>
            <w:r>
              <w:rPr>
                <w:lang w:val="fr-CH"/>
              </w:rPr>
              <w:t xml:space="preserve"> la surface minimale </w:t>
            </w:r>
            <w:r w:rsidR="00482439">
              <w:rPr>
                <w:lang w:val="fr-CH"/>
              </w:rPr>
              <w:t>d’assolement</w:t>
            </w:r>
            <w:r w:rsidR="001073CC">
              <w:rPr>
                <w:lang w:val="fr-CH"/>
              </w:rPr>
              <w:t xml:space="preserve"> au sens de l’article 27 OAT</w:t>
            </w:r>
            <w:r w:rsidR="00162A09" w:rsidRPr="00F0226F">
              <w:rPr>
                <w:lang w:val="fr-CH"/>
              </w:rPr>
              <w:t>.</w:t>
            </w:r>
          </w:p>
        </w:tc>
      </w:tr>
      <w:tr w:rsidR="00162A09" w:rsidRPr="008454A6" w14:paraId="0570584B" w14:textId="77777777" w:rsidTr="009C0257">
        <w:tc>
          <w:tcPr>
            <w:tcW w:w="572" w:type="dxa"/>
            <w:shd w:val="clear" w:color="auto" w:fill="D9D9D9" w:themeFill="background1" w:themeFillShade="D9"/>
          </w:tcPr>
          <w:p w14:paraId="05A28EDB" w14:textId="61D41E56" w:rsidR="00162A09" w:rsidRPr="009C0257" w:rsidRDefault="00162A09" w:rsidP="009C0257">
            <w:pPr>
              <w:pStyle w:val="Listenabsatz"/>
              <w:numPr>
                <w:ilvl w:val="0"/>
                <w:numId w:val="35"/>
              </w:numPr>
              <w:rPr>
                <w:b/>
                <w:lang w:val="fr-CH"/>
              </w:rPr>
            </w:pPr>
            <w:bookmarkStart w:id="35" w:name="_Ref532981070"/>
          </w:p>
        </w:tc>
        <w:bookmarkEnd w:id="35"/>
        <w:tc>
          <w:tcPr>
            <w:tcW w:w="8494" w:type="dxa"/>
            <w:shd w:val="clear" w:color="auto" w:fill="D9D9D9" w:themeFill="background1" w:themeFillShade="D9"/>
          </w:tcPr>
          <w:p w14:paraId="505C8F8E" w14:textId="3463ADF2" w:rsidR="006B475F" w:rsidRPr="00F0226F" w:rsidRDefault="00ED0AFC" w:rsidP="006B475F">
            <w:pPr>
              <w:spacing w:after="240"/>
              <w:rPr>
                <w:b/>
                <w:bCs/>
                <w:lang w:val="fr-CH"/>
              </w:rPr>
            </w:pPr>
            <w:r>
              <w:rPr>
                <w:b/>
                <w:bCs/>
                <w:lang w:val="fr-CH"/>
              </w:rPr>
              <w:t>Les surfaces cantonales d’assolement ou contingents</w:t>
            </w:r>
            <w:r w:rsidR="006E66D4" w:rsidRPr="00F0226F">
              <w:rPr>
                <w:b/>
                <w:bCs/>
                <w:lang w:val="fr-CH"/>
              </w:rPr>
              <w:t xml:space="preserve"> </w:t>
            </w:r>
            <w:r w:rsidR="001073CC">
              <w:rPr>
                <w:b/>
                <w:bCs/>
                <w:lang w:val="fr-CH"/>
              </w:rPr>
              <w:t xml:space="preserve">de SDA </w:t>
            </w:r>
            <w:r w:rsidR="006E66D4" w:rsidRPr="00F0226F">
              <w:rPr>
                <w:b/>
                <w:bCs/>
                <w:lang w:val="fr-CH"/>
              </w:rPr>
              <w:t>(</w:t>
            </w:r>
            <w:r>
              <w:rPr>
                <w:b/>
                <w:bCs/>
                <w:lang w:val="fr-CH"/>
              </w:rPr>
              <w:t>valeurs nettes</w:t>
            </w:r>
            <w:r w:rsidR="006E66D4" w:rsidRPr="00F0226F">
              <w:rPr>
                <w:b/>
                <w:bCs/>
                <w:lang w:val="fr-CH"/>
              </w:rPr>
              <w:t xml:space="preserve">) </w:t>
            </w:r>
            <w:r w:rsidR="00482439">
              <w:rPr>
                <w:b/>
                <w:bCs/>
                <w:lang w:val="fr-CH"/>
              </w:rPr>
              <w:t>pour</w:t>
            </w:r>
            <w:r>
              <w:rPr>
                <w:b/>
                <w:bCs/>
                <w:lang w:val="fr-CH"/>
              </w:rPr>
              <w:t xml:space="preserve"> garantir la surface totale minimale </w:t>
            </w:r>
            <w:r w:rsidR="00482439">
              <w:rPr>
                <w:b/>
                <w:bCs/>
                <w:lang w:val="fr-CH"/>
              </w:rPr>
              <w:t xml:space="preserve">en </w:t>
            </w:r>
            <w:r>
              <w:rPr>
                <w:b/>
                <w:bCs/>
                <w:lang w:val="fr-CH"/>
              </w:rPr>
              <w:t>Suisse</w:t>
            </w:r>
            <w:r w:rsidR="00162A09" w:rsidRPr="00F0226F">
              <w:rPr>
                <w:b/>
                <w:bCs/>
                <w:lang w:val="fr-CH"/>
              </w:rPr>
              <w:t xml:space="preserve"> </w:t>
            </w:r>
            <w:r>
              <w:rPr>
                <w:b/>
                <w:bCs/>
                <w:lang w:val="fr-CH"/>
              </w:rPr>
              <w:t xml:space="preserve">atteignent au minimum </w:t>
            </w:r>
            <w:r w:rsidR="006E66D4" w:rsidRPr="00F0226F">
              <w:rPr>
                <w:b/>
                <w:bCs/>
                <w:lang w:val="fr-CH"/>
              </w:rPr>
              <w:t>:</w:t>
            </w:r>
          </w:p>
          <w:tbl>
            <w:tblPr>
              <w:tblStyle w:val="Tabellenraster"/>
              <w:tblpPr w:leftFromText="141" w:rightFromText="141" w:vertAnchor="text" w:horzAnchor="margin" w:tblpY="-57"/>
              <w:tblOverlap w:val="never"/>
              <w:tblW w:w="8084" w:type="dxa"/>
              <w:tblLayout w:type="fixed"/>
              <w:tblLook w:val="04A0" w:firstRow="1" w:lastRow="0" w:firstColumn="1" w:lastColumn="0" w:noHBand="0" w:noVBand="1"/>
            </w:tblPr>
            <w:tblGrid>
              <w:gridCol w:w="1129"/>
              <w:gridCol w:w="1134"/>
              <w:gridCol w:w="284"/>
              <w:gridCol w:w="1559"/>
              <w:gridCol w:w="1134"/>
              <w:gridCol w:w="284"/>
              <w:gridCol w:w="1417"/>
              <w:gridCol w:w="1143"/>
            </w:tblGrid>
            <w:tr w:rsidR="000048F0" w:rsidRPr="008454A6" w14:paraId="1239FD6A" w14:textId="77777777" w:rsidTr="007F751C">
              <w:tc>
                <w:tcPr>
                  <w:tcW w:w="1129" w:type="dxa"/>
                  <w:tcBorders>
                    <w:top w:val="single" w:sz="4" w:space="0" w:color="auto"/>
                    <w:left w:val="single" w:sz="4" w:space="0" w:color="auto"/>
                    <w:bottom w:val="single" w:sz="4" w:space="0" w:color="auto"/>
                    <w:right w:val="single" w:sz="4" w:space="0" w:color="auto"/>
                  </w:tcBorders>
                  <w:hideMark/>
                </w:tcPr>
                <w:p w14:paraId="7AF46C56" w14:textId="1C3876FD" w:rsidR="000048F0" w:rsidRPr="00F0226F" w:rsidRDefault="00ED0AFC" w:rsidP="000048F0">
                  <w:pPr>
                    <w:spacing w:before="40" w:after="40" w:line="240" w:lineRule="auto"/>
                    <w:rPr>
                      <w:b/>
                      <w:bCs/>
                      <w:lang w:val="fr-CH" w:eastAsia="en-US"/>
                    </w:rPr>
                  </w:pPr>
                  <w:r>
                    <w:rPr>
                      <w:b/>
                      <w:bCs/>
                      <w:lang w:val="fr-CH" w:eastAsia="en-US"/>
                    </w:rPr>
                    <w:t>C</w:t>
                  </w:r>
                  <w:r w:rsidR="000048F0" w:rsidRPr="00F0226F">
                    <w:rPr>
                      <w:b/>
                      <w:bCs/>
                      <w:lang w:val="fr-CH" w:eastAsia="en-US"/>
                    </w:rPr>
                    <w:t>anton</w:t>
                  </w:r>
                </w:p>
              </w:tc>
              <w:tc>
                <w:tcPr>
                  <w:tcW w:w="1134" w:type="dxa"/>
                  <w:tcBorders>
                    <w:top w:val="single" w:sz="4" w:space="0" w:color="auto"/>
                    <w:left w:val="single" w:sz="4" w:space="0" w:color="auto"/>
                    <w:bottom w:val="single" w:sz="4" w:space="0" w:color="auto"/>
                    <w:right w:val="single" w:sz="4" w:space="0" w:color="auto"/>
                  </w:tcBorders>
                  <w:hideMark/>
                </w:tcPr>
                <w:p w14:paraId="0DED2764" w14:textId="452E58A8" w:rsidR="000048F0" w:rsidRPr="00F0226F" w:rsidRDefault="00ED0AFC" w:rsidP="000048F0">
                  <w:pPr>
                    <w:spacing w:before="40" w:after="40" w:line="240" w:lineRule="auto"/>
                    <w:rPr>
                      <w:b/>
                      <w:bCs/>
                      <w:lang w:val="fr-CH" w:eastAsia="en-US"/>
                    </w:rPr>
                  </w:pPr>
                  <w:r>
                    <w:rPr>
                      <w:b/>
                      <w:bCs/>
                      <w:lang w:val="fr-CH" w:eastAsia="en-US"/>
                    </w:rPr>
                    <w:t>Surface en</w:t>
                  </w:r>
                  <w:r w:rsidR="000048F0" w:rsidRPr="00F0226F">
                    <w:rPr>
                      <w:b/>
                      <w:bCs/>
                      <w:lang w:val="fr-CH" w:eastAsia="en-US"/>
                    </w:rPr>
                    <w:t xml:space="preserve"> ha</w:t>
                  </w:r>
                </w:p>
              </w:tc>
              <w:tc>
                <w:tcPr>
                  <w:tcW w:w="284" w:type="dxa"/>
                  <w:tcBorders>
                    <w:top w:val="nil"/>
                    <w:left w:val="single" w:sz="4" w:space="0" w:color="auto"/>
                    <w:bottom w:val="nil"/>
                    <w:right w:val="single" w:sz="4" w:space="0" w:color="auto"/>
                  </w:tcBorders>
                </w:tcPr>
                <w:p w14:paraId="5E0CDC73" w14:textId="77777777" w:rsidR="000048F0" w:rsidRPr="00F0226F" w:rsidRDefault="000048F0" w:rsidP="000048F0">
                  <w:pPr>
                    <w:spacing w:before="40" w:after="40" w:line="240" w:lineRule="auto"/>
                    <w:rPr>
                      <w:b/>
                      <w:bCs/>
                      <w:lang w:val="fr-CH"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E721FAA" w14:textId="4EC47118" w:rsidR="000048F0" w:rsidRPr="00F0226F" w:rsidRDefault="00ED0AFC" w:rsidP="000048F0">
                  <w:pPr>
                    <w:spacing w:before="40" w:after="40" w:line="240" w:lineRule="auto"/>
                    <w:rPr>
                      <w:b/>
                      <w:bCs/>
                      <w:lang w:val="fr-CH" w:eastAsia="en-US"/>
                    </w:rPr>
                  </w:pPr>
                  <w:r>
                    <w:rPr>
                      <w:b/>
                      <w:bCs/>
                      <w:lang w:val="fr-CH" w:eastAsia="en-US"/>
                    </w:rPr>
                    <w:t>C</w:t>
                  </w:r>
                  <w:r w:rsidR="000048F0" w:rsidRPr="00F0226F">
                    <w:rPr>
                      <w:b/>
                      <w:bCs/>
                      <w:lang w:val="fr-CH" w:eastAsia="en-US"/>
                    </w:rPr>
                    <w:t>anton</w:t>
                  </w:r>
                </w:p>
              </w:tc>
              <w:tc>
                <w:tcPr>
                  <w:tcW w:w="1134" w:type="dxa"/>
                  <w:tcBorders>
                    <w:top w:val="single" w:sz="4" w:space="0" w:color="auto"/>
                    <w:left w:val="single" w:sz="4" w:space="0" w:color="auto"/>
                    <w:bottom w:val="single" w:sz="4" w:space="0" w:color="auto"/>
                    <w:right w:val="single" w:sz="4" w:space="0" w:color="auto"/>
                  </w:tcBorders>
                  <w:hideMark/>
                </w:tcPr>
                <w:p w14:paraId="6B358835" w14:textId="19D658D8" w:rsidR="000048F0" w:rsidRPr="00F0226F" w:rsidRDefault="00ED0AFC" w:rsidP="000048F0">
                  <w:pPr>
                    <w:spacing w:before="40" w:after="40" w:line="240" w:lineRule="auto"/>
                    <w:rPr>
                      <w:b/>
                      <w:bCs/>
                      <w:lang w:val="fr-CH" w:eastAsia="en-US"/>
                    </w:rPr>
                  </w:pPr>
                  <w:r>
                    <w:rPr>
                      <w:b/>
                      <w:bCs/>
                      <w:lang w:val="fr-CH" w:eastAsia="en-US"/>
                    </w:rPr>
                    <w:t>Surface en</w:t>
                  </w:r>
                  <w:r w:rsidR="000048F0" w:rsidRPr="00F0226F">
                    <w:rPr>
                      <w:b/>
                      <w:bCs/>
                      <w:lang w:val="fr-CH" w:eastAsia="en-US"/>
                    </w:rPr>
                    <w:t xml:space="preserve"> ha</w:t>
                  </w:r>
                </w:p>
              </w:tc>
              <w:tc>
                <w:tcPr>
                  <w:tcW w:w="284" w:type="dxa"/>
                  <w:tcBorders>
                    <w:top w:val="nil"/>
                    <w:left w:val="single" w:sz="4" w:space="0" w:color="auto"/>
                    <w:bottom w:val="nil"/>
                    <w:right w:val="single" w:sz="4" w:space="0" w:color="auto"/>
                  </w:tcBorders>
                </w:tcPr>
                <w:p w14:paraId="7FB75615" w14:textId="77777777" w:rsidR="000048F0" w:rsidRPr="00F0226F" w:rsidRDefault="000048F0" w:rsidP="000048F0">
                  <w:pPr>
                    <w:spacing w:before="40" w:after="40" w:line="240" w:lineRule="auto"/>
                    <w:rPr>
                      <w:b/>
                      <w:bCs/>
                      <w:lang w:val="fr-CH" w:eastAsia="en-US"/>
                    </w:rPr>
                  </w:pPr>
                </w:p>
              </w:tc>
              <w:tc>
                <w:tcPr>
                  <w:tcW w:w="1417" w:type="dxa"/>
                  <w:tcBorders>
                    <w:top w:val="single" w:sz="4" w:space="0" w:color="auto"/>
                    <w:left w:val="single" w:sz="4" w:space="0" w:color="auto"/>
                    <w:bottom w:val="single" w:sz="4" w:space="0" w:color="auto"/>
                    <w:right w:val="single" w:sz="4" w:space="0" w:color="auto"/>
                  </w:tcBorders>
                </w:tcPr>
                <w:p w14:paraId="376E5525" w14:textId="5BD4F506" w:rsidR="000048F0" w:rsidRPr="00F0226F" w:rsidRDefault="00ED0AFC" w:rsidP="000048F0">
                  <w:pPr>
                    <w:spacing w:before="40" w:after="40" w:line="240" w:lineRule="auto"/>
                    <w:rPr>
                      <w:b/>
                      <w:bCs/>
                      <w:lang w:val="fr-CH" w:eastAsia="en-US"/>
                    </w:rPr>
                  </w:pPr>
                  <w:r>
                    <w:rPr>
                      <w:b/>
                      <w:bCs/>
                      <w:lang w:val="fr-CH" w:eastAsia="en-US"/>
                    </w:rPr>
                    <w:t>C</w:t>
                  </w:r>
                  <w:r w:rsidR="000048F0" w:rsidRPr="00F0226F">
                    <w:rPr>
                      <w:b/>
                      <w:bCs/>
                      <w:lang w:val="fr-CH" w:eastAsia="en-US"/>
                    </w:rPr>
                    <w:t>anton</w:t>
                  </w:r>
                </w:p>
              </w:tc>
              <w:tc>
                <w:tcPr>
                  <w:tcW w:w="1143" w:type="dxa"/>
                  <w:tcBorders>
                    <w:top w:val="single" w:sz="4" w:space="0" w:color="auto"/>
                    <w:left w:val="single" w:sz="4" w:space="0" w:color="auto"/>
                    <w:bottom w:val="single" w:sz="4" w:space="0" w:color="auto"/>
                    <w:right w:val="single" w:sz="4" w:space="0" w:color="auto"/>
                  </w:tcBorders>
                </w:tcPr>
                <w:p w14:paraId="1EC54D7A" w14:textId="22EA94DF" w:rsidR="000048F0" w:rsidRPr="00F0226F" w:rsidRDefault="00ED0AFC" w:rsidP="000048F0">
                  <w:pPr>
                    <w:spacing w:before="40" w:after="40" w:line="240" w:lineRule="auto"/>
                    <w:rPr>
                      <w:b/>
                      <w:bCs/>
                      <w:lang w:val="fr-CH" w:eastAsia="en-US"/>
                    </w:rPr>
                  </w:pPr>
                  <w:r>
                    <w:rPr>
                      <w:b/>
                      <w:bCs/>
                      <w:lang w:val="fr-CH" w:eastAsia="en-US"/>
                    </w:rPr>
                    <w:t>Surface e</w:t>
                  </w:r>
                  <w:r w:rsidR="000048F0" w:rsidRPr="00F0226F">
                    <w:rPr>
                      <w:b/>
                      <w:bCs/>
                      <w:lang w:val="fr-CH" w:eastAsia="en-US"/>
                    </w:rPr>
                    <w:t>n ha</w:t>
                  </w:r>
                </w:p>
              </w:tc>
            </w:tr>
            <w:tr w:rsidR="000048F0" w:rsidRPr="008454A6" w14:paraId="284A634F" w14:textId="77777777" w:rsidTr="007F751C">
              <w:tc>
                <w:tcPr>
                  <w:tcW w:w="1129" w:type="dxa"/>
                  <w:tcBorders>
                    <w:top w:val="single" w:sz="4" w:space="0" w:color="auto"/>
                    <w:left w:val="single" w:sz="4" w:space="0" w:color="auto"/>
                    <w:bottom w:val="single" w:sz="4" w:space="0" w:color="auto"/>
                    <w:right w:val="single" w:sz="4" w:space="0" w:color="auto"/>
                  </w:tcBorders>
                  <w:hideMark/>
                </w:tcPr>
                <w:p w14:paraId="55BB98E8" w14:textId="1C5DF6CC" w:rsidR="000048F0" w:rsidRPr="00F0226F" w:rsidRDefault="000048F0" w:rsidP="000048F0">
                  <w:pPr>
                    <w:spacing w:before="40" w:after="40" w:line="240" w:lineRule="auto"/>
                    <w:rPr>
                      <w:lang w:val="fr-CH" w:eastAsia="en-US"/>
                    </w:rPr>
                  </w:pPr>
                  <w:r w:rsidRPr="00F0226F">
                    <w:rPr>
                      <w:lang w:val="fr-CH" w:eastAsia="en-US"/>
                    </w:rPr>
                    <w:t>Bern</w:t>
                  </w:r>
                  <w:r w:rsidR="00ED0AFC">
                    <w:rPr>
                      <w:lang w:val="fr-CH" w:eastAsia="en-US"/>
                    </w:rPr>
                    <w:t>e</w:t>
                  </w:r>
                  <w:r w:rsidRPr="00F0226F">
                    <w:rPr>
                      <w:lang w:val="fr-CH"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8E5EE7A" w14:textId="1AC411CB" w:rsidR="000048F0" w:rsidRPr="00F0226F" w:rsidRDefault="000048F0">
                  <w:pPr>
                    <w:spacing w:before="40" w:after="40" w:line="240" w:lineRule="auto"/>
                    <w:jc w:val="center"/>
                    <w:rPr>
                      <w:lang w:val="fr-CH" w:eastAsia="en-US"/>
                    </w:rPr>
                  </w:pPr>
                  <w:r w:rsidRPr="00F0226F">
                    <w:rPr>
                      <w:lang w:val="fr-CH" w:eastAsia="en-US"/>
                    </w:rPr>
                    <w:t>82</w:t>
                  </w:r>
                  <w:r w:rsidR="00482439">
                    <w:rPr>
                      <w:lang w:val="fr-CH" w:eastAsia="en-US"/>
                    </w:rPr>
                    <w:t>’</w:t>
                  </w:r>
                  <w:r w:rsidRPr="00F0226F">
                    <w:rPr>
                      <w:lang w:val="fr-CH" w:eastAsia="en-US"/>
                    </w:rPr>
                    <w:t>200</w:t>
                  </w:r>
                </w:p>
              </w:tc>
              <w:tc>
                <w:tcPr>
                  <w:tcW w:w="284" w:type="dxa"/>
                  <w:tcBorders>
                    <w:top w:val="nil"/>
                    <w:left w:val="single" w:sz="4" w:space="0" w:color="auto"/>
                    <w:bottom w:val="nil"/>
                    <w:right w:val="single" w:sz="4" w:space="0" w:color="auto"/>
                  </w:tcBorders>
                </w:tcPr>
                <w:p w14:paraId="47FA6AE7" w14:textId="77777777" w:rsidR="000048F0" w:rsidRPr="00F0226F" w:rsidRDefault="000048F0" w:rsidP="000048F0">
                  <w:pPr>
                    <w:spacing w:before="40" w:after="40" w:line="240" w:lineRule="auto"/>
                    <w:rPr>
                      <w:lang w:val="fr-CH"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CE3FCAD" w14:textId="6960F57B" w:rsidR="000048F0" w:rsidRPr="00F0226F" w:rsidRDefault="000048F0">
                  <w:pPr>
                    <w:spacing w:before="40" w:after="40" w:line="240" w:lineRule="auto"/>
                    <w:rPr>
                      <w:lang w:val="fr-CH" w:eastAsia="en-US"/>
                    </w:rPr>
                  </w:pPr>
                  <w:r w:rsidRPr="00F0226F">
                    <w:rPr>
                      <w:lang w:val="fr-CH" w:eastAsia="en-US"/>
                    </w:rPr>
                    <w:t>S</w:t>
                  </w:r>
                  <w:r w:rsidR="00482439">
                    <w:rPr>
                      <w:lang w:val="fr-CH" w:eastAsia="en-US"/>
                    </w:rPr>
                    <w:t>ain</w:t>
                  </w:r>
                  <w:r w:rsidRPr="00F0226F">
                    <w:rPr>
                      <w:lang w:val="fr-CH" w:eastAsia="en-US"/>
                    </w:rPr>
                    <w:t>t</w:t>
                  </w:r>
                  <w:r w:rsidR="00482439">
                    <w:rPr>
                      <w:lang w:val="fr-CH" w:eastAsia="en-US"/>
                    </w:rPr>
                    <w:t>-</w:t>
                  </w:r>
                  <w:r w:rsidRPr="00F0226F">
                    <w:rPr>
                      <w:lang w:val="fr-CH" w:eastAsia="en-US"/>
                    </w:rPr>
                    <w:t>Gall</w:t>
                  </w:r>
                </w:p>
              </w:tc>
              <w:tc>
                <w:tcPr>
                  <w:tcW w:w="1134" w:type="dxa"/>
                  <w:tcBorders>
                    <w:top w:val="single" w:sz="4" w:space="0" w:color="auto"/>
                    <w:left w:val="single" w:sz="4" w:space="0" w:color="auto"/>
                    <w:bottom w:val="single" w:sz="4" w:space="0" w:color="auto"/>
                    <w:right w:val="single" w:sz="4" w:space="0" w:color="auto"/>
                  </w:tcBorders>
                  <w:hideMark/>
                </w:tcPr>
                <w:p w14:paraId="0161741C" w14:textId="32F8D8F9" w:rsidR="000048F0" w:rsidRPr="00F0226F" w:rsidRDefault="000048F0">
                  <w:pPr>
                    <w:spacing w:before="40" w:after="40" w:line="240" w:lineRule="auto"/>
                    <w:jc w:val="center"/>
                    <w:rPr>
                      <w:lang w:val="fr-CH" w:eastAsia="en-US"/>
                    </w:rPr>
                  </w:pPr>
                  <w:r w:rsidRPr="00F0226F">
                    <w:rPr>
                      <w:lang w:val="fr-CH" w:eastAsia="en-US"/>
                    </w:rPr>
                    <w:t>12</w:t>
                  </w:r>
                  <w:r w:rsidR="00482439">
                    <w:rPr>
                      <w:lang w:val="fr-CH" w:eastAsia="en-US"/>
                    </w:rPr>
                    <w:t>’</w:t>
                  </w:r>
                  <w:r w:rsidRPr="00F0226F">
                    <w:rPr>
                      <w:lang w:val="fr-CH" w:eastAsia="en-US"/>
                    </w:rPr>
                    <w:t>500</w:t>
                  </w:r>
                </w:p>
              </w:tc>
              <w:tc>
                <w:tcPr>
                  <w:tcW w:w="284" w:type="dxa"/>
                  <w:tcBorders>
                    <w:top w:val="nil"/>
                    <w:left w:val="single" w:sz="4" w:space="0" w:color="auto"/>
                    <w:bottom w:val="nil"/>
                    <w:right w:val="single" w:sz="4" w:space="0" w:color="auto"/>
                  </w:tcBorders>
                </w:tcPr>
                <w:p w14:paraId="12B00202" w14:textId="77777777" w:rsidR="000048F0" w:rsidRPr="00F0226F" w:rsidRDefault="000048F0" w:rsidP="000048F0">
                  <w:pPr>
                    <w:spacing w:before="40" w:after="40" w:line="240" w:lineRule="auto"/>
                    <w:rPr>
                      <w:lang w:val="fr-CH" w:eastAsia="en-US"/>
                    </w:rPr>
                  </w:pPr>
                </w:p>
              </w:tc>
              <w:tc>
                <w:tcPr>
                  <w:tcW w:w="1417" w:type="dxa"/>
                  <w:tcBorders>
                    <w:top w:val="single" w:sz="4" w:space="0" w:color="auto"/>
                    <w:left w:val="single" w:sz="4" w:space="0" w:color="auto"/>
                    <w:bottom w:val="single" w:sz="4" w:space="0" w:color="auto"/>
                    <w:right w:val="single" w:sz="4" w:space="0" w:color="auto"/>
                  </w:tcBorders>
                </w:tcPr>
                <w:p w14:paraId="0549C42C" w14:textId="77777777" w:rsidR="000048F0" w:rsidRPr="00F0226F" w:rsidRDefault="000048F0" w:rsidP="000048F0">
                  <w:pPr>
                    <w:spacing w:before="40" w:after="40" w:line="240" w:lineRule="auto"/>
                    <w:rPr>
                      <w:lang w:val="fr-CH" w:eastAsia="en-US"/>
                    </w:rPr>
                  </w:pPr>
                  <w:r w:rsidRPr="00F0226F">
                    <w:rPr>
                      <w:lang w:val="fr-CH" w:eastAsia="en-US"/>
                    </w:rPr>
                    <w:t>Schwyz</w:t>
                  </w:r>
                </w:p>
              </w:tc>
              <w:tc>
                <w:tcPr>
                  <w:tcW w:w="1143" w:type="dxa"/>
                  <w:tcBorders>
                    <w:top w:val="single" w:sz="4" w:space="0" w:color="auto"/>
                    <w:left w:val="single" w:sz="4" w:space="0" w:color="auto"/>
                    <w:bottom w:val="single" w:sz="4" w:space="0" w:color="auto"/>
                    <w:right w:val="single" w:sz="4" w:space="0" w:color="auto"/>
                  </w:tcBorders>
                </w:tcPr>
                <w:p w14:paraId="79F788DC" w14:textId="3453F67F" w:rsidR="000048F0" w:rsidRPr="00F0226F" w:rsidRDefault="000048F0">
                  <w:pPr>
                    <w:spacing w:before="40" w:after="40" w:line="240" w:lineRule="auto"/>
                    <w:jc w:val="center"/>
                    <w:rPr>
                      <w:lang w:val="fr-CH" w:eastAsia="en-US"/>
                    </w:rPr>
                  </w:pPr>
                  <w:r w:rsidRPr="00F0226F">
                    <w:rPr>
                      <w:lang w:val="fr-CH" w:eastAsia="en-US"/>
                    </w:rPr>
                    <w:t>2</w:t>
                  </w:r>
                  <w:r w:rsidR="00482439">
                    <w:rPr>
                      <w:lang w:val="fr-CH" w:eastAsia="en-US"/>
                    </w:rPr>
                    <w:t>’</w:t>
                  </w:r>
                  <w:r w:rsidRPr="00F0226F">
                    <w:rPr>
                      <w:lang w:val="fr-CH" w:eastAsia="en-US"/>
                    </w:rPr>
                    <w:t>500</w:t>
                  </w:r>
                </w:p>
              </w:tc>
            </w:tr>
            <w:tr w:rsidR="000048F0" w:rsidRPr="008454A6" w14:paraId="1D0E2968" w14:textId="77777777" w:rsidTr="007F751C">
              <w:tc>
                <w:tcPr>
                  <w:tcW w:w="1129" w:type="dxa"/>
                  <w:tcBorders>
                    <w:top w:val="single" w:sz="4" w:space="0" w:color="auto"/>
                    <w:left w:val="single" w:sz="4" w:space="0" w:color="auto"/>
                    <w:bottom w:val="single" w:sz="4" w:space="0" w:color="auto"/>
                    <w:right w:val="single" w:sz="4" w:space="0" w:color="auto"/>
                  </w:tcBorders>
                  <w:hideMark/>
                </w:tcPr>
                <w:p w14:paraId="48D0A7D6" w14:textId="64D1425F" w:rsidR="000048F0" w:rsidRPr="00F0226F" w:rsidRDefault="00ED0AFC" w:rsidP="000048F0">
                  <w:pPr>
                    <w:spacing w:before="40" w:after="40" w:line="240" w:lineRule="auto"/>
                    <w:rPr>
                      <w:lang w:val="fr-CH" w:eastAsia="en-US"/>
                    </w:rPr>
                  </w:pPr>
                  <w:r>
                    <w:rPr>
                      <w:lang w:val="fr-CH" w:eastAsia="en-US"/>
                    </w:rPr>
                    <w:t>Vaud</w:t>
                  </w:r>
                </w:p>
              </w:tc>
              <w:tc>
                <w:tcPr>
                  <w:tcW w:w="1134" w:type="dxa"/>
                  <w:tcBorders>
                    <w:top w:val="single" w:sz="4" w:space="0" w:color="auto"/>
                    <w:left w:val="single" w:sz="4" w:space="0" w:color="auto"/>
                    <w:bottom w:val="single" w:sz="4" w:space="0" w:color="auto"/>
                    <w:right w:val="single" w:sz="4" w:space="0" w:color="auto"/>
                  </w:tcBorders>
                  <w:hideMark/>
                </w:tcPr>
                <w:p w14:paraId="07C3AA4B" w14:textId="0E55A522" w:rsidR="000048F0" w:rsidRPr="00F0226F" w:rsidRDefault="000048F0">
                  <w:pPr>
                    <w:spacing w:before="40" w:after="40" w:line="240" w:lineRule="auto"/>
                    <w:jc w:val="center"/>
                    <w:rPr>
                      <w:lang w:val="fr-CH" w:eastAsia="en-US"/>
                    </w:rPr>
                  </w:pPr>
                  <w:r w:rsidRPr="00F0226F">
                    <w:rPr>
                      <w:lang w:val="fr-CH" w:eastAsia="en-US"/>
                    </w:rPr>
                    <w:t>75</w:t>
                  </w:r>
                  <w:r w:rsidR="00482439">
                    <w:rPr>
                      <w:lang w:val="fr-CH" w:eastAsia="en-US"/>
                    </w:rPr>
                    <w:t>’</w:t>
                  </w:r>
                  <w:r w:rsidRPr="00F0226F">
                    <w:rPr>
                      <w:lang w:val="fr-CH" w:eastAsia="en-US"/>
                    </w:rPr>
                    <w:t>800</w:t>
                  </w:r>
                </w:p>
              </w:tc>
              <w:tc>
                <w:tcPr>
                  <w:tcW w:w="284" w:type="dxa"/>
                  <w:tcBorders>
                    <w:top w:val="nil"/>
                    <w:left w:val="single" w:sz="4" w:space="0" w:color="auto"/>
                    <w:bottom w:val="nil"/>
                    <w:right w:val="single" w:sz="4" w:space="0" w:color="auto"/>
                  </w:tcBorders>
                </w:tcPr>
                <w:p w14:paraId="7868A1C9" w14:textId="77777777" w:rsidR="000048F0" w:rsidRPr="00F0226F" w:rsidRDefault="000048F0" w:rsidP="000048F0">
                  <w:pPr>
                    <w:spacing w:before="40" w:after="40" w:line="240" w:lineRule="auto"/>
                    <w:rPr>
                      <w:lang w:val="fr-CH"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113921B" w14:textId="4B013389" w:rsidR="000048F0" w:rsidRPr="00F0226F" w:rsidRDefault="000048F0" w:rsidP="000048F0">
                  <w:pPr>
                    <w:spacing w:before="40" w:after="40" w:line="240" w:lineRule="auto"/>
                    <w:rPr>
                      <w:lang w:val="fr-CH" w:eastAsia="en-US"/>
                    </w:rPr>
                  </w:pPr>
                  <w:r w:rsidRPr="00F0226F">
                    <w:rPr>
                      <w:lang w:val="fr-CH" w:eastAsia="en-US"/>
                    </w:rPr>
                    <w:t>Schaffh</w:t>
                  </w:r>
                  <w:r w:rsidR="00ED0AFC">
                    <w:rPr>
                      <w:lang w:val="fr-CH" w:eastAsia="en-US"/>
                    </w:rPr>
                    <w:t>o</w:t>
                  </w:r>
                  <w:r w:rsidRPr="00F0226F">
                    <w:rPr>
                      <w:lang w:val="fr-CH" w:eastAsia="en-US"/>
                    </w:rPr>
                    <w:t>use</w:t>
                  </w:r>
                </w:p>
              </w:tc>
              <w:tc>
                <w:tcPr>
                  <w:tcW w:w="1134" w:type="dxa"/>
                  <w:tcBorders>
                    <w:top w:val="single" w:sz="4" w:space="0" w:color="auto"/>
                    <w:left w:val="single" w:sz="4" w:space="0" w:color="auto"/>
                    <w:bottom w:val="single" w:sz="4" w:space="0" w:color="auto"/>
                    <w:right w:val="single" w:sz="4" w:space="0" w:color="auto"/>
                  </w:tcBorders>
                  <w:hideMark/>
                </w:tcPr>
                <w:p w14:paraId="46D8F9D6" w14:textId="666B5F78" w:rsidR="000048F0" w:rsidRPr="00F0226F" w:rsidRDefault="000048F0">
                  <w:pPr>
                    <w:spacing w:before="40" w:after="40" w:line="240" w:lineRule="auto"/>
                    <w:jc w:val="center"/>
                    <w:rPr>
                      <w:lang w:val="fr-CH" w:eastAsia="en-US"/>
                    </w:rPr>
                  </w:pPr>
                  <w:r w:rsidRPr="00F0226F">
                    <w:rPr>
                      <w:lang w:val="fr-CH" w:eastAsia="en-US"/>
                    </w:rPr>
                    <w:t>8</w:t>
                  </w:r>
                  <w:r w:rsidR="00482439">
                    <w:rPr>
                      <w:lang w:val="fr-CH" w:eastAsia="en-US"/>
                    </w:rPr>
                    <w:t>’</w:t>
                  </w:r>
                  <w:r w:rsidRPr="00F0226F">
                    <w:rPr>
                      <w:lang w:val="fr-CH" w:eastAsia="en-US"/>
                    </w:rPr>
                    <w:t>900</w:t>
                  </w:r>
                </w:p>
              </w:tc>
              <w:tc>
                <w:tcPr>
                  <w:tcW w:w="284" w:type="dxa"/>
                  <w:tcBorders>
                    <w:top w:val="nil"/>
                    <w:left w:val="single" w:sz="4" w:space="0" w:color="auto"/>
                    <w:bottom w:val="nil"/>
                    <w:right w:val="single" w:sz="4" w:space="0" w:color="auto"/>
                  </w:tcBorders>
                </w:tcPr>
                <w:p w14:paraId="0CF57364" w14:textId="77777777" w:rsidR="000048F0" w:rsidRPr="00F0226F" w:rsidRDefault="000048F0" w:rsidP="000048F0">
                  <w:pPr>
                    <w:spacing w:before="40" w:after="40" w:line="240" w:lineRule="auto"/>
                    <w:rPr>
                      <w:lang w:val="fr-CH" w:eastAsia="en-US"/>
                    </w:rPr>
                  </w:pPr>
                </w:p>
              </w:tc>
              <w:tc>
                <w:tcPr>
                  <w:tcW w:w="1417" w:type="dxa"/>
                  <w:tcBorders>
                    <w:top w:val="single" w:sz="4" w:space="0" w:color="auto"/>
                    <w:left w:val="single" w:sz="4" w:space="0" w:color="auto"/>
                    <w:bottom w:val="single" w:sz="4" w:space="0" w:color="auto"/>
                    <w:right w:val="single" w:sz="4" w:space="0" w:color="auto"/>
                  </w:tcBorders>
                </w:tcPr>
                <w:p w14:paraId="3F588557" w14:textId="1AA6AC71" w:rsidR="000048F0" w:rsidRPr="00F0226F" w:rsidRDefault="000048F0" w:rsidP="000048F0">
                  <w:pPr>
                    <w:spacing w:before="40" w:after="40" w:line="240" w:lineRule="auto"/>
                    <w:rPr>
                      <w:lang w:val="fr-CH" w:eastAsia="en-US"/>
                    </w:rPr>
                  </w:pPr>
                  <w:r w:rsidRPr="00F0226F">
                    <w:rPr>
                      <w:lang w:val="fr-CH" w:eastAsia="en-US"/>
                    </w:rPr>
                    <w:t>Appenzell</w:t>
                  </w:r>
                  <w:r w:rsidR="00E852AD">
                    <w:rPr>
                      <w:lang w:val="fr-CH" w:eastAsia="en-US"/>
                    </w:rPr>
                    <w:t>-Ex</w:t>
                  </w:r>
                </w:p>
              </w:tc>
              <w:tc>
                <w:tcPr>
                  <w:tcW w:w="1143" w:type="dxa"/>
                  <w:tcBorders>
                    <w:top w:val="single" w:sz="4" w:space="0" w:color="auto"/>
                    <w:left w:val="single" w:sz="4" w:space="0" w:color="auto"/>
                    <w:bottom w:val="single" w:sz="4" w:space="0" w:color="auto"/>
                    <w:right w:val="single" w:sz="4" w:space="0" w:color="auto"/>
                  </w:tcBorders>
                </w:tcPr>
                <w:p w14:paraId="4200356B" w14:textId="77777777" w:rsidR="000048F0" w:rsidRPr="00F0226F" w:rsidRDefault="000048F0" w:rsidP="000048F0">
                  <w:pPr>
                    <w:spacing w:before="40" w:after="40" w:line="240" w:lineRule="auto"/>
                    <w:jc w:val="center"/>
                    <w:rPr>
                      <w:lang w:val="fr-CH" w:eastAsia="en-US"/>
                    </w:rPr>
                  </w:pPr>
                  <w:r w:rsidRPr="00F0226F">
                    <w:rPr>
                      <w:lang w:val="fr-CH" w:eastAsia="en-US"/>
                    </w:rPr>
                    <w:t>790</w:t>
                  </w:r>
                </w:p>
              </w:tc>
            </w:tr>
            <w:tr w:rsidR="000048F0" w:rsidRPr="008454A6" w14:paraId="3FCC88AD" w14:textId="77777777" w:rsidTr="007F751C">
              <w:tc>
                <w:tcPr>
                  <w:tcW w:w="1129" w:type="dxa"/>
                  <w:tcBorders>
                    <w:top w:val="single" w:sz="4" w:space="0" w:color="auto"/>
                    <w:left w:val="single" w:sz="4" w:space="0" w:color="auto"/>
                    <w:bottom w:val="single" w:sz="4" w:space="0" w:color="auto"/>
                    <w:right w:val="single" w:sz="4" w:space="0" w:color="auto"/>
                  </w:tcBorders>
                  <w:hideMark/>
                </w:tcPr>
                <w:p w14:paraId="435744F6" w14:textId="5FA062D2" w:rsidR="000048F0" w:rsidRPr="00F0226F" w:rsidRDefault="000048F0" w:rsidP="000048F0">
                  <w:pPr>
                    <w:spacing w:before="40" w:after="40" w:line="240" w:lineRule="auto"/>
                    <w:rPr>
                      <w:lang w:val="fr-CH" w:eastAsia="en-US"/>
                    </w:rPr>
                  </w:pPr>
                  <w:r w:rsidRPr="00F0226F">
                    <w:rPr>
                      <w:lang w:val="fr-CH" w:eastAsia="en-US"/>
                    </w:rPr>
                    <w:t>Z</w:t>
                  </w:r>
                  <w:r w:rsidR="00ED0AFC">
                    <w:rPr>
                      <w:lang w:val="fr-CH" w:eastAsia="en-US"/>
                    </w:rPr>
                    <w:t>u</w:t>
                  </w:r>
                  <w:r w:rsidRPr="00F0226F">
                    <w:rPr>
                      <w:lang w:val="fr-CH" w:eastAsia="en-US"/>
                    </w:rPr>
                    <w:t>rich</w:t>
                  </w:r>
                </w:p>
              </w:tc>
              <w:tc>
                <w:tcPr>
                  <w:tcW w:w="1134" w:type="dxa"/>
                  <w:tcBorders>
                    <w:top w:val="single" w:sz="4" w:space="0" w:color="auto"/>
                    <w:left w:val="single" w:sz="4" w:space="0" w:color="auto"/>
                    <w:bottom w:val="single" w:sz="4" w:space="0" w:color="auto"/>
                    <w:right w:val="single" w:sz="4" w:space="0" w:color="auto"/>
                  </w:tcBorders>
                  <w:hideMark/>
                </w:tcPr>
                <w:p w14:paraId="05FD6477" w14:textId="67CD10DF" w:rsidR="000048F0" w:rsidRPr="00F0226F" w:rsidRDefault="000048F0">
                  <w:pPr>
                    <w:spacing w:before="40" w:after="40" w:line="240" w:lineRule="auto"/>
                    <w:jc w:val="center"/>
                    <w:rPr>
                      <w:lang w:val="fr-CH" w:eastAsia="en-US"/>
                    </w:rPr>
                  </w:pPr>
                  <w:r w:rsidRPr="00F0226F">
                    <w:rPr>
                      <w:lang w:val="fr-CH" w:eastAsia="en-US"/>
                    </w:rPr>
                    <w:t>44</w:t>
                  </w:r>
                  <w:r w:rsidR="00482439">
                    <w:rPr>
                      <w:lang w:val="fr-CH" w:eastAsia="en-US"/>
                    </w:rPr>
                    <w:t>’</w:t>
                  </w:r>
                  <w:r w:rsidRPr="00F0226F">
                    <w:rPr>
                      <w:lang w:val="fr-CH" w:eastAsia="en-US"/>
                    </w:rPr>
                    <w:t>400</w:t>
                  </w:r>
                </w:p>
              </w:tc>
              <w:tc>
                <w:tcPr>
                  <w:tcW w:w="284" w:type="dxa"/>
                  <w:tcBorders>
                    <w:top w:val="nil"/>
                    <w:left w:val="single" w:sz="4" w:space="0" w:color="auto"/>
                    <w:bottom w:val="nil"/>
                    <w:right w:val="single" w:sz="4" w:space="0" w:color="auto"/>
                  </w:tcBorders>
                </w:tcPr>
                <w:p w14:paraId="6503ED90" w14:textId="77777777" w:rsidR="000048F0" w:rsidRPr="00F0226F" w:rsidRDefault="000048F0" w:rsidP="000048F0">
                  <w:pPr>
                    <w:spacing w:before="40" w:after="40" w:line="240" w:lineRule="auto"/>
                    <w:rPr>
                      <w:lang w:val="fr-CH"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2BDA053" w14:textId="2C59BD49" w:rsidR="000048F0" w:rsidRPr="00F0226F" w:rsidRDefault="000048F0" w:rsidP="000048F0">
                  <w:pPr>
                    <w:spacing w:before="40" w:after="40" w:line="240" w:lineRule="auto"/>
                    <w:rPr>
                      <w:lang w:val="fr-CH" w:eastAsia="en-US"/>
                    </w:rPr>
                  </w:pPr>
                  <w:r w:rsidRPr="00F0226F">
                    <w:rPr>
                      <w:lang w:val="fr-CH" w:eastAsia="en-US"/>
                    </w:rPr>
                    <w:t>Gen</w:t>
                  </w:r>
                  <w:r w:rsidR="00ED0AFC">
                    <w:rPr>
                      <w:lang w:val="fr-CH" w:eastAsia="en-US"/>
                    </w:rPr>
                    <w:t>ève</w:t>
                  </w:r>
                </w:p>
              </w:tc>
              <w:tc>
                <w:tcPr>
                  <w:tcW w:w="1134" w:type="dxa"/>
                  <w:tcBorders>
                    <w:top w:val="single" w:sz="4" w:space="0" w:color="auto"/>
                    <w:left w:val="single" w:sz="4" w:space="0" w:color="auto"/>
                    <w:bottom w:val="single" w:sz="4" w:space="0" w:color="auto"/>
                    <w:right w:val="single" w:sz="4" w:space="0" w:color="auto"/>
                  </w:tcBorders>
                  <w:hideMark/>
                </w:tcPr>
                <w:p w14:paraId="1FBC8963" w14:textId="3F06008F" w:rsidR="000048F0" w:rsidRPr="00F0226F" w:rsidRDefault="000048F0">
                  <w:pPr>
                    <w:spacing w:before="40" w:after="40" w:line="240" w:lineRule="auto"/>
                    <w:jc w:val="center"/>
                    <w:rPr>
                      <w:lang w:val="fr-CH" w:eastAsia="en-US"/>
                    </w:rPr>
                  </w:pPr>
                  <w:r w:rsidRPr="00F0226F">
                    <w:rPr>
                      <w:lang w:val="fr-CH" w:eastAsia="en-US"/>
                    </w:rPr>
                    <w:t>8</w:t>
                  </w:r>
                  <w:r w:rsidR="00482439">
                    <w:rPr>
                      <w:lang w:val="fr-CH" w:eastAsia="en-US"/>
                    </w:rPr>
                    <w:t>’</w:t>
                  </w:r>
                  <w:r w:rsidRPr="00F0226F">
                    <w:rPr>
                      <w:lang w:val="fr-CH" w:eastAsia="en-US"/>
                    </w:rPr>
                    <w:t>400</w:t>
                  </w:r>
                </w:p>
              </w:tc>
              <w:tc>
                <w:tcPr>
                  <w:tcW w:w="284" w:type="dxa"/>
                  <w:tcBorders>
                    <w:top w:val="nil"/>
                    <w:left w:val="single" w:sz="4" w:space="0" w:color="auto"/>
                    <w:bottom w:val="nil"/>
                    <w:right w:val="single" w:sz="4" w:space="0" w:color="auto"/>
                  </w:tcBorders>
                </w:tcPr>
                <w:p w14:paraId="1EEF70C3" w14:textId="77777777" w:rsidR="000048F0" w:rsidRPr="00F0226F" w:rsidRDefault="000048F0" w:rsidP="000048F0">
                  <w:pPr>
                    <w:spacing w:before="40" w:after="40" w:line="240" w:lineRule="auto"/>
                    <w:rPr>
                      <w:lang w:val="fr-CH" w:eastAsia="en-US"/>
                    </w:rPr>
                  </w:pPr>
                </w:p>
              </w:tc>
              <w:tc>
                <w:tcPr>
                  <w:tcW w:w="1417" w:type="dxa"/>
                  <w:tcBorders>
                    <w:top w:val="single" w:sz="4" w:space="0" w:color="auto"/>
                    <w:left w:val="single" w:sz="4" w:space="0" w:color="auto"/>
                    <w:bottom w:val="single" w:sz="4" w:space="0" w:color="auto"/>
                    <w:right w:val="single" w:sz="4" w:space="0" w:color="auto"/>
                  </w:tcBorders>
                </w:tcPr>
                <w:p w14:paraId="62C59B7D" w14:textId="54F4AFD1" w:rsidR="000048F0" w:rsidRPr="00F0226F" w:rsidRDefault="000048F0" w:rsidP="000048F0">
                  <w:pPr>
                    <w:spacing w:before="40" w:after="40" w:line="240" w:lineRule="auto"/>
                    <w:rPr>
                      <w:lang w:val="fr-CH" w:eastAsia="en-US"/>
                    </w:rPr>
                  </w:pPr>
                  <w:r w:rsidRPr="00F0226F">
                    <w:rPr>
                      <w:lang w:val="fr-CH" w:eastAsia="en-US"/>
                    </w:rPr>
                    <w:t>Obwald</w:t>
                  </w:r>
                </w:p>
              </w:tc>
              <w:tc>
                <w:tcPr>
                  <w:tcW w:w="1143" w:type="dxa"/>
                  <w:tcBorders>
                    <w:top w:val="single" w:sz="4" w:space="0" w:color="auto"/>
                    <w:left w:val="single" w:sz="4" w:space="0" w:color="auto"/>
                    <w:bottom w:val="single" w:sz="4" w:space="0" w:color="auto"/>
                    <w:right w:val="single" w:sz="4" w:space="0" w:color="auto"/>
                  </w:tcBorders>
                </w:tcPr>
                <w:p w14:paraId="51EB0285" w14:textId="77777777" w:rsidR="000048F0" w:rsidRPr="00F0226F" w:rsidRDefault="000048F0" w:rsidP="000048F0">
                  <w:pPr>
                    <w:spacing w:before="40" w:after="40" w:line="240" w:lineRule="auto"/>
                    <w:jc w:val="center"/>
                    <w:rPr>
                      <w:lang w:val="fr-CH" w:eastAsia="en-US"/>
                    </w:rPr>
                  </w:pPr>
                  <w:r w:rsidRPr="00F0226F">
                    <w:rPr>
                      <w:lang w:val="fr-CH" w:eastAsia="en-US"/>
                    </w:rPr>
                    <w:t>420</w:t>
                  </w:r>
                </w:p>
              </w:tc>
            </w:tr>
            <w:tr w:rsidR="000048F0" w:rsidRPr="008454A6" w14:paraId="0FAC1F92" w14:textId="77777777" w:rsidTr="007F751C">
              <w:tc>
                <w:tcPr>
                  <w:tcW w:w="1129" w:type="dxa"/>
                  <w:tcBorders>
                    <w:top w:val="single" w:sz="4" w:space="0" w:color="auto"/>
                    <w:left w:val="single" w:sz="4" w:space="0" w:color="auto"/>
                    <w:bottom w:val="single" w:sz="4" w:space="0" w:color="auto"/>
                    <w:right w:val="single" w:sz="4" w:space="0" w:color="auto"/>
                  </w:tcBorders>
                  <w:hideMark/>
                </w:tcPr>
                <w:p w14:paraId="24A41EF4" w14:textId="63670B47" w:rsidR="000048F0" w:rsidRPr="00F0226F" w:rsidRDefault="000048F0" w:rsidP="000048F0">
                  <w:pPr>
                    <w:spacing w:before="40" w:after="40" w:line="240" w:lineRule="auto"/>
                    <w:rPr>
                      <w:lang w:val="fr-CH" w:eastAsia="en-US"/>
                    </w:rPr>
                  </w:pPr>
                  <w:r w:rsidRPr="00F0226F">
                    <w:rPr>
                      <w:lang w:val="fr-CH" w:eastAsia="en-US"/>
                    </w:rPr>
                    <w:t>Arg</w:t>
                  </w:r>
                  <w:r w:rsidR="00ED0AFC">
                    <w:rPr>
                      <w:lang w:val="fr-CH" w:eastAsia="en-US"/>
                    </w:rPr>
                    <w:t>ovie</w:t>
                  </w:r>
                </w:p>
              </w:tc>
              <w:tc>
                <w:tcPr>
                  <w:tcW w:w="1134" w:type="dxa"/>
                  <w:tcBorders>
                    <w:top w:val="single" w:sz="4" w:space="0" w:color="auto"/>
                    <w:left w:val="single" w:sz="4" w:space="0" w:color="auto"/>
                    <w:bottom w:val="single" w:sz="4" w:space="0" w:color="auto"/>
                    <w:right w:val="single" w:sz="4" w:space="0" w:color="auto"/>
                  </w:tcBorders>
                  <w:hideMark/>
                </w:tcPr>
                <w:p w14:paraId="474442C5" w14:textId="4BC3949B" w:rsidR="000048F0" w:rsidRPr="00F0226F" w:rsidRDefault="000048F0">
                  <w:pPr>
                    <w:spacing w:before="40" w:after="40" w:line="240" w:lineRule="auto"/>
                    <w:jc w:val="center"/>
                    <w:rPr>
                      <w:lang w:val="fr-CH" w:eastAsia="en-US"/>
                    </w:rPr>
                  </w:pPr>
                  <w:r w:rsidRPr="00F0226F">
                    <w:rPr>
                      <w:lang w:val="fr-CH" w:eastAsia="en-US"/>
                    </w:rPr>
                    <w:t>40</w:t>
                  </w:r>
                  <w:r w:rsidR="00482439">
                    <w:rPr>
                      <w:lang w:val="fr-CH" w:eastAsia="en-US"/>
                    </w:rPr>
                    <w:t>’</w:t>
                  </w:r>
                  <w:r w:rsidRPr="00F0226F">
                    <w:rPr>
                      <w:lang w:val="fr-CH" w:eastAsia="en-US"/>
                    </w:rPr>
                    <w:t>000</w:t>
                  </w:r>
                </w:p>
              </w:tc>
              <w:tc>
                <w:tcPr>
                  <w:tcW w:w="284" w:type="dxa"/>
                  <w:tcBorders>
                    <w:top w:val="nil"/>
                    <w:left w:val="single" w:sz="4" w:space="0" w:color="auto"/>
                    <w:bottom w:val="nil"/>
                    <w:right w:val="single" w:sz="4" w:space="0" w:color="auto"/>
                  </w:tcBorders>
                </w:tcPr>
                <w:p w14:paraId="20C24806" w14:textId="77777777" w:rsidR="000048F0" w:rsidRPr="00F0226F" w:rsidRDefault="000048F0" w:rsidP="000048F0">
                  <w:pPr>
                    <w:spacing w:before="40" w:after="40" w:line="240" w:lineRule="auto"/>
                    <w:rPr>
                      <w:lang w:val="fr-CH"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851DA75" w14:textId="27D59DB6" w:rsidR="000048F0" w:rsidRPr="00F0226F" w:rsidRDefault="000048F0" w:rsidP="000048F0">
                  <w:pPr>
                    <w:spacing w:before="40" w:after="40" w:line="240" w:lineRule="auto"/>
                    <w:rPr>
                      <w:lang w:val="fr-CH" w:eastAsia="en-US"/>
                    </w:rPr>
                  </w:pPr>
                  <w:r w:rsidRPr="00F0226F">
                    <w:rPr>
                      <w:lang w:val="fr-CH" w:eastAsia="en-US"/>
                    </w:rPr>
                    <w:t>B</w:t>
                  </w:r>
                  <w:r w:rsidR="00ED0AFC">
                    <w:rPr>
                      <w:lang w:val="fr-CH" w:eastAsia="en-US"/>
                    </w:rPr>
                    <w:t>âle-Camp</w:t>
                  </w:r>
                  <w:r w:rsidR="00E852AD">
                    <w:rPr>
                      <w:lang w:val="fr-CH"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73690E5" w14:textId="376E3C60" w:rsidR="000048F0" w:rsidRPr="00F0226F" w:rsidRDefault="000048F0">
                  <w:pPr>
                    <w:spacing w:before="40" w:after="40" w:line="240" w:lineRule="auto"/>
                    <w:jc w:val="center"/>
                    <w:rPr>
                      <w:lang w:val="fr-CH" w:eastAsia="en-US"/>
                    </w:rPr>
                  </w:pPr>
                  <w:r w:rsidRPr="00F0226F">
                    <w:rPr>
                      <w:lang w:val="fr-CH" w:eastAsia="en-US"/>
                    </w:rPr>
                    <w:t>9</w:t>
                  </w:r>
                  <w:r w:rsidR="00482439">
                    <w:rPr>
                      <w:lang w:val="fr-CH" w:eastAsia="en-US"/>
                    </w:rPr>
                    <w:t>’</w:t>
                  </w:r>
                  <w:r w:rsidRPr="00F0226F">
                    <w:rPr>
                      <w:lang w:val="fr-CH" w:eastAsia="en-US"/>
                    </w:rPr>
                    <w:t>800</w:t>
                  </w:r>
                </w:p>
              </w:tc>
              <w:tc>
                <w:tcPr>
                  <w:tcW w:w="284" w:type="dxa"/>
                  <w:tcBorders>
                    <w:top w:val="nil"/>
                    <w:left w:val="single" w:sz="4" w:space="0" w:color="auto"/>
                    <w:bottom w:val="nil"/>
                    <w:right w:val="single" w:sz="4" w:space="0" w:color="auto"/>
                  </w:tcBorders>
                </w:tcPr>
                <w:p w14:paraId="63618B96" w14:textId="77777777" w:rsidR="000048F0" w:rsidRPr="00F0226F" w:rsidRDefault="000048F0" w:rsidP="000048F0">
                  <w:pPr>
                    <w:spacing w:before="40" w:after="40" w:line="240" w:lineRule="auto"/>
                    <w:rPr>
                      <w:lang w:val="fr-CH" w:eastAsia="en-US"/>
                    </w:rPr>
                  </w:pPr>
                </w:p>
              </w:tc>
              <w:tc>
                <w:tcPr>
                  <w:tcW w:w="1417" w:type="dxa"/>
                  <w:tcBorders>
                    <w:top w:val="single" w:sz="4" w:space="0" w:color="auto"/>
                    <w:left w:val="single" w:sz="4" w:space="0" w:color="auto"/>
                    <w:bottom w:val="single" w:sz="4" w:space="0" w:color="auto"/>
                    <w:right w:val="single" w:sz="4" w:space="0" w:color="auto"/>
                  </w:tcBorders>
                </w:tcPr>
                <w:p w14:paraId="3034F700" w14:textId="733013A4" w:rsidR="000048F0" w:rsidRPr="00F0226F" w:rsidRDefault="000048F0" w:rsidP="000048F0">
                  <w:pPr>
                    <w:spacing w:before="40" w:after="40" w:line="240" w:lineRule="auto"/>
                    <w:rPr>
                      <w:lang w:val="fr-CH" w:eastAsia="en-US"/>
                    </w:rPr>
                  </w:pPr>
                  <w:r w:rsidRPr="00F0226F">
                    <w:rPr>
                      <w:lang w:val="fr-CH" w:eastAsia="en-US"/>
                    </w:rPr>
                    <w:t>Nidwald</w:t>
                  </w:r>
                </w:p>
              </w:tc>
              <w:tc>
                <w:tcPr>
                  <w:tcW w:w="1143" w:type="dxa"/>
                  <w:tcBorders>
                    <w:top w:val="single" w:sz="4" w:space="0" w:color="auto"/>
                    <w:left w:val="single" w:sz="4" w:space="0" w:color="auto"/>
                    <w:bottom w:val="single" w:sz="4" w:space="0" w:color="auto"/>
                    <w:right w:val="single" w:sz="4" w:space="0" w:color="auto"/>
                  </w:tcBorders>
                </w:tcPr>
                <w:p w14:paraId="7AF477FD" w14:textId="77777777" w:rsidR="000048F0" w:rsidRPr="00F0226F" w:rsidRDefault="000048F0" w:rsidP="000048F0">
                  <w:pPr>
                    <w:spacing w:before="40" w:after="40" w:line="240" w:lineRule="auto"/>
                    <w:jc w:val="center"/>
                    <w:rPr>
                      <w:lang w:val="fr-CH" w:eastAsia="en-US"/>
                    </w:rPr>
                  </w:pPr>
                  <w:r w:rsidRPr="00F0226F">
                    <w:rPr>
                      <w:lang w:val="fr-CH" w:eastAsia="en-US"/>
                    </w:rPr>
                    <w:t>370</w:t>
                  </w:r>
                </w:p>
              </w:tc>
            </w:tr>
            <w:tr w:rsidR="000048F0" w:rsidRPr="008454A6" w14:paraId="29087675" w14:textId="77777777" w:rsidTr="007F751C">
              <w:tc>
                <w:tcPr>
                  <w:tcW w:w="1129" w:type="dxa"/>
                  <w:tcBorders>
                    <w:top w:val="single" w:sz="4" w:space="0" w:color="auto"/>
                    <w:left w:val="single" w:sz="4" w:space="0" w:color="auto"/>
                    <w:bottom w:val="single" w:sz="4" w:space="0" w:color="auto"/>
                    <w:right w:val="single" w:sz="4" w:space="0" w:color="auto"/>
                  </w:tcBorders>
                  <w:hideMark/>
                </w:tcPr>
                <w:p w14:paraId="5943E4DA" w14:textId="5F1E80D8" w:rsidR="000048F0" w:rsidRPr="00F0226F" w:rsidRDefault="000048F0" w:rsidP="000048F0">
                  <w:pPr>
                    <w:spacing w:before="40" w:after="40" w:line="240" w:lineRule="auto"/>
                    <w:rPr>
                      <w:lang w:val="fr-CH" w:eastAsia="en-US"/>
                    </w:rPr>
                  </w:pPr>
                  <w:r w:rsidRPr="00F0226F">
                    <w:rPr>
                      <w:lang w:val="fr-CH" w:eastAsia="en-US"/>
                    </w:rPr>
                    <w:t>Fr</w:t>
                  </w:r>
                  <w:r w:rsidR="00ED0AFC">
                    <w:rPr>
                      <w:lang w:val="fr-CH" w:eastAsia="en-US"/>
                    </w:rPr>
                    <w:t>ibo</w:t>
                  </w:r>
                  <w:r w:rsidRPr="00F0226F">
                    <w:rPr>
                      <w:lang w:val="fr-CH" w:eastAsia="en-US"/>
                    </w:rPr>
                    <w:t>urg</w:t>
                  </w:r>
                </w:p>
              </w:tc>
              <w:tc>
                <w:tcPr>
                  <w:tcW w:w="1134" w:type="dxa"/>
                  <w:tcBorders>
                    <w:top w:val="single" w:sz="4" w:space="0" w:color="auto"/>
                    <w:left w:val="single" w:sz="4" w:space="0" w:color="auto"/>
                    <w:bottom w:val="single" w:sz="4" w:space="0" w:color="auto"/>
                    <w:right w:val="single" w:sz="4" w:space="0" w:color="auto"/>
                  </w:tcBorders>
                  <w:hideMark/>
                </w:tcPr>
                <w:p w14:paraId="1CAF5D9C" w14:textId="50460552" w:rsidR="000048F0" w:rsidRPr="00F0226F" w:rsidRDefault="000048F0">
                  <w:pPr>
                    <w:spacing w:before="40" w:after="40" w:line="240" w:lineRule="auto"/>
                    <w:jc w:val="center"/>
                    <w:rPr>
                      <w:lang w:val="fr-CH" w:eastAsia="en-US"/>
                    </w:rPr>
                  </w:pPr>
                  <w:r w:rsidRPr="00F0226F">
                    <w:rPr>
                      <w:lang w:val="fr-CH" w:eastAsia="en-US"/>
                    </w:rPr>
                    <w:t>35</w:t>
                  </w:r>
                  <w:r w:rsidR="00482439">
                    <w:rPr>
                      <w:lang w:val="fr-CH" w:eastAsia="en-US"/>
                    </w:rPr>
                    <w:t>’</w:t>
                  </w:r>
                  <w:r w:rsidRPr="00F0226F">
                    <w:rPr>
                      <w:lang w:val="fr-CH" w:eastAsia="en-US"/>
                    </w:rPr>
                    <w:t>800</w:t>
                  </w:r>
                </w:p>
              </w:tc>
              <w:tc>
                <w:tcPr>
                  <w:tcW w:w="284" w:type="dxa"/>
                  <w:tcBorders>
                    <w:top w:val="nil"/>
                    <w:left w:val="single" w:sz="4" w:space="0" w:color="auto"/>
                    <w:bottom w:val="nil"/>
                    <w:right w:val="single" w:sz="4" w:space="0" w:color="auto"/>
                  </w:tcBorders>
                </w:tcPr>
                <w:p w14:paraId="0EA6D80E" w14:textId="77777777" w:rsidR="000048F0" w:rsidRPr="00F0226F" w:rsidRDefault="000048F0" w:rsidP="000048F0">
                  <w:pPr>
                    <w:spacing w:before="40" w:after="40" w:line="240" w:lineRule="auto"/>
                    <w:rPr>
                      <w:lang w:val="fr-CH"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1BB5546" w14:textId="54B11D32" w:rsidR="000048F0" w:rsidRPr="00F0226F" w:rsidRDefault="00E852AD" w:rsidP="000048F0">
                  <w:pPr>
                    <w:spacing w:before="40" w:after="40" w:line="240" w:lineRule="auto"/>
                    <w:rPr>
                      <w:lang w:val="fr-CH" w:eastAsia="en-US"/>
                    </w:rPr>
                  </w:pPr>
                  <w:r>
                    <w:rPr>
                      <w:lang w:val="fr-CH" w:eastAsia="en-US"/>
                    </w:rPr>
                    <w:t>Valais</w:t>
                  </w:r>
                </w:p>
              </w:tc>
              <w:tc>
                <w:tcPr>
                  <w:tcW w:w="1134" w:type="dxa"/>
                  <w:tcBorders>
                    <w:top w:val="single" w:sz="4" w:space="0" w:color="auto"/>
                    <w:left w:val="single" w:sz="4" w:space="0" w:color="auto"/>
                    <w:bottom w:val="single" w:sz="4" w:space="0" w:color="auto"/>
                    <w:right w:val="single" w:sz="4" w:space="0" w:color="auto"/>
                  </w:tcBorders>
                  <w:hideMark/>
                </w:tcPr>
                <w:p w14:paraId="7AC31D24" w14:textId="47EA9A01" w:rsidR="000048F0" w:rsidRPr="00F0226F" w:rsidRDefault="000048F0">
                  <w:pPr>
                    <w:spacing w:before="40" w:after="40" w:line="240" w:lineRule="auto"/>
                    <w:jc w:val="center"/>
                    <w:rPr>
                      <w:lang w:val="fr-CH" w:eastAsia="en-US"/>
                    </w:rPr>
                  </w:pPr>
                  <w:r w:rsidRPr="00F0226F">
                    <w:rPr>
                      <w:lang w:val="fr-CH" w:eastAsia="en-US"/>
                    </w:rPr>
                    <w:t>7</w:t>
                  </w:r>
                  <w:r w:rsidR="00482439">
                    <w:rPr>
                      <w:lang w:val="fr-CH" w:eastAsia="en-US"/>
                    </w:rPr>
                    <w:t>’</w:t>
                  </w:r>
                  <w:r w:rsidRPr="00F0226F">
                    <w:rPr>
                      <w:lang w:val="fr-CH" w:eastAsia="en-US"/>
                    </w:rPr>
                    <w:t>350</w:t>
                  </w:r>
                </w:p>
              </w:tc>
              <w:tc>
                <w:tcPr>
                  <w:tcW w:w="284" w:type="dxa"/>
                  <w:tcBorders>
                    <w:top w:val="nil"/>
                    <w:left w:val="single" w:sz="4" w:space="0" w:color="auto"/>
                    <w:bottom w:val="nil"/>
                    <w:right w:val="single" w:sz="4" w:space="0" w:color="auto"/>
                  </w:tcBorders>
                </w:tcPr>
                <w:p w14:paraId="2A41EF8E" w14:textId="77777777" w:rsidR="000048F0" w:rsidRPr="00F0226F" w:rsidRDefault="000048F0" w:rsidP="000048F0">
                  <w:pPr>
                    <w:spacing w:before="40" w:after="40" w:line="240" w:lineRule="auto"/>
                    <w:rPr>
                      <w:lang w:val="fr-CH" w:eastAsia="en-US"/>
                    </w:rPr>
                  </w:pPr>
                </w:p>
              </w:tc>
              <w:tc>
                <w:tcPr>
                  <w:tcW w:w="1417" w:type="dxa"/>
                  <w:tcBorders>
                    <w:top w:val="single" w:sz="4" w:space="0" w:color="auto"/>
                    <w:left w:val="single" w:sz="4" w:space="0" w:color="auto"/>
                    <w:bottom w:val="single" w:sz="4" w:space="0" w:color="auto"/>
                    <w:right w:val="single" w:sz="4" w:space="0" w:color="auto"/>
                  </w:tcBorders>
                </w:tcPr>
                <w:p w14:paraId="3E8FEFA1" w14:textId="0C245FD8" w:rsidR="000048F0" w:rsidRPr="00F0226F" w:rsidRDefault="000048F0" w:rsidP="000048F0">
                  <w:pPr>
                    <w:spacing w:before="40" w:after="40" w:line="240" w:lineRule="auto"/>
                    <w:rPr>
                      <w:lang w:val="fr-CH" w:eastAsia="en-US"/>
                    </w:rPr>
                  </w:pPr>
                  <w:r w:rsidRPr="00F0226F">
                    <w:rPr>
                      <w:lang w:val="fr-CH" w:eastAsia="en-US"/>
                    </w:rPr>
                    <w:t>Appenzell</w:t>
                  </w:r>
                  <w:r w:rsidR="00E852AD">
                    <w:rPr>
                      <w:lang w:val="fr-CH" w:eastAsia="en-US"/>
                    </w:rPr>
                    <w:t>-Int</w:t>
                  </w:r>
                </w:p>
              </w:tc>
              <w:tc>
                <w:tcPr>
                  <w:tcW w:w="1143" w:type="dxa"/>
                  <w:tcBorders>
                    <w:top w:val="single" w:sz="4" w:space="0" w:color="auto"/>
                    <w:left w:val="single" w:sz="4" w:space="0" w:color="auto"/>
                    <w:bottom w:val="single" w:sz="4" w:space="0" w:color="auto"/>
                    <w:right w:val="single" w:sz="4" w:space="0" w:color="auto"/>
                  </w:tcBorders>
                </w:tcPr>
                <w:p w14:paraId="32E8D38C" w14:textId="77777777" w:rsidR="000048F0" w:rsidRPr="00F0226F" w:rsidRDefault="000048F0" w:rsidP="000048F0">
                  <w:pPr>
                    <w:spacing w:before="40" w:after="40" w:line="240" w:lineRule="auto"/>
                    <w:jc w:val="center"/>
                    <w:rPr>
                      <w:lang w:val="fr-CH" w:eastAsia="en-US"/>
                    </w:rPr>
                  </w:pPr>
                  <w:r w:rsidRPr="00F0226F">
                    <w:rPr>
                      <w:lang w:val="fr-CH" w:eastAsia="en-US"/>
                    </w:rPr>
                    <w:t>330</w:t>
                  </w:r>
                </w:p>
              </w:tc>
            </w:tr>
            <w:tr w:rsidR="000048F0" w:rsidRPr="008454A6" w14:paraId="75589F9C" w14:textId="77777777" w:rsidTr="007F751C">
              <w:tc>
                <w:tcPr>
                  <w:tcW w:w="1129" w:type="dxa"/>
                  <w:tcBorders>
                    <w:top w:val="single" w:sz="4" w:space="0" w:color="auto"/>
                    <w:left w:val="single" w:sz="4" w:space="0" w:color="auto"/>
                    <w:bottom w:val="single" w:sz="4" w:space="0" w:color="auto"/>
                    <w:right w:val="single" w:sz="4" w:space="0" w:color="auto"/>
                  </w:tcBorders>
                  <w:hideMark/>
                </w:tcPr>
                <w:p w14:paraId="44B51CC1" w14:textId="762427BC" w:rsidR="000048F0" w:rsidRPr="00F0226F" w:rsidRDefault="000048F0" w:rsidP="000048F0">
                  <w:pPr>
                    <w:spacing w:before="40" w:after="40" w:line="240" w:lineRule="auto"/>
                    <w:rPr>
                      <w:lang w:val="fr-CH" w:eastAsia="en-US"/>
                    </w:rPr>
                  </w:pPr>
                  <w:r w:rsidRPr="00F0226F">
                    <w:rPr>
                      <w:lang w:val="fr-CH" w:eastAsia="en-US"/>
                    </w:rPr>
                    <w:t>Thurg</w:t>
                  </w:r>
                  <w:r w:rsidR="00ED0AFC">
                    <w:rPr>
                      <w:lang w:val="fr-CH" w:eastAsia="en-US"/>
                    </w:rPr>
                    <w:t>ovie</w:t>
                  </w:r>
                </w:p>
              </w:tc>
              <w:tc>
                <w:tcPr>
                  <w:tcW w:w="1134" w:type="dxa"/>
                  <w:tcBorders>
                    <w:top w:val="single" w:sz="4" w:space="0" w:color="auto"/>
                    <w:left w:val="single" w:sz="4" w:space="0" w:color="auto"/>
                    <w:bottom w:val="single" w:sz="4" w:space="0" w:color="auto"/>
                    <w:right w:val="single" w:sz="4" w:space="0" w:color="auto"/>
                  </w:tcBorders>
                  <w:hideMark/>
                </w:tcPr>
                <w:p w14:paraId="731CDF11" w14:textId="6F423299" w:rsidR="000048F0" w:rsidRPr="00F0226F" w:rsidRDefault="000048F0">
                  <w:pPr>
                    <w:spacing w:before="40" w:after="40" w:line="240" w:lineRule="auto"/>
                    <w:jc w:val="center"/>
                    <w:rPr>
                      <w:lang w:val="fr-CH" w:eastAsia="en-US"/>
                    </w:rPr>
                  </w:pPr>
                  <w:r w:rsidRPr="00F0226F">
                    <w:rPr>
                      <w:lang w:val="fr-CH" w:eastAsia="en-US"/>
                    </w:rPr>
                    <w:t>30</w:t>
                  </w:r>
                  <w:r w:rsidR="00482439">
                    <w:rPr>
                      <w:lang w:val="fr-CH" w:eastAsia="en-US"/>
                    </w:rPr>
                    <w:t>’</w:t>
                  </w:r>
                  <w:r w:rsidRPr="00F0226F">
                    <w:rPr>
                      <w:lang w:val="fr-CH" w:eastAsia="en-US"/>
                    </w:rPr>
                    <w:t>000</w:t>
                  </w:r>
                </w:p>
              </w:tc>
              <w:tc>
                <w:tcPr>
                  <w:tcW w:w="284" w:type="dxa"/>
                  <w:tcBorders>
                    <w:top w:val="nil"/>
                    <w:left w:val="single" w:sz="4" w:space="0" w:color="auto"/>
                    <w:bottom w:val="nil"/>
                    <w:right w:val="single" w:sz="4" w:space="0" w:color="auto"/>
                  </w:tcBorders>
                </w:tcPr>
                <w:p w14:paraId="35A68FE7" w14:textId="77777777" w:rsidR="000048F0" w:rsidRPr="00F0226F" w:rsidRDefault="000048F0" w:rsidP="000048F0">
                  <w:pPr>
                    <w:spacing w:before="40" w:after="40" w:line="240" w:lineRule="auto"/>
                    <w:rPr>
                      <w:lang w:val="fr-CH"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1EB6D27" w14:textId="01F05BEE" w:rsidR="000048F0" w:rsidRPr="00F0226F" w:rsidRDefault="000048F0" w:rsidP="000048F0">
                  <w:pPr>
                    <w:spacing w:before="40" w:after="40" w:line="240" w:lineRule="auto"/>
                    <w:rPr>
                      <w:lang w:val="fr-CH" w:eastAsia="en-US"/>
                    </w:rPr>
                  </w:pPr>
                  <w:r w:rsidRPr="00F0226F">
                    <w:rPr>
                      <w:lang w:val="fr-CH" w:eastAsia="en-US"/>
                    </w:rPr>
                    <w:t>Neu</w:t>
                  </w:r>
                  <w:r w:rsidR="00E852AD">
                    <w:rPr>
                      <w:lang w:val="fr-CH" w:eastAsia="en-US"/>
                    </w:rPr>
                    <w:t>châtel</w:t>
                  </w:r>
                </w:p>
              </w:tc>
              <w:tc>
                <w:tcPr>
                  <w:tcW w:w="1134" w:type="dxa"/>
                  <w:tcBorders>
                    <w:top w:val="single" w:sz="4" w:space="0" w:color="auto"/>
                    <w:left w:val="single" w:sz="4" w:space="0" w:color="auto"/>
                    <w:bottom w:val="single" w:sz="4" w:space="0" w:color="auto"/>
                    <w:right w:val="single" w:sz="4" w:space="0" w:color="auto"/>
                  </w:tcBorders>
                  <w:hideMark/>
                </w:tcPr>
                <w:p w14:paraId="4FC76202" w14:textId="79709A26" w:rsidR="000048F0" w:rsidRPr="00F0226F" w:rsidRDefault="000048F0">
                  <w:pPr>
                    <w:spacing w:before="40" w:after="40" w:line="240" w:lineRule="auto"/>
                    <w:jc w:val="center"/>
                    <w:rPr>
                      <w:lang w:val="fr-CH" w:eastAsia="en-US"/>
                    </w:rPr>
                  </w:pPr>
                  <w:r w:rsidRPr="00F0226F">
                    <w:rPr>
                      <w:lang w:val="fr-CH" w:eastAsia="en-US"/>
                    </w:rPr>
                    <w:t>6</w:t>
                  </w:r>
                  <w:r w:rsidR="00482439">
                    <w:rPr>
                      <w:lang w:val="fr-CH" w:eastAsia="en-US"/>
                    </w:rPr>
                    <w:t>’</w:t>
                  </w:r>
                  <w:r w:rsidRPr="00F0226F">
                    <w:rPr>
                      <w:lang w:val="fr-CH" w:eastAsia="en-US"/>
                    </w:rPr>
                    <w:t>700</w:t>
                  </w:r>
                </w:p>
              </w:tc>
              <w:tc>
                <w:tcPr>
                  <w:tcW w:w="284" w:type="dxa"/>
                  <w:tcBorders>
                    <w:top w:val="nil"/>
                    <w:left w:val="single" w:sz="4" w:space="0" w:color="auto"/>
                    <w:bottom w:val="nil"/>
                    <w:right w:val="single" w:sz="4" w:space="0" w:color="auto"/>
                  </w:tcBorders>
                </w:tcPr>
                <w:p w14:paraId="2F07D5B2" w14:textId="77777777" w:rsidR="000048F0" w:rsidRPr="00F0226F" w:rsidRDefault="000048F0" w:rsidP="000048F0">
                  <w:pPr>
                    <w:spacing w:before="40" w:after="40" w:line="240" w:lineRule="auto"/>
                    <w:rPr>
                      <w:lang w:val="fr-CH" w:eastAsia="en-US"/>
                    </w:rPr>
                  </w:pPr>
                </w:p>
              </w:tc>
              <w:tc>
                <w:tcPr>
                  <w:tcW w:w="1417" w:type="dxa"/>
                  <w:tcBorders>
                    <w:top w:val="single" w:sz="4" w:space="0" w:color="auto"/>
                    <w:left w:val="single" w:sz="4" w:space="0" w:color="auto"/>
                    <w:bottom w:val="single" w:sz="4" w:space="0" w:color="auto"/>
                    <w:right w:val="single" w:sz="4" w:space="0" w:color="auto"/>
                  </w:tcBorders>
                </w:tcPr>
                <w:p w14:paraId="5A9DE7E0" w14:textId="77777777" w:rsidR="000048F0" w:rsidRPr="00F0226F" w:rsidRDefault="000048F0" w:rsidP="000048F0">
                  <w:pPr>
                    <w:spacing w:before="40" w:after="40" w:line="240" w:lineRule="auto"/>
                    <w:rPr>
                      <w:lang w:val="fr-CH" w:eastAsia="en-US"/>
                    </w:rPr>
                  </w:pPr>
                  <w:r w:rsidRPr="00F0226F">
                    <w:rPr>
                      <w:lang w:val="fr-CH" w:eastAsia="en-US"/>
                    </w:rPr>
                    <w:t>Uri</w:t>
                  </w:r>
                </w:p>
              </w:tc>
              <w:tc>
                <w:tcPr>
                  <w:tcW w:w="1143" w:type="dxa"/>
                  <w:tcBorders>
                    <w:top w:val="single" w:sz="4" w:space="0" w:color="auto"/>
                    <w:left w:val="single" w:sz="4" w:space="0" w:color="auto"/>
                    <w:bottom w:val="single" w:sz="4" w:space="0" w:color="auto"/>
                    <w:right w:val="single" w:sz="4" w:space="0" w:color="auto"/>
                  </w:tcBorders>
                </w:tcPr>
                <w:p w14:paraId="76D570E3" w14:textId="77777777" w:rsidR="000048F0" w:rsidRPr="00F0226F" w:rsidRDefault="000048F0" w:rsidP="000048F0">
                  <w:pPr>
                    <w:spacing w:before="40" w:after="40" w:line="240" w:lineRule="auto"/>
                    <w:jc w:val="center"/>
                    <w:rPr>
                      <w:lang w:val="fr-CH" w:eastAsia="en-US"/>
                    </w:rPr>
                  </w:pPr>
                  <w:r w:rsidRPr="00F0226F">
                    <w:rPr>
                      <w:lang w:val="fr-CH" w:eastAsia="en-US"/>
                    </w:rPr>
                    <w:t>260</w:t>
                  </w:r>
                </w:p>
              </w:tc>
            </w:tr>
            <w:tr w:rsidR="000048F0" w:rsidRPr="008454A6" w14:paraId="0A198525" w14:textId="77777777" w:rsidTr="007F751C">
              <w:tc>
                <w:tcPr>
                  <w:tcW w:w="1129" w:type="dxa"/>
                  <w:tcBorders>
                    <w:top w:val="single" w:sz="4" w:space="0" w:color="auto"/>
                    <w:left w:val="single" w:sz="4" w:space="0" w:color="auto"/>
                    <w:bottom w:val="single" w:sz="4" w:space="0" w:color="auto"/>
                    <w:right w:val="single" w:sz="4" w:space="0" w:color="auto"/>
                  </w:tcBorders>
                  <w:hideMark/>
                </w:tcPr>
                <w:p w14:paraId="63F01A48" w14:textId="5364924D" w:rsidR="000048F0" w:rsidRPr="00F0226F" w:rsidRDefault="000048F0" w:rsidP="000048F0">
                  <w:pPr>
                    <w:spacing w:before="40" w:after="40" w:line="240" w:lineRule="auto"/>
                    <w:rPr>
                      <w:lang w:val="fr-CH" w:eastAsia="en-US"/>
                    </w:rPr>
                  </w:pPr>
                  <w:r w:rsidRPr="00F0226F">
                    <w:rPr>
                      <w:lang w:val="fr-CH" w:eastAsia="en-US"/>
                    </w:rPr>
                    <w:t>Lu</w:t>
                  </w:r>
                  <w:r w:rsidR="00ED0AFC">
                    <w:rPr>
                      <w:lang w:val="fr-CH" w:eastAsia="en-US"/>
                    </w:rPr>
                    <w:t>c</w:t>
                  </w:r>
                  <w:r w:rsidRPr="00F0226F">
                    <w:rPr>
                      <w:lang w:val="fr-CH" w:eastAsia="en-US"/>
                    </w:rPr>
                    <w:t>ern</w:t>
                  </w:r>
                  <w:r w:rsidR="00ED0AFC">
                    <w:rPr>
                      <w:lang w:val="fr-CH" w:eastAsia="en-US"/>
                    </w:rPr>
                    <w:t>e</w:t>
                  </w:r>
                </w:p>
              </w:tc>
              <w:tc>
                <w:tcPr>
                  <w:tcW w:w="1134" w:type="dxa"/>
                  <w:tcBorders>
                    <w:top w:val="single" w:sz="4" w:space="0" w:color="auto"/>
                    <w:left w:val="single" w:sz="4" w:space="0" w:color="auto"/>
                    <w:bottom w:val="single" w:sz="4" w:space="0" w:color="auto"/>
                    <w:right w:val="single" w:sz="4" w:space="0" w:color="auto"/>
                  </w:tcBorders>
                  <w:hideMark/>
                </w:tcPr>
                <w:p w14:paraId="0D2D2AAE" w14:textId="00786459" w:rsidR="000048F0" w:rsidRPr="00F0226F" w:rsidRDefault="000048F0">
                  <w:pPr>
                    <w:spacing w:before="40" w:after="40" w:line="240" w:lineRule="auto"/>
                    <w:jc w:val="center"/>
                    <w:rPr>
                      <w:lang w:val="fr-CH" w:eastAsia="en-US"/>
                    </w:rPr>
                  </w:pPr>
                  <w:r w:rsidRPr="00F0226F">
                    <w:rPr>
                      <w:lang w:val="fr-CH" w:eastAsia="en-US"/>
                    </w:rPr>
                    <w:t>27</w:t>
                  </w:r>
                  <w:r w:rsidR="00482439">
                    <w:rPr>
                      <w:lang w:val="fr-CH" w:eastAsia="en-US"/>
                    </w:rPr>
                    <w:t>’</w:t>
                  </w:r>
                  <w:r w:rsidRPr="00F0226F">
                    <w:rPr>
                      <w:lang w:val="fr-CH" w:eastAsia="en-US"/>
                    </w:rPr>
                    <w:t>500</w:t>
                  </w:r>
                </w:p>
              </w:tc>
              <w:tc>
                <w:tcPr>
                  <w:tcW w:w="284" w:type="dxa"/>
                  <w:tcBorders>
                    <w:top w:val="nil"/>
                    <w:left w:val="single" w:sz="4" w:space="0" w:color="auto"/>
                    <w:bottom w:val="nil"/>
                    <w:right w:val="single" w:sz="4" w:space="0" w:color="auto"/>
                  </w:tcBorders>
                </w:tcPr>
                <w:p w14:paraId="18CB059E" w14:textId="77777777" w:rsidR="000048F0" w:rsidRPr="00F0226F" w:rsidRDefault="000048F0" w:rsidP="000048F0">
                  <w:pPr>
                    <w:spacing w:before="40" w:after="40" w:line="240" w:lineRule="auto"/>
                    <w:rPr>
                      <w:lang w:val="fr-CH"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FA33EE9" w14:textId="47CA886A" w:rsidR="000048F0" w:rsidRPr="00F0226F" w:rsidRDefault="000048F0" w:rsidP="000048F0">
                  <w:pPr>
                    <w:spacing w:before="40" w:after="40" w:line="240" w:lineRule="auto"/>
                    <w:rPr>
                      <w:lang w:val="fr-CH" w:eastAsia="en-US"/>
                    </w:rPr>
                  </w:pPr>
                  <w:r w:rsidRPr="00F0226F">
                    <w:rPr>
                      <w:lang w:val="fr-CH" w:eastAsia="en-US"/>
                    </w:rPr>
                    <w:t>Gr</w:t>
                  </w:r>
                  <w:r w:rsidR="00E852AD">
                    <w:rPr>
                      <w:lang w:val="fr-CH" w:eastAsia="en-US"/>
                    </w:rPr>
                    <w:t>isons</w:t>
                  </w:r>
                </w:p>
              </w:tc>
              <w:tc>
                <w:tcPr>
                  <w:tcW w:w="1134" w:type="dxa"/>
                  <w:tcBorders>
                    <w:top w:val="single" w:sz="4" w:space="0" w:color="auto"/>
                    <w:left w:val="single" w:sz="4" w:space="0" w:color="auto"/>
                    <w:bottom w:val="single" w:sz="4" w:space="0" w:color="auto"/>
                    <w:right w:val="single" w:sz="4" w:space="0" w:color="auto"/>
                  </w:tcBorders>
                  <w:hideMark/>
                </w:tcPr>
                <w:p w14:paraId="74B1598B" w14:textId="30CB7672" w:rsidR="000048F0" w:rsidRPr="00F0226F" w:rsidRDefault="000048F0">
                  <w:pPr>
                    <w:spacing w:before="40" w:after="40" w:line="240" w:lineRule="auto"/>
                    <w:jc w:val="center"/>
                    <w:rPr>
                      <w:lang w:val="fr-CH" w:eastAsia="en-US"/>
                    </w:rPr>
                  </w:pPr>
                  <w:r w:rsidRPr="00F0226F">
                    <w:rPr>
                      <w:lang w:val="fr-CH" w:eastAsia="en-US"/>
                    </w:rPr>
                    <w:t>6</w:t>
                  </w:r>
                  <w:r w:rsidR="00482439">
                    <w:rPr>
                      <w:lang w:val="fr-CH" w:eastAsia="en-US"/>
                    </w:rPr>
                    <w:t>’</w:t>
                  </w:r>
                  <w:r w:rsidRPr="00F0226F">
                    <w:rPr>
                      <w:lang w:val="fr-CH" w:eastAsia="en-US"/>
                    </w:rPr>
                    <w:t>300</w:t>
                  </w:r>
                </w:p>
              </w:tc>
              <w:tc>
                <w:tcPr>
                  <w:tcW w:w="284" w:type="dxa"/>
                  <w:tcBorders>
                    <w:top w:val="nil"/>
                    <w:left w:val="single" w:sz="4" w:space="0" w:color="auto"/>
                    <w:bottom w:val="nil"/>
                    <w:right w:val="single" w:sz="4" w:space="0" w:color="auto"/>
                  </w:tcBorders>
                </w:tcPr>
                <w:p w14:paraId="52C50EB9" w14:textId="77777777" w:rsidR="000048F0" w:rsidRPr="00F0226F" w:rsidRDefault="000048F0" w:rsidP="000048F0">
                  <w:pPr>
                    <w:spacing w:before="40" w:after="40" w:line="240" w:lineRule="auto"/>
                    <w:rPr>
                      <w:lang w:val="fr-CH" w:eastAsia="en-US"/>
                    </w:rPr>
                  </w:pPr>
                </w:p>
              </w:tc>
              <w:tc>
                <w:tcPr>
                  <w:tcW w:w="1417" w:type="dxa"/>
                  <w:tcBorders>
                    <w:top w:val="single" w:sz="4" w:space="0" w:color="auto"/>
                    <w:left w:val="single" w:sz="4" w:space="0" w:color="auto"/>
                    <w:bottom w:val="single" w:sz="4" w:space="0" w:color="auto"/>
                    <w:right w:val="single" w:sz="4" w:space="0" w:color="auto"/>
                  </w:tcBorders>
                </w:tcPr>
                <w:p w14:paraId="6CD2B854" w14:textId="26374A76" w:rsidR="000048F0" w:rsidRPr="00F0226F" w:rsidRDefault="000048F0" w:rsidP="000048F0">
                  <w:pPr>
                    <w:spacing w:before="40" w:after="40" w:line="240" w:lineRule="auto"/>
                    <w:rPr>
                      <w:lang w:val="fr-CH" w:eastAsia="en-US"/>
                    </w:rPr>
                  </w:pPr>
                  <w:r w:rsidRPr="00F0226F">
                    <w:rPr>
                      <w:lang w:val="fr-CH" w:eastAsia="en-US"/>
                    </w:rPr>
                    <w:t>B</w:t>
                  </w:r>
                  <w:r w:rsidR="00E852AD">
                    <w:rPr>
                      <w:lang w:val="fr-CH" w:eastAsia="en-US"/>
                    </w:rPr>
                    <w:t>âle-Ville</w:t>
                  </w:r>
                </w:p>
              </w:tc>
              <w:tc>
                <w:tcPr>
                  <w:tcW w:w="1143" w:type="dxa"/>
                  <w:tcBorders>
                    <w:top w:val="single" w:sz="4" w:space="0" w:color="auto"/>
                    <w:left w:val="single" w:sz="4" w:space="0" w:color="auto"/>
                    <w:bottom w:val="single" w:sz="4" w:space="0" w:color="auto"/>
                    <w:right w:val="single" w:sz="4" w:space="0" w:color="auto"/>
                  </w:tcBorders>
                </w:tcPr>
                <w:p w14:paraId="6AF668A5" w14:textId="77777777" w:rsidR="000048F0" w:rsidRPr="00F0226F" w:rsidRDefault="000048F0" w:rsidP="000048F0">
                  <w:pPr>
                    <w:spacing w:before="40" w:after="40" w:line="240" w:lineRule="auto"/>
                    <w:jc w:val="center"/>
                    <w:rPr>
                      <w:lang w:val="fr-CH" w:eastAsia="en-US"/>
                    </w:rPr>
                  </w:pPr>
                  <w:r w:rsidRPr="00F0226F">
                    <w:rPr>
                      <w:lang w:val="fr-CH" w:eastAsia="en-US"/>
                    </w:rPr>
                    <w:t>240</w:t>
                  </w:r>
                </w:p>
              </w:tc>
            </w:tr>
            <w:tr w:rsidR="000048F0" w:rsidRPr="008454A6" w14:paraId="6836C180" w14:textId="77777777" w:rsidTr="007F751C">
              <w:tc>
                <w:tcPr>
                  <w:tcW w:w="1129" w:type="dxa"/>
                  <w:tcBorders>
                    <w:top w:val="single" w:sz="4" w:space="0" w:color="auto"/>
                    <w:left w:val="single" w:sz="4" w:space="0" w:color="auto"/>
                    <w:bottom w:val="single" w:sz="4" w:space="0" w:color="auto"/>
                    <w:right w:val="single" w:sz="4" w:space="0" w:color="auto"/>
                  </w:tcBorders>
                  <w:hideMark/>
                </w:tcPr>
                <w:p w14:paraId="10159205" w14:textId="67237622" w:rsidR="000048F0" w:rsidRPr="00F0226F" w:rsidRDefault="000048F0" w:rsidP="000048F0">
                  <w:pPr>
                    <w:spacing w:before="40" w:after="40" w:line="240" w:lineRule="auto"/>
                    <w:rPr>
                      <w:lang w:val="fr-CH" w:eastAsia="en-US"/>
                    </w:rPr>
                  </w:pPr>
                  <w:r w:rsidRPr="00F0226F">
                    <w:rPr>
                      <w:lang w:val="fr-CH" w:eastAsia="en-US"/>
                    </w:rPr>
                    <w:t>Sol</w:t>
                  </w:r>
                  <w:r w:rsidR="00ED0AFC">
                    <w:rPr>
                      <w:lang w:val="fr-CH" w:eastAsia="en-US"/>
                    </w:rPr>
                    <w:t>eure</w:t>
                  </w:r>
                </w:p>
              </w:tc>
              <w:tc>
                <w:tcPr>
                  <w:tcW w:w="1134" w:type="dxa"/>
                  <w:tcBorders>
                    <w:top w:val="single" w:sz="4" w:space="0" w:color="auto"/>
                    <w:left w:val="single" w:sz="4" w:space="0" w:color="auto"/>
                    <w:bottom w:val="single" w:sz="4" w:space="0" w:color="auto"/>
                    <w:right w:val="single" w:sz="4" w:space="0" w:color="auto"/>
                  </w:tcBorders>
                  <w:hideMark/>
                </w:tcPr>
                <w:p w14:paraId="268F786C" w14:textId="5BE1C0BA" w:rsidR="000048F0" w:rsidRPr="00F0226F" w:rsidRDefault="000048F0">
                  <w:pPr>
                    <w:spacing w:before="40" w:after="40" w:line="240" w:lineRule="auto"/>
                    <w:jc w:val="center"/>
                    <w:rPr>
                      <w:lang w:val="fr-CH" w:eastAsia="en-US"/>
                    </w:rPr>
                  </w:pPr>
                  <w:r w:rsidRPr="00F0226F">
                    <w:rPr>
                      <w:lang w:val="fr-CH" w:eastAsia="en-US"/>
                    </w:rPr>
                    <w:t>16</w:t>
                  </w:r>
                  <w:r w:rsidR="00482439">
                    <w:rPr>
                      <w:lang w:val="fr-CH" w:eastAsia="en-US"/>
                    </w:rPr>
                    <w:t>’</w:t>
                  </w:r>
                  <w:r w:rsidRPr="00F0226F">
                    <w:rPr>
                      <w:lang w:val="fr-CH" w:eastAsia="en-US"/>
                    </w:rPr>
                    <w:t>200</w:t>
                  </w:r>
                </w:p>
              </w:tc>
              <w:tc>
                <w:tcPr>
                  <w:tcW w:w="284" w:type="dxa"/>
                  <w:tcBorders>
                    <w:top w:val="nil"/>
                    <w:left w:val="single" w:sz="4" w:space="0" w:color="auto"/>
                    <w:bottom w:val="nil"/>
                    <w:right w:val="single" w:sz="4" w:space="0" w:color="auto"/>
                  </w:tcBorders>
                </w:tcPr>
                <w:p w14:paraId="690BA052" w14:textId="77777777" w:rsidR="000048F0" w:rsidRPr="00F0226F" w:rsidRDefault="000048F0" w:rsidP="000048F0">
                  <w:pPr>
                    <w:spacing w:before="40" w:after="40" w:line="240" w:lineRule="auto"/>
                    <w:rPr>
                      <w:lang w:val="fr-CH"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E1268DD" w14:textId="77777777" w:rsidR="000048F0" w:rsidRPr="00F0226F" w:rsidRDefault="000048F0" w:rsidP="000048F0">
                  <w:pPr>
                    <w:spacing w:before="40" w:after="40" w:line="240" w:lineRule="auto"/>
                    <w:rPr>
                      <w:lang w:val="fr-CH" w:eastAsia="en-US"/>
                    </w:rPr>
                  </w:pPr>
                  <w:r w:rsidRPr="00F0226F">
                    <w:rPr>
                      <w:lang w:val="fr-CH" w:eastAsia="en-US"/>
                    </w:rPr>
                    <w:t>Tessin</w:t>
                  </w:r>
                </w:p>
              </w:tc>
              <w:tc>
                <w:tcPr>
                  <w:tcW w:w="1134" w:type="dxa"/>
                  <w:tcBorders>
                    <w:top w:val="single" w:sz="4" w:space="0" w:color="auto"/>
                    <w:left w:val="single" w:sz="4" w:space="0" w:color="auto"/>
                    <w:bottom w:val="single" w:sz="4" w:space="0" w:color="auto"/>
                    <w:right w:val="single" w:sz="4" w:space="0" w:color="auto"/>
                  </w:tcBorders>
                  <w:hideMark/>
                </w:tcPr>
                <w:p w14:paraId="234DE8E3" w14:textId="161133EF" w:rsidR="000048F0" w:rsidRPr="00F0226F" w:rsidRDefault="000048F0">
                  <w:pPr>
                    <w:spacing w:before="40" w:after="40" w:line="240" w:lineRule="auto"/>
                    <w:jc w:val="center"/>
                    <w:rPr>
                      <w:lang w:val="fr-CH" w:eastAsia="en-US"/>
                    </w:rPr>
                  </w:pPr>
                  <w:r w:rsidRPr="00F0226F">
                    <w:rPr>
                      <w:lang w:val="fr-CH" w:eastAsia="en-US"/>
                    </w:rPr>
                    <w:t>3</w:t>
                  </w:r>
                  <w:r w:rsidR="00482439">
                    <w:rPr>
                      <w:lang w:val="fr-CH" w:eastAsia="en-US"/>
                    </w:rPr>
                    <w:t>’</w:t>
                  </w:r>
                  <w:r w:rsidRPr="00F0226F">
                    <w:rPr>
                      <w:lang w:val="fr-CH" w:eastAsia="en-US"/>
                    </w:rPr>
                    <w:t>500</w:t>
                  </w:r>
                </w:p>
              </w:tc>
              <w:tc>
                <w:tcPr>
                  <w:tcW w:w="284" w:type="dxa"/>
                  <w:tcBorders>
                    <w:top w:val="nil"/>
                    <w:left w:val="single" w:sz="4" w:space="0" w:color="auto"/>
                    <w:bottom w:val="nil"/>
                    <w:right w:val="single" w:sz="4" w:space="0" w:color="auto"/>
                  </w:tcBorders>
                </w:tcPr>
                <w:p w14:paraId="7EEC1704" w14:textId="77777777" w:rsidR="000048F0" w:rsidRPr="00F0226F" w:rsidRDefault="000048F0" w:rsidP="000048F0">
                  <w:pPr>
                    <w:spacing w:before="40" w:after="40" w:line="240" w:lineRule="auto"/>
                    <w:rPr>
                      <w:lang w:val="fr-CH" w:eastAsia="en-US"/>
                    </w:rPr>
                  </w:pPr>
                </w:p>
              </w:tc>
              <w:tc>
                <w:tcPr>
                  <w:tcW w:w="1417" w:type="dxa"/>
                  <w:tcBorders>
                    <w:top w:val="single" w:sz="4" w:space="0" w:color="auto"/>
                    <w:left w:val="single" w:sz="4" w:space="0" w:color="auto"/>
                    <w:bottom w:val="single" w:sz="4" w:space="0" w:color="auto"/>
                    <w:right w:val="single" w:sz="4" w:space="0" w:color="auto"/>
                  </w:tcBorders>
                </w:tcPr>
                <w:p w14:paraId="423BEA64" w14:textId="05B41C5A" w:rsidR="000048F0" w:rsidRPr="00F0226F" w:rsidRDefault="000048F0" w:rsidP="000048F0">
                  <w:pPr>
                    <w:spacing w:before="40" w:after="40" w:line="240" w:lineRule="auto"/>
                    <w:rPr>
                      <w:lang w:val="fr-CH" w:eastAsia="en-US"/>
                    </w:rPr>
                  </w:pPr>
                  <w:r w:rsidRPr="00F0226F">
                    <w:rPr>
                      <w:lang w:val="fr-CH" w:eastAsia="en-US"/>
                    </w:rPr>
                    <w:t>Glar</w:t>
                  </w:r>
                  <w:r w:rsidR="00E852AD">
                    <w:rPr>
                      <w:lang w:val="fr-CH" w:eastAsia="en-US"/>
                    </w:rPr>
                    <w:t>i</w:t>
                  </w:r>
                  <w:r w:rsidRPr="00F0226F">
                    <w:rPr>
                      <w:lang w:val="fr-CH" w:eastAsia="en-US"/>
                    </w:rPr>
                    <w:t>s</w:t>
                  </w:r>
                </w:p>
              </w:tc>
              <w:tc>
                <w:tcPr>
                  <w:tcW w:w="1143" w:type="dxa"/>
                  <w:tcBorders>
                    <w:top w:val="single" w:sz="4" w:space="0" w:color="auto"/>
                    <w:left w:val="single" w:sz="4" w:space="0" w:color="auto"/>
                    <w:bottom w:val="single" w:sz="4" w:space="0" w:color="auto"/>
                    <w:right w:val="single" w:sz="4" w:space="0" w:color="auto"/>
                  </w:tcBorders>
                </w:tcPr>
                <w:p w14:paraId="0F9BD493" w14:textId="77777777" w:rsidR="000048F0" w:rsidRPr="00F0226F" w:rsidRDefault="000048F0" w:rsidP="000048F0">
                  <w:pPr>
                    <w:spacing w:before="40" w:after="40" w:line="240" w:lineRule="auto"/>
                    <w:jc w:val="center"/>
                    <w:rPr>
                      <w:lang w:val="fr-CH" w:eastAsia="en-US"/>
                    </w:rPr>
                  </w:pPr>
                  <w:r w:rsidRPr="00F0226F">
                    <w:rPr>
                      <w:lang w:val="fr-CH" w:eastAsia="en-US"/>
                    </w:rPr>
                    <w:t>200</w:t>
                  </w:r>
                </w:p>
              </w:tc>
            </w:tr>
            <w:tr w:rsidR="000048F0" w:rsidRPr="008454A6" w14:paraId="3DAE2F74" w14:textId="77777777" w:rsidTr="007F751C">
              <w:tc>
                <w:tcPr>
                  <w:tcW w:w="1129" w:type="dxa"/>
                  <w:tcBorders>
                    <w:top w:val="single" w:sz="4" w:space="0" w:color="auto"/>
                    <w:left w:val="single" w:sz="4" w:space="0" w:color="auto"/>
                    <w:bottom w:val="single" w:sz="4" w:space="0" w:color="auto"/>
                    <w:right w:val="single" w:sz="4" w:space="0" w:color="auto"/>
                  </w:tcBorders>
                  <w:hideMark/>
                </w:tcPr>
                <w:p w14:paraId="17AA2AE3" w14:textId="77777777" w:rsidR="000048F0" w:rsidRPr="00F0226F" w:rsidRDefault="000048F0" w:rsidP="000048F0">
                  <w:pPr>
                    <w:spacing w:before="40" w:after="40" w:line="240" w:lineRule="auto"/>
                    <w:rPr>
                      <w:lang w:val="fr-CH" w:eastAsia="en-US"/>
                    </w:rPr>
                  </w:pPr>
                  <w:r w:rsidRPr="00F0226F">
                    <w:rPr>
                      <w:lang w:val="fr-CH" w:eastAsia="en-US"/>
                    </w:rPr>
                    <w:t>Jura</w:t>
                  </w:r>
                </w:p>
              </w:tc>
              <w:tc>
                <w:tcPr>
                  <w:tcW w:w="1134" w:type="dxa"/>
                  <w:tcBorders>
                    <w:top w:val="single" w:sz="4" w:space="0" w:color="auto"/>
                    <w:left w:val="single" w:sz="4" w:space="0" w:color="auto"/>
                    <w:bottom w:val="single" w:sz="4" w:space="0" w:color="auto"/>
                    <w:right w:val="single" w:sz="4" w:space="0" w:color="auto"/>
                  </w:tcBorders>
                  <w:hideMark/>
                </w:tcPr>
                <w:p w14:paraId="763C02B4" w14:textId="173444CD" w:rsidR="000048F0" w:rsidRPr="00F0226F" w:rsidRDefault="000048F0">
                  <w:pPr>
                    <w:spacing w:before="40" w:after="40" w:line="240" w:lineRule="auto"/>
                    <w:jc w:val="center"/>
                    <w:rPr>
                      <w:lang w:val="fr-CH" w:eastAsia="en-US"/>
                    </w:rPr>
                  </w:pPr>
                  <w:r w:rsidRPr="00F0226F">
                    <w:rPr>
                      <w:lang w:val="fr-CH" w:eastAsia="en-US"/>
                    </w:rPr>
                    <w:t>15</w:t>
                  </w:r>
                  <w:r w:rsidR="00482439">
                    <w:rPr>
                      <w:lang w:val="fr-CH" w:eastAsia="en-US"/>
                    </w:rPr>
                    <w:t>’</w:t>
                  </w:r>
                  <w:r w:rsidRPr="00F0226F">
                    <w:rPr>
                      <w:lang w:val="fr-CH" w:eastAsia="en-US"/>
                    </w:rPr>
                    <w:t>000</w:t>
                  </w:r>
                </w:p>
              </w:tc>
              <w:tc>
                <w:tcPr>
                  <w:tcW w:w="284" w:type="dxa"/>
                  <w:tcBorders>
                    <w:top w:val="nil"/>
                    <w:left w:val="single" w:sz="4" w:space="0" w:color="auto"/>
                    <w:bottom w:val="nil"/>
                    <w:right w:val="single" w:sz="4" w:space="0" w:color="auto"/>
                  </w:tcBorders>
                </w:tcPr>
                <w:p w14:paraId="7740B517" w14:textId="77777777" w:rsidR="000048F0" w:rsidRPr="00F0226F" w:rsidRDefault="000048F0" w:rsidP="000048F0">
                  <w:pPr>
                    <w:spacing w:before="40" w:after="40" w:line="240" w:lineRule="auto"/>
                    <w:rPr>
                      <w:lang w:val="fr-CH" w:eastAsia="en-US"/>
                    </w:rPr>
                  </w:pPr>
                </w:p>
              </w:tc>
              <w:tc>
                <w:tcPr>
                  <w:tcW w:w="1559" w:type="dxa"/>
                  <w:tcBorders>
                    <w:top w:val="single" w:sz="4" w:space="0" w:color="auto"/>
                    <w:left w:val="single" w:sz="4" w:space="0" w:color="auto"/>
                    <w:bottom w:val="single" w:sz="4" w:space="0" w:color="auto"/>
                    <w:right w:val="single" w:sz="4" w:space="0" w:color="auto"/>
                  </w:tcBorders>
                </w:tcPr>
                <w:p w14:paraId="08701D62" w14:textId="3FE0270B" w:rsidR="000048F0" w:rsidRPr="00F0226F" w:rsidRDefault="000048F0" w:rsidP="000048F0">
                  <w:pPr>
                    <w:spacing w:before="40" w:after="40" w:line="240" w:lineRule="auto"/>
                    <w:rPr>
                      <w:lang w:val="fr-CH" w:eastAsia="en-US"/>
                    </w:rPr>
                  </w:pPr>
                  <w:r w:rsidRPr="00F0226F">
                    <w:rPr>
                      <w:lang w:val="fr-CH" w:eastAsia="en-US"/>
                    </w:rPr>
                    <w:t>Z</w:t>
                  </w:r>
                  <w:r w:rsidR="00E852AD">
                    <w:rPr>
                      <w:lang w:val="fr-CH" w:eastAsia="en-US"/>
                    </w:rPr>
                    <w:t>o</w:t>
                  </w:r>
                  <w:r w:rsidRPr="00F0226F">
                    <w:rPr>
                      <w:lang w:val="fr-CH" w:eastAsia="en-US"/>
                    </w:rPr>
                    <w:t>ug</w:t>
                  </w:r>
                </w:p>
              </w:tc>
              <w:tc>
                <w:tcPr>
                  <w:tcW w:w="1134" w:type="dxa"/>
                  <w:tcBorders>
                    <w:top w:val="single" w:sz="4" w:space="0" w:color="auto"/>
                    <w:left w:val="single" w:sz="4" w:space="0" w:color="auto"/>
                    <w:bottom w:val="single" w:sz="4" w:space="0" w:color="auto"/>
                    <w:right w:val="single" w:sz="4" w:space="0" w:color="auto"/>
                  </w:tcBorders>
                </w:tcPr>
                <w:p w14:paraId="5023ECFA" w14:textId="1B843785" w:rsidR="000048F0" w:rsidRPr="00F0226F" w:rsidRDefault="000048F0">
                  <w:pPr>
                    <w:spacing w:before="40" w:after="40" w:line="240" w:lineRule="auto"/>
                    <w:jc w:val="center"/>
                    <w:rPr>
                      <w:lang w:val="fr-CH" w:eastAsia="en-US"/>
                    </w:rPr>
                  </w:pPr>
                  <w:r w:rsidRPr="00F0226F">
                    <w:rPr>
                      <w:lang w:val="fr-CH" w:eastAsia="en-US"/>
                    </w:rPr>
                    <w:t>3</w:t>
                  </w:r>
                  <w:r w:rsidR="00482439">
                    <w:rPr>
                      <w:lang w:val="fr-CH" w:eastAsia="en-US"/>
                    </w:rPr>
                    <w:t>’</w:t>
                  </w:r>
                  <w:r w:rsidRPr="00F0226F">
                    <w:rPr>
                      <w:lang w:val="fr-CH" w:eastAsia="en-US"/>
                    </w:rPr>
                    <w:t>000</w:t>
                  </w:r>
                </w:p>
              </w:tc>
              <w:tc>
                <w:tcPr>
                  <w:tcW w:w="284" w:type="dxa"/>
                  <w:tcBorders>
                    <w:top w:val="nil"/>
                    <w:left w:val="single" w:sz="4" w:space="0" w:color="auto"/>
                    <w:bottom w:val="nil"/>
                    <w:right w:val="nil"/>
                  </w:tcBorders>
                </w:tcPr>
                <w:p w14:paraId="0D470B64" w14:textId="77777777" w:rsidR="000048F0" w:rsidRPr="00F0226F" w:rsidRDefault="000048F0" w:rsidP="000048F0">
                  <w:pPr>
                    <w:spacing w:before="40" w:after="40" w:line="240" w:lineRule="auto"/>
                    <w:rPr>
                      <w:lang w:val="fr-CH" w:eastAsia="en-US"/>
                    </w:rPr>
                  </w:pPr>
                </w:p>
              </w:tc>
              <w:tc>
                <w:tcPr>
                  <w:tcW w:w="1417" w:type="dxa"/>
                  <w:tcBorders>
                    <w:top w:val="single" w:sz="4" w:space="0" w:color="auto"/>
                    <w:left w:val="nil"/>
                    <w:bottom w:val="nil"/>
                    <w:right w:val="nil"/>
                  </w:tcBorders>
                </w:tcPr>
                <w:p w14:paraId="798CA343" w14:textId="77777777" w:rsidR="000048F0" w:rsidRPr="00F0226F" w:rsidRDefault="000048F0" w:rsidP="000048F0">
                  <w:pPr>
                    <w:spacing w:before="40" w:after="40" w:line="240" w:lineRule="auto"/>
                    <w:rPr>
                      <w:lang w:val="fr-CH" w:eastAsia="en-US"/>
                    </w:rPr>
                  </w:pPr>
                </w:p>
              </w:tc>
              <w:tc>
                <w:tcPr>
                  <w:tcW w:w="1143" w:type="dxa"/>
                  <w:tcBorders>
                    <w:top w:val="single" w:sz="4" w:space="0" w:color="auto"/>
                    <w:left w:val="nil"/>
                    <w:bottom w:val="nil"/>
                    <w:right w:val="nil"/>
                  </w:tcBorders>
                </w:tcPr>
                <w:p w14:paraId="23603A6D" w14:textId="77777777" w:rsidR="000048F0" w:rsidRPr="00F0226F" w:rsidRDefault="000048F0" w:rsidP="000048F0">
                  <w:pPr>
                    <w:spacing w:before="40" w:after="40" w:line="240" w:lineRule="auto"/>
                    <w:rPr>
                      <w:lang w:val="fr-CH" w:eastAsia="en-US"/>
                    </w:rPr>
                  </w:pPr>
                </w:p>
              </w:tc>
            </w:tr>
          </w:tbl>
          <w:p w14:paraId="6AACE23E" w14:textId="2CB6CF83" w:rsidR="00162A09" w:rsidRPr="00F0226F" w:rsidRDefault="00767FF9">
            <w:pPr>
              <w:spacing w:before="120"/>
              <w:rPr>
                <w:b/>
                <w:bCs/>
                <w:lang w:val="fr-CH"/>
              </w:rPr>
            </w:pPr>
            <w:r>
              <w:rPr>
                <w:lang w:val="fr-CH"/>
              </w:rPr>
              <w:t xml:space="preserve">Les valeurs fixées par la </w:t>
            </w:r>
            <w:r w:rsidR="00E852AD">
              <w:rPr>
                <w:lang w:val="fr-CH"/>
              </w:rPr>
              <w:t xml:space="preserve">Confédération </w:t>
            </w:r>
            <w:r>
              <w:rPr>
                <w:lang w:val="fr-CH"/>
              </w:rPr>
              <w:t>correspondent à</w:t>
            </w:r>
            <w:r w:rsidR="00E852AD">
              <w:rPr>
                <w:lang w:val="fr-CH"/>
              </w:rPr>
              <w:t xml:space="preserve"> la répartition entre les cantons </w:t>
            </w:r>
            <w:r>
              <w:rPr>
                <w:lang w:val="fr-CH"/>
              </w:rPr>
              <w:t>selon l’art</w:t>
            </w:r>
            <w:r w:rsidR="007F751C">
              <w:rPr>
                <w:lang w:val="fr-CH"/>
              </w:rPr>
              <w:t>icle</w:t>
            </w:r>
            <w:r w:rsidR="000048F0" w:rsidRPr="00F0226F">
              <w:rPr>
                <w:lang w:val="fr-CH"/>
              </w:rPr>
              <w:t xml:space="preserve"> 29 </w:t>
            </w:r>
            <w:r w:rsidR="00E852AD">
              <w:rPr>
                <w:lang w:val="fr-CH"/>
              </w:rPr>
              <w:t>OAT</w:t>
            </w:r>
            <w:r w:rsidR="000048F0" w:rsidRPr="00F0226F">
              <w:rPr>
                <w:lang w:val="fr-CH"/>
              </w:rPr>
              <w:t>.</w:t>
            </w:r>
            <w:r>
              <w:rPr>
                <w:lang w:val="fr-CH"/>
              </w:rPr>
              <w:t xml:space="preserve"> </w:t>
            </w:r>
            <w:r w:rsidR="005F3094">
              <w:rPr>
                <w:lang w:val="fr-CH"/>
              </w:rPr>
              <w:t>Il n’est pas possible de passer au-dessous d’un contingent</w:t>
            </w:r>
            <w:r w:rsidR="0072354A" w:rsidRPr="00F0226F">
              <w:rPr>
                <w:lang w:val="fr-CH"/>
              </w:rPr>
              <w:t xml:space="preserve">. </w:t>
            </w:r>
            <w:r w:rsidR="00E852AD">
              <w:rPr>
                <w:lang w:val="fr-CH"/>
              </w:rPr>
              <w:t xml:space="preserve">Les surfaces doivent être garanties </w:t>
            </w:r>
            <w:r w:rsidR="001073CC">
              <w:rPr>
                <w:lang w:val="fr-CH"/>
              </w:rPr>
              <w:t xml:space="preserve">à long terme </w:t>
            </w:r>
            <w:r w:rsidR="00E852AD">
              <w:rPr>
                <w:lang w:val="fr-CH"/>
              </w:rPr>
              <w:t>sur le territoire suisse</w:t>
            </w:r>
            <w:r w:rsidR="000048F0" w:rsidRPr="00F0226F">
              <w:rPr>
                <w:lang w:val="fr-CH"/>
              </w:rPr>
              <w:t>.</w:t>
            </w:r>
          </w:p>
        </w:tc>
      </w:tr>
    </w:tbl>
    <w:p w14:paraId="5B1B944A" w14:textId="3FF5F5EB" w:rsidR="007B6805" w:rsidRPr="00F0226F" w:rsidRDefault="00E852AD" w:rsidP="00162A09">
      <w:pPr>
        <w:pStyle w:val="berschrift1"/>
        <w:rPr>
          <w:lang w:val="fr-CH"/>
        </w:rPr>
      </w:pPr>
      <w:bookmarkStart w:id="36" w:name="_Ref526428497"/>
      <w:bookmarkStart w:id="37" w:name="_Toc526428726"/>
      <w:bookmarkStart w:id="38" w:name="_Toc532996376"/>
      <w:r>
        <w:rPr>
          <w:lang w:val="fr-CH"/>
        </w:rPr>
        <w:lastRenderedPageBreak/>
        <w:t>Principes applicables au traitement des surfaces d’assoleme</w:t>
      </w:r>
      <w:r w:rsidR="0031061E" w:rsidRPr="00F0226F">
        <w:rPr>
          <w:lang w:val="fr-CH"/>
        </w:rPr>
        <w:t>n</w:t>
      </w:r>
      <w:bookmarkEnd w:id="36"/>
      <w:bookmarkEnd w:id="37"/>
      <w:r>
        <w:rPr>
          <w:lang w:val="fr-CH"/>
        </w:rPr>
        <w:t>t</w:t>
      </w:r>
      <w:bookmarkEnd w:id="38"/>
    </w:p>
    <w:p w14:paraId="2A9826F8" w14:textId="3A7738AB" w:rsidR="00314A8E" w:rsidRPr="00F0226F" w:rsidRDefault="008C6F34" w:rsidP="007F2FD4">
      <w:pPr>
        <w:spacing w:after="240"/>
        <w:rPr>
          <w:lang w:val="fr-CH"/>
        </w:rPr>
      </w:pPr>
      <w:bookmarkStart w:id="39" w:name="_Toc384205214"/>
      <w:bookmarkStart w:id="40" w:name="_Toc384205488"/>
      <w:bookmarkStart w:id="41" w:name="_Toc384212573"/>
      <w:bookmarkStart w:id="42" w:name="_Toc384226433"/>
      <w:bookmarkStart w:id="43" w:name="_Toc384289081"/>
      <w:bookmarkStart w:id="44" w:name="_Toc384289725"/>
      <w:bookmarkStart w:id="45" w:name="_Toc384289774"/>
      <w:bookmarkStart w:id="46" w:name="_Toc384295766"/>
      <w:bookmarkStart w:id="47" w:name="_Toc384643572"/>
      <w:bookmarkStart w:id="48" w:name="_Toc384728527"/>
      <w:bookmarkStart w:id="49" w:name="_Toc384738910"/>
      <w:bookmarkStart w:id="50" w:name="_Toc384742206"/>
      <w:bookmarkStart w:id="51" w:name="_Toc384747010"/>
      <w:bookmarkStart w:id="52" w:name="_Toc384894466"/>
      <w:bookmarkStart w:id="53" w:name="_Toc384895060"/>
      <w:bookmarkStart w:id="54" w:name="_Toc384895109"/>
      <w:bookmarkStart w:id="55" w:name="_Toc384908814"/>
      <w:bookmarkStart w:id="56" w:name="_Toc384914138"/>
      <w:bookmarkStart w:id="57" w:name="_Toc384914494"/>
      <w:bookmarkStart w:id="58" w:name="_Toc38351184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lang w:val="fr-CH"/>
        </w:rPr>
        <w:t xml:space="preserve">Les principes ci-dessous </w:t>
      </w:r>
      <w:r w:rsidR="00C372F3">
        <w:rPr>
          <w:lang w:val="fr-CH"/>
        </w:rPr>
        <w:t>définissent comment aménager la gestion des</w:t>
      </w:r>
      <w:r>
        <w:rPr>
          <w:lang w:val="fr-CH"/>
        </w:rPr>
        <w:t xml:space="preserve"> SDA et mener les divers processus correspondants</w:t>
      </w:r>
      <w:r w:rsidR="00314A8E" w:rsidRPr="00F0226F">
        <w:rPr>
          <w:lang w:val="fr-CH"/>
        </w:rPr>
        <w:t xml:space="preserve">. </w:t>
      </w:r>
    </w:p>
    <w:tbl>
      <w:tblPr>
        <w:tblStyle w:val="Tabellenraster"/>
        <w:tblW w:w="171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624"/>
        <w:gridCol w:w="8448"/>
        <w:gridCol w:w="8062"/>
      </w:tblGrid>
      <w:tr w:rsidR="00114C22" w:rsidRPr="00114C22" w14:paraId="028035BF" w14:textId="77777777" w:rsidTr="007F2FD4">
        <w:trPr>
          <w:gridAfter w:val="1"/>
          <w:wAfter w:w="8062" w:type="dxa"/>
        </w:trPr>
        <w:tc>
          <w:tcPr>
            <w:tcW w:w="9072" w:type="dxa"/>
            <w:gridSpan w:val="2"/>
            <w:shd w:val="clear" w:color="auto" w:fill="808080" w:themeFill="background1" w:themeFillShade="80"/>
          </w:tcPr>
          <w:p w14:paraId="46D55DE7" w14:textId="54ACA73D" w:rsidR="00114C22" w:rsidRDefault="00114C22" w:rsidP="007F2FD4">
            <w:pPr>
              <w:spacing w:before="120"/>
              <w:rPr>
                <w:b/>
                <w:bCs/>
                <w:lang w:val="fr-CH"/>
              </w:rPr>
            </w:pPr>
            <w:r>
              <w:rPr>
                <w:b/>
                <w:bCs/>
                <w:sz w:val="24"/>
                <w:szCs w:val="24"/>
                <w:lang w:val="fr-CH"/>
              </w:rPr>
              <w:t>PRINCIPES</w:t>
            </w:r>
          </w:p>
        </w:tc>
      </w:tr>
      <w:tr w:rsidR="00114C22" w:rsidRPr="008454A6" w14:paraId="35C47041" w14:textId="77777777" w:rsidTr="007F2FD4">
        <w:trPr>
          <w:gridAfter w:val="1"/>
          <w:wAfter w:w="8062" w:type="dxa"/>
        </w:trPr>
        <w:tc>
          <w:tcPr>
            <w:tcW w:w="9072" w:type="dxa"/>
            <w:gridSpan w:val="2"/>
            <w:shd w:val="clear" w:color="auto" w:fill="A6A6A6" w:themeFill="background1" w:themeFillShade="A6"/>
            <w:vAlign w:val="center"/>
          </w:tcPr>
          <w:p w14:paraId="7C5DCE68" w14:textId="2A42DD40" w:rsidR="00114C22" w:rsidRDefault="00114C22" w:rsidP="007F2FD4">
            <w:pPr>
              <w:spacing w:before="120"/>
              <w:jc w:val="center"/>
              <w:rPr>
                <w:b/>
                <w:bCs/>
                <w:lang w:val="fr-CH"/>
              </w:rPr>
            </w:pPr>
            <w:r>
              <w:rPr>
                <w:b/>
                <w:bCs/>
                <w:lang w:val="fr-CH"/>
              </w:rPr>
              <w:t>Garantie à long terme des SDA</w:t>
            </w:r>
          </w:p>
        </w:tc>
      </w:tr>
      <w:tr w:rsidR="0062030D" w:rsidRPr="008454A6" w14:paraId="1969A08D" w14:textId="77777777" w:rsidTr="007F2FD4">
        <w:trPr>
          <w:gridAfter w:val="1"/>
          <w:wAfter w:w="8062" w:type="dxa"/>
        </w:trPr>
        <w:tc>
          <w:tcPr>
            <w:tcW w:w="624" w:type="dxa"/>
            <w:shd w:val="clear" w:color="auto" w:fill="D9D9D9" w:themeFill="background1" w:themeFillShade="D9"/>
          </w:tcPr>
          <w:p w14:paraId="3B3A2E85" w14:textId="658BC304" w:rsidR="003A1E5E" w:rsidRPr="00BB4760" w:rsidRDefault="003A1E5E" w:rsidP="00BB4760">
            <w:pPr>
              <w:pStyle w:val="Listenabsatz"/>
              <w:numPr>
                <w:ilvl w:val="0"/>
                <w:numId w:val="34"/>
              </w:numPr>
              <w:spacing w:before="120"/>
              <w:rPr>
                <w:b/>
                <w:lang w:val="fr-CH"/>
              </w:rPr>
            </w:pPr>
          </w:p>
        </w:tc>
        <w:tc>
          <w:tcPr>
            <w:tcW w:w="8448" w:type="dxa"/>
            <w:shd w:val="clear" w:color="auto" w:fill="D9D9D9" w:themeFill="background1" w:themeFillShade="D9"/>
          </w:tcPr>
          <w:p w14:paraId="49145A91" w14:textId="6643AA3D" w:rsidR="003A1E5E" w:rsidRPr="00F0226F" w:rsidRDefault="00753B8F" w:rsidP="007F2FD4">
            <w:pPr>
              <w:spacing w:before="120"/>
              <w:rPr>
                <w:b/>
                <w:bCs/>
                <w:lang w:val="fr-CH"/>
              </w:rPr>
            </w:pPr>
            <w:r>
              <w:rPr>
                <w:b/>
                <w:bCs/>
                <w:lang w:val="fr-CH"/>
              </w:rPr>
              <w:t xml:space="preserve">Il importe de </w:t>
            </w:r>
            <w:r w:rsidR="004665ED">
              <w:rPr>
                <w:b/>
                <w:bCs/>
                <w:lang w:val="fr-CH"/>
              </w:rPr>
              <w:t xml:space="preserve">minimiser </w:t>
            </w:r>
            <w:r>
              <w:rPr>
                <w:b/>
                <w:bCs/>
                <w:lang w:val="fr-CH"/>
              </w:rPr>
              <w:t xml:space="preserve">la </w:t>
            </w:r>
            <w:r w:rsidR="0012690F">
              <w:rPr>
                <w:b/>
                <w:bCs/>
                <w:lang w:val="fr-CH"/>
              </w:rPr>
              <w:t xml:space="preserve">sollicitation </w:t>
            </w:r>
            <w:r>
              <w:rPr>
                <w:b/>
                <w:bCs/>
                <w:lang w:val="fr-CH"/>
              </w:rPr>
              <w:t>de SDA à quelque fin que ce soit</w:t>
            </w:r>
            <w:r w:rsidR="325E5E49" w:rsidRPr="00F0226F">
              <w:rPr>
                <w:b/>
                <w:bCs/>
                <w:lang w:val="fr-CH"/>
              </w:rPr>
              <w:t>.</w:t>
            </w:r>
          </w:p>
          <w:p w14:paraId="42177829" w14:textId="38F730F0" w:rsidR="003A1E5E" w:rsidRPr="00F0226F" w:rsidRDefault="00753B8F" w:rsidP="007F2FD4">
            <w:pPr>
              <w:ind w:left="35"/>
              <w:rPr>
                <w:lang w:val="fr-CH"/>
              </w:rPr>
            </w:pPr>
            <w:r>
              <w:rPr>
                <w:lang w:val="fr-CH"/>
              </w:rPr>
              <w:t>L</w:t>
            </w:r>
            <w:r w:rsidR="00DD671E">
              <w:rPr>
                <w:lang w:val="fr-CH"/>
              </w:rPr>
              <w:t xml:space="preserve">a </w:t>
            </w:r>
            <w:r w:rsidR="0012690F">
              <w:rPr>
                <w:lang w:val="fr-CH"/>
              </w:rPr>
              <w:t xml:space="preserve">sollicitation </w:t>
            </w:r>
            <w:r>
              <w:rPr>
                <w:lang w:val="fr-CH"/>
              </w:rPr>
              <w:t>de SDA à des fins agricoles ou non agricoles entraîne une dégradation du sol et par conséquent la disparition de leur qualité de SDA</w:t>
            </w:r>
            <w:r w:rsidR="00CA0A0F" w:rsidRPr="00F0226F">
              <w:rPr>
                <w:lang w:val="fr-CH"/>
              </w:rPr>
              <w:t>.</w:t>
            </w:r>
          </w:p>
        </w:tc>
      </w:tr>
      <w:tr w:rsidR="00CA3BE4" w:rsidRPr="008454A6" w14:paraId="62AA5A98" w14:textId="77777777" w:rsidTr="007F2FD4">
        <w:trPr>
          <w:gridAfter w:val="1"/>
          <w:wAfter w:w="8062" w:type="dxa"/>
        </w:trPr>
        <w:tc>
          <w:tcPr>
            <w:tcW w:w="624" w:type="dxa"/>
            <w:shd w:val="clear" w:color="auto" w:fill="D9D9D9" w:themeFill="background1" w:themeFillShade="D9"/>
          </w:tcPr>
          <w:p w14:paraId="1F71590D" w14:textId="0824FE39" w:rsidR="00CA3BE4" w:rsidRPr="00BB4760" w:rsidRDefault="00CA3BE4" w:rsidP="00BB4760">
            <w:pPr>
              <w:pStyle w:val="Listenabsatz"/>
              <w:numPr>
                <w:ilvl w:val="0"/>
                <w:numId w:val="34"/>
              </w:numPr>
              <w:spacing w:before="120"/>
              <w:rPr>
                <w:b/>
                <w:lang w:val="fr-CH"/>
              </w:rPr>
            </w:pPr>
            <w:bookmarkStart w:id="59" w:name="_Ref532981089"/>
          </w:p>
        </w:tc>
        <w:bookmarkEnd w:id="59"/>
        <w:tc>
          <w:tcPr>
            <w:tcW w:w="8448" w:type="dxa"/>
            <w:shd w:val="clear" w:color="auto" w:fill="D9D9D9" w:themeFill="background1" w:themeFillShade="D9"/>
          </w:tcPr>
          <w:p w14:paraId="151F1D06" w14:textId="0C0BC747" w:rsidR="00910499" w:rsidRPr="00F0226F" w:rsidRDefault="004665ED" w:rsidP="007F2FD4">
            <w:pPr>
              <w:spacing w:before="120"/>
              <w:rPr>
                <w:b/>
                <w:bCs/>
                <w:lang w:val="fr-CH"/>
              </w:rPr>
            </w:pPr>
            <w:r>
              <w:rPr>
                <w:b/>
                <w:bCs/>
                <w:lang w:val="fr-CH"/>
              </w:rPr>
              <w:t>Il incombe aux</w:t>
            </w:r>
            <w:r w:rsidR="00753B8F">
              <w:rPr>
                <w:b/>
                <w:bCs/>
                <w:lang w:val="fr-CH"/>
              </w:rPr>
              <w:t xml:space="preserve"> cantons </w:t>
            </w:r>
            <w:r w:rsidR="00F3499B">
              <w:rPr>
                <w:b/>
                <w:bCs/>
                <w:lang w:val="fr-CH"/>
              </w:rPr>
              <w:t>de garan</w:t>
            </w:r>
            <w:r w:rsidR="325E5E49" w:rsidRPr="00F0226F">
              <w:rPr>
                <w:b/>
                <w:bCs/>
                <w:lang w:val="fr-CH"/>
              </w:rPr>
              <w:t>t</w:t>
            </w:r>
            <w:r w:rsidR="00F3499B">
              <w:rPr>
                <w:b/>
                <w:bCs/>
                <w:lang w:val="fr-CH"/>
              </w:rPr>
              <w:t>ir à long terme leur contingent de SDA</w:t>
            </w:r>
            <w:r w:rsidR="325E5E49" w:rsidRPr="00F0226F">
              <w:rPr>
                <w:b/>
                <w:bCs/>
                <w:lang w:val="fr-CH"/>
              </w:rPr>
              <w:t xml:space="preserve">. </w:t>
            </w:r>
            <w:r w:rsidR="00F3499B">
              <w:rPr>
                <w:b/>
                <w:bCs/>
                <w:lang w:val="fr-CH"/>
              </w:rPr>
              <w:t>Ils prennent à cet effet des mesures contraignantes et les mettent en œuvre.</w:t>
            </w:r>
          </w:p>
          <w:p w14:paraId="1E87100B" w14:textId="2EFDE301" w:rsidR="009348B8" w:rsidRPr="00F0226F" w:rsidRDefault="00F3499B" w:rsidP="007F2FD4">
            <w:pPr>
              <w:rPr>
                <w:lang w:val="fr-CH"/>
              </w:rPr>
            </w:pPr>
            <w:r>
              <w:rPr>
                <w:lang w:val="fr-CH"/>
              </w:rPr>
              <w:t>Les cantons indiquent ces mesures dans leur plan directeur can</w:t>
            </w:r>
            <w:r w:rsidR="009348B8" w:rsidRPr="00F0226F">
              <w:rPr>
                <w:lang w:val="fr-CH"/>
              </w:rPr>
              <w:t>t</w:t>
            </w:r>
            <w:r>
              <w:rPr>
                <w:lang w:val="fr-CH"/>
              </w:rPr>
              <w:t>onal</w:t>
            </w:r>
            <w:r w:rsidR="009348B8" w:rsidRPr="00F0226F">
              <w:rPr>
                <w:lang w:val="fr-CH"/>
              </w:rPr>
              <w:t>.</w:t>
            </w:r>
            <w:r w:rsidR="001073CC">
              <w:rPr>
                <w:lang w:val="fr-CH"/>
              </w:rPr>
              <w:t xml:space="preserve"> Toute sollicitation</w:t>
            </w:r>
            <w:r w:rsidR="004665ED">
              <w:rPr>
                <w:lang w:val="fr-CH"/>
              </w:rPr>
              <w:t xml:space="preserve"> de SDA</w:t>
            </w:r>
            <w:r w:rsidR="001073CC">
              <w:rPr>
                <w:lang w:val="fr-CH"/>
              </w:rPr>
              <w:t xml:space="preserve"> doit obligatoirement être compensée si le contingent cantonal </w:t>
            </w:r>
            <w:r w:rsidR="004665ED">
              <w:rPr>
                <w:lang w:val="fr-CH"/>
              </w:rPr>
              <w:t>n’est plus respecté sinon</w:t>
            </w:r>
            <w:r w:rsidR="001073CC">
              <w:rPr>
                <w:lang w:val="fr-CH"/>
              </w:rPr>
              <w:t>.</w:t>
            </w:r>
          </w:p>
          <w:p w14:paraId="0CBC0002" w14:textId="2BCBED3C" w:rsidR="009348B8" w:rsidRPr="00F0226F" w:rsidRDefault="00F3499B" w:rsidP="007F2FD4">
            <w:pPr>
              <w:rPr>
                <w:lang w:val="fr-CH"/>
              </w:rPr>
            </w:pPr>
            <w:r>
              <w:rPr>
                <w:lang w:val="fr-CH"/>
              </w:rPr>
              <w:t xml:space="preserve">Dans l’idéal, la carte du plan directeur indique toutes les SDA répertoriées dans l’inventaire cantonal. </w:t>
            </w:r>
          </w:p>
          <w:p w14:paraId="5A720157" w14:textId="53DCC1CC" w:rsidR="00CA3BE4" w:rsidRPr="00F0226F" w:rsidRDefault="00F175A1" w:rsidP="00A271B2">
            <w:pPr>
              <w:rPr>
                <w:rFonts w:ascii="Times New Roman" w:hAnsi="Times New Roman"/>
                <w:sz w:val="24"/>
                <w:szCs w:val="24"/>
                <w:lang w:val="fr-CH"/>
              </w:rPr>
            </w:pPr>
            <w:r w:rsidRPr="00A271B2">
              <w:rPr>
                <w:lang w:val="fr-CH"/>
              </w:rPr>
              <w:t>Les exigences</w:t>
            </w:r>
            <w:r w:rsidR="009348B8" w:rsidRPr="00A271B2">
              <w:rPr>
                <w:lang w:val="fr-CH"/>
              </w:rPr>
              <w:t xml:space="preserve"> </w:t>
            </w:r>
            <w:r w:rsidRPr="00A271B2">
              <w:rPr>
                <w:lang w:val="fr-CH"/>
              </w:rPr>
              <w:t>prévues à l’a</w:t>
            </w:r>
            <w:r w:rsidR="009348B8" w:rsidRPr="00A271B2">
              <w:rPr>
                <w:lang w:val="fr-CH"/>
              </w:rPr>
              <w:t>rt</w:t>
            </w:r>
            <w:r w:rsidR="00151DBA" w:rsidRPr="00A271B2">
              <w:rPr>
                <w:lang w:val="fr-CH"/>
              </w:rPr>
              <w:t>icle</w:t>
            </w:r>
            <w:r w:rsidR="009348B8" w:rsidRPr="00A271B2">
              <w:rPr>
                <w:lang w:val="fr-CH"/>
              </w:rPr>
              <w:t xml:space="preserve"> 30</w:t>
            </w:r>
            <w:r w:rsidR="00151DBA" w:rsidRPr="00A271B2">
              <w:rPr>
                <w:lang w:val="fr-CH"/>
              </w:rPr>
              <w:t>,</w:t>
            </w:r>
            <w:r w:rsidR="009348B8" w:rsidRPr="00A271B2">
              <w:rPr>
                <w:lang w:val="fr-CH"/>
              </w:rPr>
              <w:t xml:space="preserve"> </w:t>
            </w:r>
            <w:r w:rsidRPr="00A271B2">
              <w:rPr>
                <w:lang w:val="fr-CH"/>
              </w:rPr>
              <w:t>al</w:t>
            </w:r>
            <w:r w:rsidR="00151DBA" w:rsidRPr="00A271B2">
              <w:rPr>
                <w:lang w:val="fr-CH"/>
              </w:rPr>
              <w:t>inéa</w:t>
            </w:r>
            <w:r w:rsidR="009348B8" w:rsidRPr="00A271B2">
              <w:rPr>
                <w:lang w:val="fr-CH"/>
              </w:rPr>
              <w:t xml:space="preserve"> 1</w:t>
            </w:r>
            <w:r w:rsidR="009348B8" w:rsidRPr="00A271B2">
              <w:rPr>
                <w:vertAlign w:val="superscript"/>
                <w:lang w:val="fr-CH"/>
              </w:rPr>
              <w:t>bis</w:t>
            </w:r>
            <w:r w:rsidR="004665ED" w:rsidRPr="00A271B2">
              <w:rPr>
                <w:lang w:val="fr-CH"/>
              </w:rPr>
              <w:t xml:space="preserve">, </w:t>
            </w:r>
            <w:r w:rsidR="00151DBA" w:rsidRPr="00A271B2">
              <w:rPr>
                <w:lang w:val="fr-CH"/>
              </w:rPr>
              <w:t>O</w:t>
            </w:r>
            <w:r w:rsidRPr="00A271B2">
              <w:rPr>
                <w:lang w:val="fr-CH"/>
              </w:rPr>
              <w:t>AT</w:t>
            </w:r>
            <w:r w:rsidR="009348B8" w:rsidRPr="00A271B2">
              <w:rPr>
                <w:lang w:val="fr-CH"/>
              </w:rPr>
              <w:t xml:space="preserve"> </w:t>
            </w:r>
            <w:r w:rsidRPr="00A271B2">
              <w:rPr>
                <w:lang w:val="fr-CH"/>
              </w:rPr>
              <w:t xml:space="preserve">sont applicables à tous les classements </w:t>
            </w:r>
            <w:r w:rsidR="00A271B2" w:rsidRPr="00A271B2">
              <w:rPr>
                <w:lang w:val="fr-CH"/>
              </w:rPr>
              <w:t xml:space="preserve">en zone à bâtir </w:t>
            </w:r>
            <w:r w:rsidRPr="00A271B2">
              <w:rPr>
                <w:lang w:val="fr-CH"/>
              </w:rPr>
              <w:t xml:space="preserve">de SDA </w:t>
            </w:r>
            <w:r w:rsidR="00A271B2" w:rsidRPr="00A271B2">
              <w:rPr>
                <w:lang w:val="fr-CH"/>
              </w:rPr>
              <w:t>inscrites à l’inventaire</w:t>
            </w:r>
            <w:r w:rsidR="004665ED" w:rsidRPr="00A271B2">
              <w:rPr>
                <w:lang w:val="fr-CH"/>
              </w:rPr>
              <w:t>,</w:t>
            </w:r>
            <w:r w:rsidR="009348B8" w:rsidRPr="00A271B2">
              <w:rPr>
                <w:lang w:val="fr-CH"/>
              </w:rPr>
              <w:t xml:space="preserve"> </w:t>
            </w:r>
            <w:r w:rsidR="004665ED" w:rsidRPr="00A271B2">
              <w:rPr>
                <w:lang w:val="fr-CH"/>
              </w:rPr>
              <w:t xml:space="preserve">qu’elles soient </w:t>
            </w:r>
            <w:r w:rsidR="00A271B2" w:rsidRPr="00A271B2">
              <w:rPr>
                <w:lang w:val="fr-CH"/>
              </w:rPr>
              <w:t>représentées</w:t>
            </w:r>
            <w:r w:rsidRPr="00A271B2">
              <w:rPr>
                <w:lang w:val="fr-CH"/>
              </w:rPr>
              <w:t xml:space="preserve"> ou non dans la carte du plan directeur</w:t>
            </w:r>
            <w:r w:rsidR="009348B8" w:rsidRPr="00A271B2">
              <w:rPr>
                <w:sz w:val="19"/>
                <w:szCs w:val="19"/>
                <w:lang w:val="fr-CH"/>
              </w:rPr>
              <w:t>.</w:t>
            </w:r>
          </w:p>
        </w:tc>
      </w:tr>
      <w:tr w:rsidR="00E60DC6" w:rsidRPr="008454A6" w14:paraId="37C2EE96" w14:textId="77777777" w:rsidTr="007F2FD4">
        <w:trPr>
          <w:gridAfter w:val="1"/>
          <w:wAfter w:w="8062" w:type="dxa"/>
        </w:trPr>
        <w:tc>
          <w:tcPr>
            <w:tcW w:w="624" w:type="dxa"/>
            <w:shd w:val="clear" w:color="auto" w:fill="D9D9D9" w:themeFill="background1" w:themeFillShade="D9"/>
          </w:tcPr>
          <w:p w14:paraId="6B3EB306" w14:textId="35941CE7" w:rsidR="00E60DC6" w:rsidRPr="00BB4760" w:rsidRDefault="00E60DC6" w:rsidP="00BB4760">
            <w:pPr>
              <w:pStyle w:val="Listenabsatz"/>
              <w:numPr>
                <w:ilvl w:val="0"/>
                <w:numId w:val="34"/>
              </w:numPr>
              <w:rPr>
                <w:b/>
                <w:lang w:val="fr-CH"/>
              </w:rPr>
            </w:pPr>
            <w:bookmarkStart w:id="60" w:name="_Ref520123443"/>
          </w:p>
        </w:tc>
        <w:bookmarkEnd w:id="60"/>
        <w:tc>
          <w:tcPr>
            <w:tcW w:w="8448" w:type="dxa"/>
            <w:shd w:val="clear" w:color="auto" w:fill="D9D9D9" w:themeFill="background1" w:themeFillShade="D9"/>
          </w:tcPr>
          <w:p w14:paraId="5F66D627" w14:textId="7649025D" w:rsidR="00E60DC6" w:rsidRPr="00F0226F" w:rsidRDefault="004665ED" w:rsidP="007F2FD4">
            <w:pPr>
              <w:rPr>
                <w:b/>
                <w:bCs/>
                <w:lang w:val="fr-CH"/>
              </w:rPr>
            </w:pPr>
            <w:r>
              <w:rPr>
                <w:b/>
                <w:bCs/>
                <w:lang w:val="fr-CH"/>
              </w:rPr>
              <w:t>Les</w:t>
            </w:r>
            <w:r w:rsidR="00F175A1">
              <w:rPr>
                <w:b/>
                <w:bCs/>
                <w:lang w:val="fr-CH"/>
              </w:rPr>
              <w:t xml:space="preserve"> SDA </w:t>
            </w:r>
            <w:r>
              <w:rPr>
                <w:b/>
                <w:bCs/>
                <w:lang w:val="fr-CH"/>
              </w:rPr>
              <w:t>doivent être exploitées de manière à</w:t>
            </w:r>
            <w:r w:rsidR="00F175A1">
              <w:rPr>
                <w:b/>
                <w:bCs/>
                <w:lang w:val="fr-CH"/>
              </w:rPr>
              <w:t xml:space="preserve"> préserver durablement la qualité des sols</w:t>
            </w:r>
            <w:r w:rsidR="325E5E49" w:rsidRPr="00F0226F">
              <w:rPr>
                <w:b/>
                <w:bCs/>
                <w:lang w:val="fr-CH"/>
              </w:rPr>
              <w:t xml:space="preserve">. </w:t>
            </w:r>
          </w:p>
          <w:p w14:paraId="07328271" w14:textId="5E05AC39" w:rsidR="00E60DC6" w:rsidRPr="00F0226F" w:rsidRDefault="00F175A1" w:rsidP="007F2FD4">
            <w:pPr>
              <w:rPr>
                <w:lang w:val="fr-CH"/>
              </w:rPr>
            </w:pPr>
            <w:r>
              <w:rPr>
                <w:lang w:val="fr-CH" w:eastAsia="en-US"/>
              </w:rPr>
              <w:t>Pour garantir cette préservation, il importe notamment d’appliquer de manière conséquente les prescriptions en vigueur sur la protection des sols</w:t>
            </w:r>
            <w:r w:rsidR="3120AD34" w:rsidRPr="00F0226F">
              <w:rPr>
                <w:lang w:val="fr-CH"/>
              </w:rPr>
              <w:t xml:space="preserve">. </w:t>
            </w:r>
            <w:r>
              <w:rPr>
                <w:lang w:val="fr-CH"/>
              </w:rPr>
              <w:t xml:space="preserve">Il s’agit </w:t>
            </w:r>
            <w:r w:rsidR="00B94E8B">
              <w:rPr>
                <w:lang w:val="fr-CH"/>
              </w:rPr>
              <w:t xml:space="preserve">en premier lieu </w:t>
            </w:r>
            <w:r>
              <w:rPr>
                <w:lang w:val="fr-CH"/>
              </w:rPr>
              <w:t xml:space="preserve">des dispositions de l’ordonnance </w:t>
            </w:r>
            <w:r w:rsidR="00151DBA">
              <w:rPr>
                <w:lang w:val="fr-CH"/>
              </w:rPr>
              <w:t>du 1</w:t>
            </w:r>
            <w:r w:rsidR="00151DBA" w:rsidRPr="00E821AA">
              <w:rPr>
                <w:vertAlign w:val="superscript"/>
                <w:lang w:val="fr-CH"/>
              </w:rPr>
              <w:t>er</w:t>
            </w:r>
            <w:r w:rsidR="00151DBA">
              <w:rPr>
                <w:lang w:val="fr-CH"/>
              </w:rPr>
              <w:t xml:space="preserve"> juillet 1998 </w:t>
            </w:r>
            <w:r>
              <w:rPr>
                <w:lang w:val="fr-CH"/>
              </w:rPr>
              <w:t>sur les atteintes portées au sol (OSol</w:t>
            </w:r>
            <w:r w:rsidR="00151DBA">
              <w:rPr>
                <w:lang w:val="fr-CH"/>
              </w:rPr>
              <w:t> ; RS 814.12</w:t>
            </w:r>
            <w:r>
              <w:rPr>
                <w:lang w:val="fr-CH"/>
              </w:rPr>
              <w:t xml:space="preserve">) et </w:t>
            </w:r>
            <w:r>
              <w:rPr>
                <w:lang w:val="fr-CH" w:eastAsia="en-US"/>
              </w:rPr>
              <w:t xml:space="preserve">de celles sur les prestations écologiques requises de l’ordonnance </w:t>
            </w:r>
            <w:r w:rsidR="00151DBA">
              <w:rPr>
                <w:lang w:val="fr-CH" w:eastAsia="en-US"/>
              </w:rPr>
              <w:t xml:space="preserve">du 23 octobre 2013 </w:t>
            </w:r>
            <w:r>
              <w:rPr>
                <w:lang w:val="fr-CH" w:eastAsia="en-US"/>
              </w:rPr>
              <w:t>sur les paiements directs</w:t>
            </w:r>
            <w:r w:rsidR="3120AD34" w:rsidRPr="00F0226F">
              <w:rPr>
                <w:lang w:val="fr-CH" w:eastAsia="en-US"/>
              </w:rPr>
              <w:t xml:space="preserve"> (</w:t>
            </w:r>
            <w:r>
              <w:rPr>
                <w:lang w:val="fr-CH" w:eastAsia="en-US"/>
              </w:rPr>
              <w:t>OPD</w:t>
            </w:r>
            <w:r w:rsidR="00151DBA">
              <w:rPr>
                <w:lang w:val="fr-CH" w:eastAsia="en-US"/>
              </w:rPr>
              <w:t> ; RS 910.13</w:t>
            </w:r>
            <w:r w:rsidR="3120AD34" w:rsidRPr="00F0226F">
              <w:rPr>
                <w:lang w:val="fr-CH" w:eastAsia="en-US"/>
              </w:rPr>
              <w:t>).</w:t>
            </w:r>
          </w:p>
        </w:tc>
      </w:tr>
      <w:tr w:rsidR="00114C22" w:rsidRPr="008454A6" w14:paraId="7AF6C94D" w14:textId="77777777" w:rsidTr="007F2FD4">
        <w:trPr>
          <w:gridAfter w:val="1"/>
          <w:wAfter w:w="8062" w:type="dxa"/>
        </w:trPr>
        <w:tc>
          <w:tcPr>
            <w:tcW w:w="9072" w:type="dxa"/>
            <w:gridSpan w:val="2"/>
            <w:shd w:val="clear" w:color="auto" w:fill="A6A6A6" w:themeFill="background1" w:themeFillShade="A6"/>
          </w:tcPr>
          <w:p w14:paraId="34995FA3" w14:textId="617EEEA5" w:rsidR="00114C22" w:rsidRDefault="00114C22" w:rsidP="007F2FD4">
            <w:pPr>
              <w:spacing w:before="120"/>
              <w:jc w:val="center"/>
              <w:rPr>
                <w:b/>
                <w:bCs/>
                <w:lang w:val="fr-CH"/>
              </w:rPr>
            </w:pPr>
            <w:r w:rsidRPr="00F0226F">
              <w:rPr>
                <w:b/>
                <w:bCs/>
                <w:lang w:val="fr-CH"/>
              </w:rPr>
              <w:t>Inventa</w:t>
            </w:r>
            <w:r>
              <w:rPr>
                <w:b/>
                <w:bCs/>
                <w:lang w:val="fr-CH"/>
              </w:rPr>
              <w:t>ires des SDA, relevés et critères de qualité des SDA</w:t>
            </w:r>
          </w:p>
        </w:tc>
      </w:tr>
      <w:tr w:rsidR="0062030D" w:rsidRPr="008454A6" w14:paraId="4809DC40" w14:textId="77777777" w:rsidTr="007F2FD4">
        <w:trPr>
          <w:gridAfter w:val="1"/>
          <w:wAfter w:w="8062" w:type="dxa"/>
        </w:trPr>
        <w:tc>
          <w:tcPr>
            <w:tcW w:w="624" w:type="dxa"/>
            <w:shd w:val="clear" w:color="auto" w:fill="D9D9D9" w:themeFill="background1" w:themeFillShade="D9"/>
          </w:tcPr>
          <w:p w14:paraId="31D7D4EC" w14:textId="2D52B2B6" w:rsidR="0035368E" w:rsidRPr="00BB4760" w:rsidRDefault="0035368E" w:rsidP="00BB4760">
            <w:pPr>
              <w:pStyle w:val="Listenabsatz"/>
              <w:numPr>
                <w:ilvl w:val="0"/>
                <w:numId w:val="34"/>
              </w:numPr>
              <w:spacing w:before="120"/>
              <w:rPr>
                <w:b/>
                <w:lang w:val="fr-CH"/>
              </w:rPr>
            </w:pPr>
            <w:bookmarkStart w:id="61" w:name="_Ref525227301"/>
          </w:p>
        </w:tc>
        <w:bookmarkEnd w:id="61"/>
        <w:tc>
          <w:tcPr>
            <w:tcW w:w="8448" w:type="dxa"/>
            <w:shd w:val="clear" w:color="auto" w:fill="D9D9D9" w:themeFill="background1" w:themeFillShade="D9"/>
          </w:tcPr>
          <w:p w14:paraId="5EC9E05D" w14:textId="3EA87940" w:rsidR="007A2A9A" w:rsidRPr="00F0226F" w:rsidRDefault="00292AEF" w:rsidP="007F2FD4">
            <w:pPr>
              <w:spacing w:before="120"/>
              <w:rPr>
                <w:b/>
                <w:bCs/>
                <w:lang w:val="fr-CH"/>
              </w:rPr>
            </w:pPr>
            <w:r>
              <w:rPr>
                <w:b/>
                <w:bCs/>
                <w:lang w:val="fr-CH"/>
              </w:rPr>
              <w:t>Les cantons sont tenus de répertorier dans leur inventaire des SDA tous les sols de qualité SDA</w:t>
            </w:r>
            <w:r w:rsidR="325E5E49" w:rsidRPr="00F0226F">
              <w:rPr>
                <w:b/>
                <w:bCs/>
                <w:lang w:val="fr-CH"/>
              </w:rPr>
              <w:t xml:space="preserve">. </w:t>
            </w:r>
          </w:p>
          <w:p w14:paraId="40102FE3" w14:textId="344B0C3C" w:rsidR="00AC78E5" w:rsidRPr="00F0226F" w:rsidRDefault="00292AEF" w:rsidP="007F2FD4">
            <w:pPr>
              <w:spacing w:before="120"/>
              <w:rPr>
                <w:highlight w:val="yellow"/>
                <w:lang w:val="fr-CH"/>
              </w:rPr>
            </w:pPr>
            <w:r>
              <w:rPr>
                <w:lang w:val="fr-CH"/>
              </w:rPr>
              <w:t>Le relevé des SDA est effectué sur l’ensemble du territoire cantonal</w:t>
            </w:r>
            <w:r w:rsidR="00520B35" w:rsidRPr="00F0226F">
              <w:rPr>
                <w:lang w:val="fr-CH"/>
              </w:rPr>
              <w:t xml:space="preserve">. </w:t>
            </w:r>
            <w:r>
              <w:rPr>
                <w:lang w:val="fr-CH"/>
              </w:rPr>
              <w:t xml:space="preserve">Les sols revalorisés ou réhabilités qui remplissent les critères de qualité SDA doivent </w:t>
            </w:r>
            <w:r w:rsidR="00151DBA">
              <w:rPr>
                <w:lang w:val="fr-CH"/>
              </w:rPr>
              <w:t xml:space="preserve">également </w:t>
            </w:r>
            <w:r>
              <w:rPr>
                <w:lang w:val="fr-CH"/>
              </w:rPr>
              <w:t>être inventoriés</w:t>
            </w:r>
            <w:r w:rsidR="00520B35" w:rsidRPr="00F0226F">
              <w:rPr>
                <w:lang w:val="fr-CH"/>
              </w:rPr>
              <w:t xml:space="preserve">. </w:t>
            </w:r>
          </w:p>
        </w:tc>
      </w:tr>
      <w:tr w:rsidR="008748C0" w:rsidRPr="008454A6" w14:paraId="1B24217A" w14:textId="77777777" w:rsidTr="007F2FD4">
        <w:trPr>
          <w:gridAfter w:val="1"/>
          <w:wAfter w:w="8062" w:type="dxa"/>
        </w:trPr>
        <w:tc>
          <w:tcPr>
            <w:tcW w:w="624" w:type="dxa"/>
            <w:shd w:val="clear" w:color="auto" w:fill="D9D9D9" w:themeFill="background1" w:themeFillShade="D9"/>
          </w:tcPr>
          <w:p w14:paraId="76E3F876" w14:textId="589EBF04" w:rsidR="008748C0" w:rsidRPr="00BB4760" w:rsidRDefault="008748C0" w:rsidP="00BB4760">
            <w:pPr>
              <w:pStyle w:val="Listenabsatz"/>
              <w:numPr>
                <w:ilvl w:val="0"/>
                <w:numId w:val="34"/>
              </w:numPr>
              <w:rPr>
                <w:b/>
                <w:lang w:val="fr-CH"/>
              </w:rPr>
            </w:pPr>
            <w:bookmarkStart w:id="62" w:name="_Ref525658814"/>
          </w:p>
        </w:tc>
        <w:bookmarkEnd w:id="62"/>
        <w:tc>
          <w:tcPr>
            <w:tcW w:w="8448" w:type="dxa"/>
            <w:shd w:val="clear" w:color="auto" w:fill="D9D9D9" w:themeFill="background1" w:themeFillShade="D9"/>
          </w:tcPr>
          <w:p w14:paraId="22BFB6D0" w14:textId="29A93AFF" w:rsidR="008748C0" w:rsidRPr="00F0226F" w:rsidRDefault="00292AEF" w:rsidP="007F2FD4">
            <w:pPr>
              <w:rPr>
                <w:b/>
                <w:bCs/>
                <w:lang w:val="fr-CH"/>
              </w:rPr>
            </w:pPr>
            <w:r>
              <w:rPr>
                <w:b/>
                <w:bCs/>
                <w:lang w:val="fr-CH"/>
              </w:rPr>
              <w:t xml:space="preserve">Les </w:t>
            </w:r>
            <w:r w:rsidR="00151DBA">
              <w:rPr>
                <w:b/>
                <w:bCs/>
                <w:lang w:val="fr-CH"/>
              </w:rPr>
              <w:t xml:space="preserve">inventaires des </w:t>
            </w:r>
            <w:r>
              <w:rPr>
                <w:b/>
                <w:bCs/>
                <w:lang w:val="fr-CH"/>
              </w:rPr>
              <w:t>SDA</w:t>
            </w:r>
            <w:r w:rsidR="00482E0A">
              <w:rPr>
                <w:b/>
                <w:bCs/>
                <w:lang w:val="fr-CH"/>
              </w:rPr>
              <w:t xml:space="preserve"> doivent être </w:t>
            </w:r>
            <w:r w:rsidR="004665ED">
              <w:rPr>
                <w:b/>
                <w:bCs/>
                <w:lang w:val="fr-CH"/>
              </w:rPr>
              <w:t xml:space="preserve">établis </w:t>
            </w:r>
            <w:r w:rsidR="00151DBA">
              <w:rPr>
                <w:b/>
                <w:bCs/>
                <w:lang w:val="fr-CH"/>
              </w:rPr>
              <w:t xml:space="preserve">et épurés </w:t>
            </w:r>
            <w:r w:rsidR="00482E0A">
              <w:rPr>
                <w:b/>
                <w:bCs/>
                <w:lang w:val="fr-CH"/>
              </w:rPr>
              <w:t>sur la base de données pédologiques fiables</w:t>
            </w:r>
            <w:r w:rsidR="325E5E49" w:rsidRPr="00F0226F">
              <w:rPr>
                <w:b/>
                <w:bCs/>
                <w:lang w:val="fr-CH"/>
              </w:rPr>
              <w:t xml:space="preserve">. </w:t>
            </w:r>
          </w:p>
          <w:p w14:paraId="2FD50B6D" w14:textId="4862A540" w:rsidR="008748C0" w:rsidRPr="00F0226F" w:rsidRDefault="00482E0A" w:rsidP="007F2FD4">
            <w:pPr>
              <w:rPr>
                <w:lang w:val="fr-CH"/>
              </w:rPr>
            </w:pPr>
            <w:r>
              <w:rPr>
                <w:lang w:val="fr-CH"/>
              </w:rPr>
              <w:t xml:space="preserve">Les nouveaux relevés de données pédologiques pour l’inventaire des SDA seront effectués pour le moins selon la méthode standard de cartographie </w:t>
            </w:r>
            <w:r w:rsidR="008748C0" w:rsidRPr="00F0226F">
              <w:rPr>
                <w:lang w:val="fr-CH"/>
              </w:rPr>
              <w:t>FAL</w:t>
            </w:r>
            <w:r w:rsidR="003F56A1" w:rsidRPr="00F0226F">
              <w:rPr>
                <w:lang w:val="fr-CH"/>
              </w:rPr>
              <w:t> </w:t>
            </w:r>
            <w:r w:rsidR="008748C0" w:rsidRPr="00F0226F">
              <w:rPr>
                <w:lang w:val="fr-CH"/>
              </w:rPr>
              <w:t>24</w:t>
            </w:r>
            <w:r w:rsidR="3120AD34" w:rsidRPr="00F0226F">
              <w:rPr>
                <w:lang w:val="fr-CH"/>
              </w:rPr>
              <w:t xml:space="preserve">+. </w:t>
            </w:r>
          </w:p>
        </w:tc>
      </w:tr>
      <w:tr w:rsidR="00376500" w:rsidRPr="008454A6" w14:paraId="72C70D1D" w14:textId="77777777" w:rsidTr="00376500">
        <w:trPr>
          <w:gridAfter w:val="1"/>
          <w:wAfter w:w="8062" w:type="dxa"/>
        </w:trPr>
        <w:tc>
          <w:tcPr>
            <w:tcW w:w="624" w:type="dxa"/>
            <w:shd w:val="clear" w:color="auto" w:fill="auto"/>
          </w:tcPr>
          <w:p w14:paraId="6B879CB9" w14:textId="77777777" w:rsidR="00376500" w:rsidRPr="00BB4760" w:rsidRDefault="00376500" w:rsidP="00376500">
            <w:pPr>
              <w:pStyle w:val="Listenabsatz"/>
              <w:ind w:left="360"/>
              <w:rPr>
                <w:b/>
                <w:lang w:val="fr-CH"/>
              </w:rPr>
            </w:pPr>
          </w:p>
        </w:tc>
        <w:tc>
          <w:tcPr>
            <w:tcW w:w="8448" w:type="dxa"/>
            <w:shd w:val="clear" w:color="auto" w:fill="auto"/>
          </w:tcPr>
          <w:p w14:paraId="4C945D2B" w14:textId="77777777" w:rsidR="00376500" w:rsidRDefault="00376500" w:rsidP="007F2FD4">
            <w:pPr>
              <w:rPr>
                <w:b/>
                <w:bCs/>
                <w:lang w:val="fr-CH"/>
              </w:rPr>
            </w:pPr>
          </w:p>
        </w:tc>
      </w:tr>
      <w:tr w:rsidR="00376500" w:rsidRPr="008454A6" w14:paraId="7EA1E72F" w14:textId="77777777" w:rsidTr="00376500">
        <w:trPr>
          <w:gridAfter w:val="1"/>
          <w:wAfter w:w="8062" w:type="dxa"/>
        </w:trPr>
        <w:tc>
          <w:tcPr>
            <w:tcW w:w="624" w:type="dxa"/>
            <w:shd w:val="clear" w:color="auto" w:fill="auto"/>
          </w:tcPr>
          <w:p w14:paraId="130DD4AB" w14:textId="77777777" w:rsidR="00376500" w:rsidRPr="00BB4760" w:rsidRDefault="00376500" w:rsidP="00376500">
            <w:pPr>
              <w:pStyle w:val="Listenabsatz"/>
              <w:ind w:left="360"/>
              <w:rPr>
                <w:b/>
                <w:lang w:val="fr-CH"/>
              </w:rPr>
            </w:pPr>
          </w:p>
        </w:tc>
        <w:tc>
          <w:tcPr>
            <w:tcW w:w="8448" w:type="dxa"/>
            <w:shd w:val="clear" w:color="auto" w:fill="auto"/>
          </w:tcPr>
          <w:p w14:paraId="14A4501B" w14:textId="77777777" w:rsidR="00376500" w:rsidRDefault="00376500" w:rsidP="007F2FD4">
            <w:pPr>
              <w:rPr>
                <w:b/>
                <w:bCs/>
                <w:lang w:val="fr-CH"/>
              </w:rPr>
            </w:pPr>
          </w:p>
        </w:tc>
      </w:tr>
      <w:tr w:rsidR="0062030D" w:rsidRPr="008454A6" w14:paraId="48FD2C9C" w14:textId="1E5D5E29" w:rsidTr="007F2FD4">
        <w:tc>
          <w:tcPr>
            <w:tcW w:w="624" w:type="dxa"/>
            <w:shd w:val="clear" w:color="auto" w:fill="D9D9D9" w:themeFill="background1" w:themeFillShade="D9"/>
          </w:tcPr>
          <w:p w14:paraId="2EB68F93" w14:textId="2E77D7C8" w:rsidR="00052635" w:rsidRPr="00BB4760" w:rsidRDefault="00052635" w:rsidP="00BB4760">
            <w:pPr>
              <w:pStyle w:val="Listenabsatz"/>
              <w:numPr>
                <w:ilvl w:val="0"/>
                <w:numId w:val="34"/>
              </w:numPr>
              <w:rPr>
                <w:b/>
                <w:lang w:val="fr-CH"/>
              </w:rPr>
            </w:pPr>
            <w:bookmarkStart w:id="63" w:name="_Ref520123456"/>
          </w:p>
        </w:tc>
        <w:bookmarkEnd w:id="63"/>
        <w:tc>
          <w:tcPr>
            <w:tcW w:w="8448" w:type="dxa"/>
            <w:shd w:val="clear" w:color="auto" w:fill="D9D9D9" w:themeFill="background1" w:themeFillShade="D9"/>
          </w:tcPr>
          <w:p w14:paraId="28DF8B58" w14:textId="71987370" w:rsidR="00B87249" w:rsidRPr="00F0226F" w:rsidRDefault="00246812" w:rsidP="007F2FD4">
            <w:pPr>
              <w:rPr>
                <w:b/>
                <w:bCs/>
                <w:lang w:val="fr-CH"/>
              </w:rPr>
            </w:pPr>
            <w:r>
              <w:rPr>
                <w:b/>
                <w:bCs/>
                <w:lang w:val="fr-CH"/>
              </w:rPr>
              <w:t>Les</w:t>
            </w:r>
            <w:r w:rsidR="00482E0A">
              <w:rPr>
                <w:b/>
                <w:bCs/>
                <w:lang w:val="fr-CH"/>
              </w:rPr>
              <w:t xml:space="preserve"> </w:t>
            </w:r>
            <w:r w:rsidR="0018241A">
              <w:rPr>
                <w:b/>
                <w:bCs/>
                <w:lang w:val="fr-CH"/>
              </w:rPr>
              <w:t xml:space="preserve">sols qui seront intégrés à l’inventaire après de </w:t>
            </w:r>
            <w:r w:rsidR="00482E0A">
              <w:rPr>
                <w:b/>
                <w:bCs/>
                <w:lang w:val="fr-CH"/>
              </w:rPr>
              <w:t>nouveaux relevés</w:t>
            </w:r>
            <w:r w:rsidR="0018241A">
              <w:rPr>
                <w:b/>
                <w:bCs/>
                <w:lang w:val="fr-CH"/>
              </w:rPr>
              <w:t xml:space="preserve">, </w:t>
            </w:r>
            <w:r w:rsidR="00721488">
              <w:rPr>
                <w:b/>
                <w:bCs/>
                <w:lang w:val="fr-CH"/>
              </w:rPr>
              <w:t xml:space="preserve">une </w:t>
            </w:r>
            <w:r w:rsidR="00482E0A">
              <w:rPr>
                <w:b/>
                <w:bCs/>
                <w:lang w:val="fr-CH"/>
              </w:rPr>
              <w:t xml:space="preserve">revalorisation </w:t>
            </w:r>
            <w:r w:rsidR="0018241A">
              <w:rPr>
                <w:b/>
                <w:bCs/>
                <w:lang w:val="fr-CH"/>
              </w:rPr>
              <w:t xml:space="preserve">ou </w:t>
            </w:r>
            <w:r w:rsidR="00721488">
              <w:rPr>
                <w:b/>
                <w:bCs/>
                <w:lang w:val="fr-CH"/>
              </w:rPr>
              <w:t xml:space="preserve">une </w:t>
            </w:r>
            <w:r w:rsidR="00482E0A">
              <w:rPr>
                <w:b/>
                <w:bCs/>
                <w:lang w:val="fr-CH"/>
              </w:rPr>
              <w:t>réhabilitation</w:t>
            </w:r>
            <w:r>
              <w:rPr>
                <w:b/>
                <w:bCs/>
                <w:lang w:val="fr-CH"/>
              </w:rPr>
              <w:t xml:space="preserve"> doivent remplir les cri</w:t>
            </w:r>
            <w:r w:rsidR="00511CDD">
              <w:rPr>
                <w:b/>
                <w:bCs/>
                <w:lang w:val="fr-CH"/>
              </w:rPr>
              <w:t>t</w:t>
            </w:r>
            <w:r>
              <w:rPr>
                <w:b/>
                <w:bCs/>
                <w:lang w:val="fr-CH"/>
              </w:rPr>
              <w:t>ères de qualité prescrits par la Confédération</w:t>
            </w:r>
            <w:r w:rsidR="325E5E49" w:rsidRPr="00F0226F">
              <w:rPr>
                <w:b/>
                <w:bCs/>
                <w:lang w:val="fr-CH"/>
              </w:rPr>
              <w:t>.</w:t>
            </w:r>
          </w:p>
          <w:p w14:paraId="22F18A9C" w14:textId="5FE72486" w:rsidR="00B87249" w:rsidRPr="00F0226F" w:rsidRDefault="00DB1923" w:rsidP="007F2FD4">
            <w:pPr>
              <w:spacing w:before="120"/>
              <w:rPr>
                <w:lang w:val="fr-CH"/>
              </w:rPr>
            </w:pPr>
            <w:r>
              <w:rPr>
                <w:lang w:val="fr-CH"/>
              </w:rPr>
              <w:t>Les critères pris en compte sont : la zone climatique, la pente,</w:t>
            </w:r>
            <w:r w:rsidR="3120AD34" w:rsidRPr="00F0226F">
              <w:rPr>
                <w:lang w:val="fr-CH"/>
              </w:rPr>
              <w:t xml:space="preserve"> </w:t>
            </w:r>
            <w:r w:rsidR="00482E0A">
              <w:rPr>
                <w:lang w:val="fr-CH"/>
              </w:rPr>
              <w:t>la profondeur utile pour les plantes</w:t>
            </w:r>
            <w:r w:rsidR="3120AD34" w:rsidRPr="00F0226F">
              <w:rPr>
                <w:lang w:val="fr-CH"/>
              </w:rPr>
              <w:t xml:space="preserve">, </w:t>
            </w:r>
            <w:r>
              <w:rPr>
                <w:lang w:val="fr-CH"/>
              </w:rPr>
              <w:t>la masse volumique</w:t>
            </w:r>
            <w:r w:rsidR="3120AD34" w:rsidRPr="00F0226F">
              <w:rPr>
                <w:lang w:val="fr-CH"/>
              </w:rPr>
              <w:t xml:space="preserve"> </w:t>
            </w:r>
            <w:r>
              <w:rPr>
                <w:lang w:val="fr-CH"/>
              </w:rPr>
              <w:t>apparente effective</w:t>
            </w:r>
            <w:r w:rsidR="3120AD34" w:rsidRPr="00F0226F">
              <w:rPr>
                <w:lang w:val="fr-CH"/>
              </w:rPr>
              <w:t xml:space="preserve">, </w:t>
            </w:r>
            <w:r>
              <w:rPr>
                <w:lang w:val="fr-CH"/>
              </w:rPr>
              <w:t>les polluants selon l’OSol et la superficie d’un seul tenant</w:t>
            </w:r>
            <w:r w:rsidR="3120AD34" w:rsidRPr="00F0226F">
              <w:rPr>
                <w:lang w:val="fr-CH"/>
              </w:rPr>
              <w:t>.</w:t>
            </w:r>
          </w:p>
          <w:p w14:paraId="2CAECD0D" w14:textId="02675326" w:rsidR="00052635" w:rsidRPr="00F0226F" w:rsidRDefault="00DB1923" w:rsidP="007F2FD4">
            <w:pPr>
              <w:spacing w:before="120"/>
              <w:rPr>
                <w:lang w:val="fr-CH"/>
              </w:rPr>
            </w:pPr>
            <w:r>
              <w:rPr>
                <w:lang w:val="fr-CH"/>
              </w:rPr>
              <w:t>Il convient, pour les revalorisations ou les réhabilitations, de procéder au bout de quatre ans à un réexamen des surfaces à la lumière de ces critères de qualité</w:t>
            </w:r>
            <w:r w:rsidR="325E5E49" w:rsidRPr="00F0226F">
              <w:rPr>
                <w:lang w:val="fr-CH"/>
              </w:rPr>
              <w:t xml:space="preserve">. </w:t>
            </w:r>
            <w:r>
              <w:rPr>
                <w:lang w:val="fr-CH"/>
              </w:rPr>
              <w:t>Si les critères sont remplis, ces surfaces seront comptabilisées dans les inventaire</w:t>
            </w:r>
            <w:r w:rsidR="0018241A">
              <w:rPr>
                <w:lang w:val="fr-CH"/>
              </w:rPr>
              <w:t>s de SDA</w:t>
            </w:r>
            <w:r>
              <w:rPr>
                <w:lang w:val="fr-CH"/>
              </w:rPr>
              <w:t xml:space="preserve">. </w:t>
            </w:r>
          </w:p>
        </w:tc>
        <w:tc>
          <w:tcPr>
            <w:tcW w:w="8062" w:type="dxa"/>
          </w:tcPr>
          <w:p w14:paraId="7EF21DB0" w14:textId="47BB5F36" w:rsidR="00052635" w:rsidRPr="00F0226F" w:rsidRDefault="00052635" w:rsidP="007F2FD4">
            <w:pPr>
              <w:spacing w:after="160" w:line="259" w:lineRule="auto"/>
              <w:rPr>
                <w:lang w:val="fr-CH"/>
              </w:rPr>
            </w:pPr>
          </w:p>
        </w:tc>
      </w:tr>
      <w:tr w:rsidR="0062030D" w:rsidRPr="008454A6" w14:paraId="4D230E41" w14:textId="77777777" w:rsidTr="007F2FD4">
        <w:trPr>
          <w:gridAfter w:val="1"/>
          <w:wAfter w:w="8062" w:type="dxa"/>
        </w:trPr>
        <w:tc>
          <w:tcPr>
            <w:tcW w:w="624" w:type="dxa"/>
            <w:shd w:val="clear" w:color="auto" w:fill="D9D9D9" w:themeFill="background1" w:themeFillShade="D9"/>
          </w:tcPr>
          <w:p w14:paraId="25D62A67" w14:textId="3CAB94BF" w:rsidR="00052635" w:rsidRPr="00BB4760" w:rsidRDefault="00052635" w:rsidP="00BB4760">
            <w:pPr>
              <w:pStyle w:val="Listenabsatz"/>
              <w:numPr>
                <w:ilvl w:val="0"/>
                <w:numId w:val="34"/>
              </w:numPr>
              <w:rPr>
                <w:b/>
                <w:lang w:val="fr-CH"/>
              </w:rPr>
            </w:pPr>
            <w:bookmarkStart w:id="64" w:name="_Ref532981133"/>
          </w:p>
        </w:tc>
        <w:bookmarkEnd w:id="64"/>
        <w:tc>
          <w:tcPr>
            <w:tcW w:w="8448" w:type="dxa"/>
            <w:shd w:val="clear" w:color="auto" w:fill="D9D9D9" w:themeFill="background1" w:themeFillShade="D9"/>
          </w:tcPr>
          <w:p w14:paraId="1FF320BF" w14:textId="28BA20F0" w:rsidR="00052635" w:rsidRPr="00F0226F" w:rsidRDefault="00DD671E" w:rsidP="007F2FD4">
            <w:pPr>
              <w:rPr>
                <w:b/>
                <w:bCs/>
                <w:lang w:val="fr-CH"/>
              </w:rPr>
            </w:pPr>
            <w:r>
              <w:rPr>
                <w:b/>
                <w:bCs/>
                <w:lang w:val="fr-CH"/>
              </w:rPr>
              <w:t xml:space="preserve">Les cantons désignent les sols qui entrent ligne de compte pour une revalorisation ou une réhabilitation. </w:t>
            </w:r>
          </w:p>
          <w:p w14:paraId="24257C6C" w14:textId="59057D54" w:rsidR="00052635" w:rsidRPr="00F0226F" w:rsidRDefault="00DD671E" w:rsidP="00DF7A47">
            <w:pPr>
              <w:rPr>
                <w:b/>
                <w:bCs/>
                <w:lang w:val="fr-CH"/>
              </w:rPr>
            </w:pPr>
            <w:r>
              <w:rPr>
                <w:lang w:val="fr-CH"/>
              </w:rPr>
              <w:t xml:space="preserve">Dans un délai de trois ans à compter de l’adoption du </w:t>
            </w:r>
            <w:r w:rsidR="00DF7A47">
              <w:rPr>
                <w:lang w:val="fr-CH"/>
              </w:rPr>
              <w:t>P</w:t>
            </w:r>
            <w:r>
              <w:rPr>
                <w:lang w:val="fr-CH"/>
              </w:rPr>
              <w:t xml:space="preserve">lan sectoriel, les cantons établissent une carte indicative </w:t>
            </w:r>
            <w:r w:rsidR="00721488">
              <w:rPr>
                <w:lang w:val="fr-CH"/>
              </w:rPr>
              <w:t xml:space="preserve">sur laquelle figurent </w:t>
            </w:r>
            <w:r>
              <w:rPr>
                <w:lang w:val="fr-CH"/>
              </w:rPr>
              <w:t xml:space="preserve">les informations </w:t>
            </w:r>
            <w:r w:rsidR="00721488">
              <w:rPr>
                <w:lang w:val="fr-CH"/>
              </w:rPr>
              <w:t>nécessaires</w:t>
            </w:r>
            <w:r w:rsidR="325E5E49" w:rsidRPr="00F0226F">
              <w:rPr>
                <w:lang w:val="fr-CH"/>
              </w:rPr>
              <w:t xml:space="preserve">. </w:t>
            </w:r>
          </w:p>
        </w:tc>
      </w:tr>
      <w:tr w:rsidR="007F2FD4" w:rsidRPr="00114C22" w14:paraId="6958AEE7" w14:textId="77777777" w:rsidTr="007F2FD4">
        <w:trPr>
          <w:gridAfter w:val="1"/>
          <w:wAfter w:w="8062" w:type="dxa"/>
        </w:trPr>
        <w:tc>
          <w:tcPr>
            <w:tcW w:w="9072" w:type="dxa"/>
            <w:gridSpan w:val="2"/>
            <w:shd w:val="clear" w:color="auto" w:fill="A6A6A6" w:themeFill="background1" w:themeFillShade="A6"/>
            <w:vAlign w:val="center"/>
          </w:tcPr>
          <w:p w14:paraId="4E428798" w14:textId="7E4D1E6F" w:rsidR="007F2FD4" w:rsidRDefault="007F2FD4" w:rsidP="007F2FD4">
            <w:pPr>
              <w:spacing w:before="120"/>
              <w:ind w:left="35"/>
              <w:jc w:val="center"/>
              <w:rPr>
                <w:b/>
                <w:bCs/>
                <w:lang w:val="fr-CH"/>
              </w:rPr>
            </w:pPr>
            <w:r>
              <w:rPr>
                <w:b/>
                <w:bCs/>
                <w:lang w:val="fr-CH"/>
              </w:rPr>
              <w:t>Mesures de compensation</w:t>
            </w:r>
          </w:p>
        </w:tc>
      </w:tr>
      <w:tr w:rsidR="00A82D14" w:rsidRPr="008454A6" w14:paraId="50AAA23D" w14:textId="77777777" w:rsidTr="007F2FD4">
        <w:trPr>
          <w:gridAfter w:val="1"/>
          <w:wAfter w:w="8062" w:type="dxa"/>
        </w:trPr>
        <w:tc>
          <w:tcPr>
            <w:tcW w:w="624" w:type="dxa"/>
            <w:shd w:val="clear" w:color="auto" w:fill="D9D9D9" w:themeFill="background1" w:themeFillShade="D9"/>
          </w:tcPr>
          <w:p w14:paraId="419ECF38" w14:textId="6AB4DB5D" w:rsidR="00A82D14" w:rsidRPr="00BB4760" w:rsidRDefault="00A82D14" w:rsidP="00BB4760">
            <w:pPr>
              <w:pStyle w:val="Listenabsatz"/>
              <w:numPr>
                <w:ilvl w:val="0"/>
                <w:numId w:val="34"/>
              </w:numPr>
              <w:spacing w:before="120"/>
              <w:rPr>
                <w:b/>
                <w:lang w:val="fr-CH"/>
              </w:rPr>
            </w:pPr>
            <w:bookmarkStart w:id="65" w:name="_Ref532981151"/>
          </w:p>
        </w:tc>
        <w:bookmarkEnd w:id="65"/>
        <w:tc>
          <w:tcPr>
            <w:tcW w:w="8448" w:type="dxa"/>
            <w:shd w:val="clear" w:color="auto" w:fill="D9D9D9" w:themeFill="background1" w:themeFillShade="D9"/>
          </w:tcPr>
          <w:p w14:paraId="04807469" w14:textId="697496BE" w:rsidR="00A82D14" w:rsidRPr="00F0226F" w:rsidRDefault="00DD671E" w:rsidP="007F2FD4">
            <w:pPr>
              <w:spacing w:before="120"/>
              <w:ind w:left="35"/>
              <w:rPr>
                <w:b/>
                <w:bCs/>
                <w:lang w:val="fr-CH"/>
              </w:rPr>
            </w:pPr>
            <w:r>
              <w:rPr>
                <w:b/>
                <w:bCs/>
                <w:lang w:val="fr-CH"/>
              </w:rPr>
              <w:t xml:space="preserve">Toute </w:t>
            </w:r>
            <w:r w:rsidR="00B17D25">
              <w:rPr>
                <w:b/>
                <w:bCs/>
                <w:lang w:val="fr-CH"/>
              </w:rPr>
              <w:t>sollicitation</w:t>
            </w:r>
            <w:r>
              <w:rPr>
                <w:b/>
                <w:bCs/>
                <w:lang w:val="fr-CH"/>
              </w:rPr>
              <w:t xml:space="preserve"> de SDA </w:t>
            </w:r>
            <w:r w:rsidR="00721488">
              <w:rPr>
                <w:b/>
                <w:bCs/>
                <w:lang w:val="fr-CH"/>
              </w:rPr>
              <w:t xml:space="preserve">répertoriées dans l’inventaire cantonal des SDA devrait </w:t>
            </w:r>
            <w:r>
              <w:rPr>
                <w:b/>
                <w:bCs/>
                <w:lang w:val="fr-CH"/>
              </w:rPr>
              <w:t xml:space="preserve">être </w:t>
            </w:r>
            <w:r w:rsidR="00721488">
              <w:rPr>
                <w:b/>
                <w:bCs/>
                <w:lang w:val="fr-CH"/>
              </w:rPr>
              <w:t>si</w:t>
            </w:r>
            <w:r w:rsidR="0018241A">
              <w:rPr>
                <w:b/>
                <w:bCs/>
                <w:lang w:val="fr-CH"/>
              </w:rPr>
              <w:t xml:space="preserve"> possible </w:t>
            </w:r>
            <w:r>
              <w:rPr>
                <w:b/>
                <w:bCs/>
                <w:lang w:val="fr-CH"/>
              </w:rPr>
              <w:t>compensée sur les plans quantitatif et qualitatif</w:t>
            </w:r>
            <w:r w:rsidR="00A82D14" w:rsidRPr="00F0226F">
              <w:rPr>
                <w:b/>
                <w:bCs/>
                <w:lang w:val="fr-CH"/>
              </w:rPr>
              <w:t xml:space="preserve">. </w:t>
            </w:r>
          </w:p>
          <w:p w14:paraId="1521E714" w14:textId="695F4FB8" w:rsidR="00A82D14" w:rsidRPr="00F0226F" w:rsidRDefault="009658F3" w:rsidP="007F2FD4">
            <w:pPr>
              <w:ind w:left="35"/>
              <w:rPr>
                <w:b/>
                <w:bCs/>
                <w:lang w:val="fr-CH"/>
              </w:rPr>
            </w:pPr>
            <w:r>
              <w:rPr>
                <w:lang w:val="fr-CH"/>
              </w:rPr>
              <w:t>Les mesures de compensation envisageables comprennent les revalorisations, les réhabilitations</w:t>
            </w:r>
            <w:r w:rsidR="0018241A">
              <w:rPr>
                <w:lang w:val="fr-CH"/>
              </w:rPr>
              <w:t xml:space="preserve"> ou</w:t>
            </w:r>
            <w:r>
              <w:rPr>
                <w:lang w:val="fr-CH"/>
              </w:rPr>
              <w:t xml:space="preserve"> les nouveaux relevés</w:t>
            </w:r>
            <w:r w:rsidR="00A82D14" w:rsidRPr="00F0226F">
              <w:rPr>
                <w:rStyle w:val="Funotenzeichen"/>
                <w:lang w:val="fr-CH"/>
              </w:rPr>
              <w:footnoteReference w:id="17"/>
            </w:r>
            <w:r w:rsidR="00A82D14" w:rsidRPr="00F0226F">
              <w:rPr>
                <w:lang w:val="fr-CH"/>
              </w:rPr>
              <w:t xml:space="preserve"> </w:t>
            </w:r>
            <w:r>
              <w:rPr>
                <w:lang w:val="fr-CH"/>
              </w:rPr>
              <w:t>de</w:t>
            </w:r>
            <w:r w:rsidR="00A82D14" w:rsidRPr="00F0226F">
              <w:rPr>
                <w:lang w:val="fr-CH"/>
              </w:rPr>
              <w:t xml:space="preserve"> </w:t>
            </w:r>
            <w:r>
              <w:rPr>
                <w:lang w:val="fr-CH"/>
              </w:rPr>
              <w:t xml:space="preserve">SDA </w:t>
            </w:r>
            <w:r w:rsidR="0018241A">
              <w:rPr>
                <w:lang w:val="fr-CH"/>
              </w:rPr>
              <w:t>ainsi que</w:t>
            </w:r>
            <w:r>
              <w:rPr>
                <w:lang w:val="fr-CH"/>
              </w:rPr>
              <w:t xml:space="preserve"> le déclassement de </w:t>
            </w:r>
            <w:r w:rsidR="0018241A">
              <w:rPr>
                <w:lang w:val="fr-CH"/>
              </w:rPr>
              <w:t xml:space="preserve">sols </w:t>
            </w:r>
            <w:r>
              <w:rPr>
                <w:lang w:val="fr-CH"/>
              </w:rPr>
              <w:t>de qualité SDA</w:t>
            </w:r>
            <w:r w:rsidR="00A82D14" w:rsidRPr="00F0226F">
              <w:rPr>
                <w:lang w:val="fr-CH"/>
              </w:rPr>
              <w:t xml:space="preserve">. </w:t>
            </w:r>
            <w:r>
              <w:rPr>
                <w:lang w:val="fr-CH"/>
              </w:rPr>
              <w:t>De plus, il est également possible de créer un fonds</w:t>
            </w:r>
            <w:r w:rsidR="00A82D14" w:rsidRPr="00F0226F">
              <w:rPr>
                <w:lang w:val="fr-CH"/>
              </w:rPr>
              <w:t xml:space="preserve"> (</w:t>
            </w:r>
            <w:r>
              <w:rPr>
                <w:lang w:val="fr-CH"/>
              </w:rPr>
              <w:t>cf.</w:t>
            </w:r>
            <w:r w:rsidR="00E26043" w:rsidRPr="00F0226F">
              <w:rPr>
                <w:lang w:val="fr-CH"/>
              </w:rPr>
              <w:t xml:space="preserve"> </w:t>
            </w:r>
            <w:r w:rsidR="008172D2" w:rsidRPr="00F0226F">
              <w:rPr>
                <w:lang w:val="fr-CH"/>
              </w:rPr>
              <w:fldChar w:fldCharType="begin"/>
            </w:r>
            <w:r w:rsidR="008172D2" w:rsidRPr="00F0226F">
              <w:rPr>
                <w:lang w:val="fr-CH"/>
              </w:rPr>
              <w:instrText xml:space="preserve"> REF _Ref526318176 \r \h </w:instrText>
            </w:r>
            <w:r w:rsidR="008172D2" w:rsidRPr="00F0226F">
              <w:rPr>
                <w:lang w:val="fr-CH"/>
              </w:rPr>
            </w:r>
            <w:r w:rsidR="008172D2" w:rsidRPr="00F0226F">
              <w:rPr>
                <w:lang w:val="fr-CH"/>
              </w:rPr>
              <w:fldChar w:fldCharType="separate"/>
            </w:r>
            <w:r w:rsidR="001971CC">
              <w:rPr>
                <w:lang w:val="fr-CH"/>
              </w:rPr>
              <w:t>P9</w:t>
            </w:r>
            <w:r w:rsidR="008172D2" w:rsidRPr="00F0226F">
              <w:rPr>
                <w:lang w:val="fr-CH"/>
              </w:rPr>
              <w:fldChar w:fldCharType="end"/>
            </w:r>
            <w:r w:rsidR="00A82D14" w:rsidRPr="00F0226F">
              <w:rPr>
                <w:lang w:val="fr-CH"/>
              </w:rPr>
              <w:t xml:space="preserve">). </w:t>
            </w:r>
            <w:r w:rsidR="00D175AE">
              <w:rPr>
                <w:lang w:val="fr-CH"/>
              </w:rPr>
              <w:t>La revalorisation d’un s</w:t>
            </w:r>
            <w:r w:rsidR="005122A2">
              <w:rPr>
                <w:lang w:val="fr-CH"/>
              </w:rPr>
              <w:t xml:space="preserve">ol </w:t>
            </w:r>
            <w:r w:rsidR="00D175AE">
              <w:rPr>
                <w:lang w:val="fr-CH"/>
              </w:rPr>
              <w:t>dégradé</w:t>
            </w:r>
            <w:r w:rsidR="005122A2">
              <w:rPr>
                <w:lang w:val="fr-CH"/>
              </w:rPr>
              <w:t xml:space="preserve"> déjà indiqué dans l’inventaire ne peut pas être considérée comme une com</w:t>
            </w:r>
            <w:r w:rsidR="00A82D14" w:rsidRPr="00F0226F">
              <w:rPr>
                <w:lang w:val="fr-CH"/>
              </w:rPr>
              <w:t xml:space="preserve">pensation. </w:t>
            </w:r>
          </w:p>
        </w:tc>
      </w:tr>
      <w:tr w:rsidR="00A82D14" w:rsidRPr="008454A6" w14:paraId="6139D911" w14:textId="77777777" w:rsidTr="007F2FD4">
        <w:trPr>
          <w:gridAfter w:val="1"/>
          <w:wAfter w:w="8062" w:type="dxa"/>
        </w:trPr>
        <w:tc>
          <w:tcPr>
            <w:tcW w:w="624" w:type="dxa"/>
            <w:shd w:val="clear" w:color="auto" w:fill="D9D9D9" w:themeFill="background1" w:themeFillShade="D9"/>
          </w:tcPr>
          <w:p w14:paraId="3D1ECBF0" w14:textId="3750655D" w:rsidR="00A82D14" w:rsidRPr="00BB4760" w:rsidRDefault="00A82D14" w:rsidP="00BB4760">
            <w:pPr>
              <w:pStyle w:val="Listenabsatz"/>
              <w:numPr>
                <w:ilvl w:val="0"/>
                <w:numId w:val="34"/>
              </w:numPr>
              <w:spacing w:before="120"/>
              <w:rPr>
                <w:b/>
                <w:lang w:val="fr-CH"/>
              </w:rPr>
            </w:pPr>
            <w:bookmarkStart w:id="66" w:name="_Ref526318176"/>
          </w:p>
        </w:tc>
        <w:bookmarkEnd w:id="66"/>
        <w:tc>
          <w:tcPr>
            <w:tcW w:w="8448" w:type="dxa"/>
            <w:shd w:val="clear" w:color="auto" w:fill="D9D9D9" w:themeFill="background1" w:themeFillShade="D9"/>
          </w:tcPr>
          <w:p w14:paraId="61827E7E" w14:textId="1EEB4DBC" w:rsidR="00A82D14" w:rsidRPr="00F0226F" w:rsidRDefault="005122A2" w:rsidP="007F2FD4">
            <w:pPr>
              <w:spacing w:before="120"/>
              <w:rPr>
                <w:lang w:val="fr-CH"/>
              </w:rPr>
            </w:pPr>
            <w:r>
              <w:rPr>
                <w:b/>
                <w:bCs/>
                <w:lang w:val="fr-CH"/>
              </w:rPr>
              <w:t>Chaque canton peut créer un fonds SDA</w:t>
            </w:r>
            <w:r w:rsidR="00A82D14" w:rsidRPr="00F0226F">
              <w:rPr>
                <w:b/>
                <w:bCs/>
                <w:lang w:val="fr-CH"/>
              </w:rPr>
              <w:t xml:space="preserve"> </w:t>
            </w:r>
            <w:r w:rsidR="00DC6477">
              <w:rPr>
                <w:b/>
                <w:bCs/>
                <w:lang w:val="fr-CH"/>
              </w:rPr>
              <w:t xml:space="preserve">sur lequel peuvent être versées des indemnités </w:t>
            </w:r>
            <w:r w:rsidR="00721488">
              <w:rPr>
                <w:b/>
                <w:bCs/>
                <w:lang w:val="fr-CH"/>
              </w:rPr>
              <w:t>dépendant de</w:t>
            </w:r>
            <w:r w:rsidR="00DC6477">
              <w:rPr>
                <w:b/>
                <w:bCs/>
                <w:lang w:val="fr-CH"/>
              </w:rPr>
              <w:t xml:space="preserve"> la surface de</w:t>
            </w:r>
            <w:r w:rsidR="00A82D14" w:rsidRPr="00F0226F">
              <w:rPr>
                <w:b/>
                <w:bCs/>
                <w:lang w:val="fr-CH"/>
              </w:rPr>
              <w:t xml:space="preserve"> </w:t>
            </w:r>
            <w:r>
              <w:rPr>
                <w:b/>
                <w:bCs/>
                <w:lang w:val="fr-CH"/>
              </w:rPr>
              <w:t xml:space="preserve">SDA </w:t>
            </w:r>
            <w:r w:rsidR="00B17D25">
              <w:rPr>
                <w:b/>
                <w:bCs/>
                <w:lang w:val="fr-CH"/>
              </w:rPr>
              <w:t>sollicité</w:t>
            </w:r>
            <w:r w:rsidR="00DC6477">
              <w:rPr>
                <w:b/>
                <w:bCs/>
                <w:lang w:val="fr-CH"/>
              </w:rPr>
              <w:t>e</w:t>
            </w:r>
            <w:r w:rsidR="00A82D14" w:rsidRPr="00F0226F">
              <w:rPr>
                <w:b/>
                <w:bCs/>
                <w:lang w:val="fr-CH"/>
              </w:rPr>
              <w:t>.</w:t>
            </w:r>
          </w:p>
          <w:p w14:paraId="663B8C7A" w14:textId="179773C3" w:rsidR="00A82D14" w:rsidRPr="00F0226F" w:rsidRDefault="00721488" w:rsidP="007F2FD4">
            <w:pPr>
              <w:pStyle w:val="Listenabsatz"/>
              <w:ind w:left="5" w:hanging="5"/>
              <w:rPr>
                <w:lang w:val="fr-CH"/>
              </w:rPr>
            </w:pPr>
            <w:r>
              <w:rPr>
                <w:lang w:val="fr-CH"/>
              </w:rPr>
              <w:t>Un versement dans le</w:t>
            </w:r>
            <w:r w:rsidR="0018241A">
              <w:rPr>
                <w:lang w:val="fr-CH"/>
              </w:rPr>
              <w:t xml:space="preserve"> fond</w:t>
            </w:r>
            <w:r w:rsidR="00DC6477">
              <w:rPr>
                <w:lang w:val="fr-CH"/>
              </w:rPr>
              <w:t xml:space="preserve"> n</w:t>
            </w:r>
            <w:r w:rsidR="0018241A">
              <w:rPr>
                <w:lang w:val="fr-CH"/>
              </w:rPr>
              <w:t xml:space="preserve">’est </w:t>
            </w:r>
            <w:r w:rsidR="00DC6477">
              <w:rPr>
                <w:lang w:val="fr-CH"/>
              </w:rPr>
              <w:t xml:space="preserve">admis qu’après examen de toutes les possibilités de compensation </w:t>
            </w:r>
            <w:r w:rsidR="00283DF6">
              <w:rPr>
                <w:lang w:val="fr-CH"/>
              </w:rPr>
              <w:t xml:space="preserve">en nature </w:t>
            </w:r>
            <w:r w:rsidR="0018241A">
              <w:rPr>
                <w:lang w:val="fr-CH"/>
              </w:rPr>
              <w:t>(cf. P8)</w:t>
            </w:r>
            <w:r w:rsidR="00A82D14" w:rsidRPr="00F0226F">
              <w:rPr>
                <w:lang w:val="fr-CH"/>
              </w:rPr>
              <w:t>.</w:t>
            </w:r>
          </w:p>
          <w:p w14:paraId="68143D4F" w14:textId="64E1B7CB" w:rsidR="008172D2" w:rsidRPr="00F0226F" w:rsidRDefault="0018241A" w:rsidP="007F2FD4">
            <w:pPr>
              <w:pStyle w:val="Listenabsatz"/>
              <w:ind w:left="5" w:hanging="5"/>
              <w:rPr>
                <w:lang w:val="fr-CH"/>
              </w:rPr>
            </w:pPr>
            <w:r>
              <w:rPr>
                <w:lang w:val="fr-CH"/>
              </w:rPr>
              <w:t>Le</w:t>
            </w:r>
            <w:r w:rsidR="007C2F39">
              <w:rPr>
                <w:lang w:val="fr-CH"/>
              </w:rPr>
              <w:t xml:space="preserve"> fonds est </w:t>
            </w:r>
            <w:r>
              <w:rPr>
                <w:lang w:val="fr-CH"/>
              </w:rPr>
              <w:t xml:space="preserve">alimenté </w:t>
            </w:r>
            <w:r w:rsidR="007C2F39">
              <w:rPr>
                <w:lang w:val="fr-CH"/>
              </w:rPr>
              <w:t>par</w:t>
            </w:r>
            <w:r w:rsidR="00A82D14" w:rsidRPr="00F0226F">
              <w:rPr>
                <w:lang w:val="fr-CH"/>
              </w:rPr>
              <w:t xml:space="preserve"> </w:t>
            </w:r>
            <w:r w:rsidR="00DC6477">
              <w:rPr>
                <w:lang w:val="fr-CH"/>
              </w:rPr>
              <w:t xml:space="preserve">les responsables de la perte de SDA </w:t>
            </w:r>
            <w:r w:rsidR="007C2F39">
              <w:rPr>
                <w:lang w:val="fr-CH"/>
              </w:rPr>
              <w:t>en lieu et place d’une compens</w:t>
            </w:r>
            <w:r w:rsidR="00A82D14" w:rsidRPr="00F0226F">
              <w:rPr>
                <w:lang w:val="fr-CH"/>
              </w:rPr>
              <w:t>ation</w:t>
            </w:r>
            <w:r w:rsidR="007C2F39">
              <w:rPr>
                <w:lang w:val="fr-CH"/>
              </w:rPr>
              <w:t xml:space="preserve"> </w:t>
            </w:r>
            <w:r w:rsidR="00283DF6">
              <w:rPr>
                <w:lang w:val="fr-CH"/>
              </w:rPr>
              <w:t>par une surface égale</w:t>
            </w:r>
            <w:r w:rsidR="00A82D14" w:rsidRPr="00F0226F">
              <w:rPr>
                <w:lang w:val="fr-CH"/>
              </w:rPr>
              <w:t xml:space="preserve">. </w:t>
            </w:r>
            <w:r w:rsidR="00283DF6">
              <w:rPr>
                <w:lang w:val="fr-CH"/>
              </w:rPr>
              <w:t>Un versement dans le fonds n’est</w:t>
            </w:r>
            <w:r w:rsidR="007C2F39">
              <w:rPr>
                <w:lang w:val="fr-CH"/>
              </w:rPr>
              <w:t xml:space="preserve"> autorisé que si le contingent canton</w:t>
            </w:r>
            <w:r>
              <w:rPr>
                <w:lang w:val="fr-CH"/>
              </w:rPr>
              <w:t>al de SDA</w:t>
            </w:r>
            <w:r w:rsidR="007C2F39">
              <w:rPr>
                <w:lang w:val="fr-CH"/>
              </w:rPr>
              <w:t xml:space="preserve"> continue d’être garanti et que les autres conditions </w:t>
            </w:r>
            <w:r w:rsidR="00283DF6">
              <w:rPr>
                <w:lang w:val="fr-CH"/>
              </w:rPr>
              <w:t>légales régissant la sollicitation</w:t>
            </w:r>
            <w:r w:rsidR="007C2F39">
              <w:rPr>
                <w:lang w:val="fr-CH"/>
              </w:rPr>
              <w:t xml:space="preserve"> de SDA sont remplies</w:t>
            </w:r>
            <w:r w:rsidR="00A82D14" w:rsidRPr="00F0226F">
              <w:rPr>
                <w:lang w:val="fr-CH"/>
              </w:rPr>
              <w:t>.</w:t>
            </w:r>
          </w:p>
          <w:p w14:paraId="495E869B" w14:textId="7E34A614" w:rsidR="008172D2" w:rsidRPr="00F0226F" w:rsidRDefault="007C2F39" w:rsidP="007F2FD4">
            <w:pPr>
              <w:pStyle w:val="Listenabsatz"/>
              <w:ind w:left="5" w:hanging="5"/>
              <w:rPr>
                <w:lang w:val="fr-CH"/>
              </w:rPr>
            </w:pPr>
            <w:r>
              <w:rPr>
                <w:lang w:val="fr-CH"/>
              </w:rPr>
              <w:t xml:space="preserve">Les montants versés sur le fonds en lieu et place d’une compensation </w:t>
            </w:r>
            <w:r w:rsidR="00B42000">
              <w:rPr>
                <w:lang w:val="fr-CH"/>
              </w:rPr>
              <w:t xml:space="preserve">en nature </w:t>
            </w:r>
            <w:r w:rsidR="0018241A">
              <w:rPr>
                <w:lang w:val="fr-CH"/>
              </w:rPr>
              <w:t xml:space="preserve">servent </w:t>
            </w:r>
            <w:r>
              <w:rPr>
                <w:lang w:val="fr-CH"/>
              </w:rPr>
              <w:t>exclusivement à des réhabilitations ou revalorisations en SDA de sols dégradés par l’activité humaine</w:t>
            </w:r>
            <w:r w:rsidR="00AB6D10">
              <w:rPr>
                <w:lang w:val="fr-CH"/>
              </w:rPr>
              <w:t xml:space="preserve"> et non </w:t>
            </w:r>
            <w:r w:rsidR="0018241A">
              <w:rPr>
                <w:lang w:val="fr-CH"/>
              </w:rPr>
              <w:t>répertoriés dans les inventaires d</w:t>
            </w:r>
            <w:r w:rsidR="007768D2">
              <w:rPr>
                <w:lang w:val="fr-CH"/>
              </w:rPr>
              <w:t>e</w:t>
            </w:r>
            <w:r w:rsidR="00AB6D10">
              <w:rPr>
                <w:lang w:val="fr-CH"/>
              </w:rPr>
              <w:t xml:space="preserve"> SDA</w:t>
            </w:r>
            <w:r w:rsidR="00A82D14" w:rsidRPr="00F0226F">
              <w:rPr>
                <w:lang w:val="fr-CH"/>
              </w:rPr>
              <w:t>.</w:t>
            </w:r>
          </w:p>
          <w:p w14:paraId="4443344A" w14:textId="07F6BD4E" w:rsidR="00A82D14" w:rsidRPr="00F0226F" w:rsidRDefault="00AB6D10" w:rsidP="007F2FD4">
            <w:pPr>
              <w:pStyle w:val="Listenabsatz"/>
              <w:ind w:left="5" w:hanging="5"/>
              <w:rPr>
                <w:lang w:val="fr-CH"/>
              </w:rPr>
            </w:pPr>
            <w:r>
              <w:rPr>
                <w:lang w:val="fr-CH"/>
              </w:rPr>
              <w:t>La création d’une base juridique pour un tel fonds est l’affaire de chaque canton</w:t>
            </w:r>
            <w:r w:rsidR="008172D2" w:rsidRPr="00F0226F">
              <w:rPr>
                <w:lang w:val="fr-CH"/>
              </w:rPr>
              <w:t>.</w:t>
            </w:r>
          </w:p>
        </w:tc>
      </w:tr>
      <w:tr w:rsidR="009C4E11" w:rsidRPr="008454A6" w14:paraId="081F1E84" w14:textId="77777777" w:rsidTr="009C4E11">
        <w:tc>
          <w:tcPr>
            <w:tcW w:w="9072" w:type="dxa"/>
            <w:gridSpan w:val="2"/>
            <w:shd w:val="clear" w:color="auto" w:fill="A6A6A6" w:themeFill="background1" w:themeFillShade="A6"/>
            <w:vAlign w:val="center"/>
          </w:tcPr>
          <w:p w14:paraId="5546DFB3" w14:textId="2F436FEB" w:rsidR="009C4E11" w:rsidRDefault="009C4E11" w:rsidP="009C4E11">
            <w:pPr>
              <w:spacing w:before="120"/>
              <w:jc w:val="center"/>
              <w:rPr>
                <w:b/>
                <w:bCs/>
                <w:lang w:val="fr-CH"/>
              </w:rPr>
            </w:pPr>
            <w:r>
              <w:rPr>
                <w:b/>
                <w:bCs/>
                <w:lang w:val="fr-CH"/>
              </w:rPr>
              <w:t>Traitement des SDA par les</w:t>
            </w:r>
            <w:r w:rsidRPr="00F0226F">
              <w:rPr>
                <w:b/>
                <w:bCs/>
                <w:lang w:val="fr-CH"/>
              </w:rPr>
              <w:t xml:space="preserve"> </w:t>
            </w:r>
            <w:r>
              <w:rPr>
                <w:b/>
                <w:bCs/>
                <w:lang w:val="fr-CH"/>
              </w:rPr>
              <w:t>autorités fédérales et les services fédéraux</w:t>
            </w:r>
          </w:p>
        </w:tc>
        <w:tc>
          <w:tcPr>
            <w:tcW w:w="8062" w:type="dxa"/>
          </w:tcPr>
          <w:p w14:paraId="1B00C8AC" w14:textId="77777777" w:rsidR="009C4E11" w:rsidRPr="00F0226F" w:rsidRDefault="009C4E11" w:rsidP="007F2FD4">
            <w:pPr>
              <w:spacing w:after="160" w:line="259" w:lineRule="auto"/>
              <w:rPr>
                <w:lang w:val="fr-CH"/>
              </w:rPr>
            </w:pPr>
          </w:p>
        </w:tc>
      </w:tr>
      <w:tr w:rsidR="00A633F7" w:rsidRPr="008454A6" w14:paraId="07E44121" w14:textId="77777777" w:rsidTr="007F2FD4">
        <w:tc>
          <w:tcPr>
            <w:tcW w:w="624" w:type="dxa"/>
            <w:shd w:val="clear" w:color="auto" w:fill="D9D9D9" w:themeFill="background1" w:themeFillShade="D9"/>
          </w:tcPr>
          <w:p w14:paraId="4221AB9D" w14:textId="56BBA498" w:rsidR="00A633F7" w:rsidRPr="00BB4760" w:rsidRDefault="00A633F7" w:rsidP="00BB4760">
            <w:pPr>
              <w:pStyle w:val="Listenabsatz"/>
              <w:numPr>
                <w:ilvl w:val="0"/>
                <w:numId w:val="34"/>
              </w:numPr>
              <w:spacing w:before="120"/>
              <w:rPr>
                <w:b/>
                <w:lang w:val="fr-CH"/>
              </w:rPr>
            </w:pPr>
          </w:p>
        </w:tc>
        <w:tc>
          <w:tcPr>
            <w:tcW w:w="8448" w:type="dxa"/>
            <w:shd w:val="clear" w:color="auto" w:fill="D9D9D9" w:themeFill="background1" w:themeFillShade="D9"/>
          </w:tcPr>
          <w:p w14:paraId="48F44D07" w14:textId="43630237" w:rsidR="005A62F3" w:rsidRPr="00F0226F" w:rsidRDefault="00AB6D10" w:rsidP="007F2FD4">
            <w:pPr>
              <w:spacing w:before="120"/>
              <w:rPr>
                <w:b/>
                <w:bCs/>
                <w:lang w:val="fr-CH"/>
              </w:rPr>
            </w:pPr>
            <w:r>
              <w:rPr>
                <w:b/>
                <w:bCs/>
                <w:lang w:val="fr-CH"/>
              </w:rPr>
              <w:t xml:space="preserve">La Confédération </w:t>
            </w:r>
            <w:r w:rsidR="00283DF6">
              <w:rPr>
                <w:b/>
                <w:bCs/>
                <w:lang w:val="fr-CH"/>
              </w:rPr>
              <w:t>se préoccupe</w:t>
            </w:r>
            <w:r>
              <w:rPr>
                <w:b/>
                <w:bCs/>
                <w:lang w:val="fr-CH"/>
              </w:rPr>
              <w:t xml:space="preserve"> des SDA dans l’accomplissement de ses activités à incidence territoriale</w:t>
            </w:r>
            <w:r w:rsidR="325E5E49" w:rsidRPr="00F0226F">
              <w:rPr>
                <w:b/>
                <w:bCs/>
                <w:lang w:val="fr-CH"/>
              </w:rPr>
              <w:t>.</w:t>
            </w:r>
          </w:p>
          <w:p w14:paraId="20C181AD" w14:textId="291D36AA" w:rsidR="00A633F7" w:rsidRPr="00F0226F" w:rsidRDefault="00AB6D10" w:rsidP="007F2FD4">
            <w:pPr>
              <w:rPr>
                <w:b/>
                <w:bCs/>
                <w:lang w:val="fr-CH"/>
              </w:rPr>
            </w:pPr>
            <w:r>
              <w:rPr>
                <w:lang w:val="fr-CH"/>
              </w:rPr>
              <w:t>Les autorités</w:t>
            </w:r>
            <w:r w:rsidR="00283DF6">
              <w:rPr>
                <w:lang w:val="fr-CH"/>
              </w:rPr>
              <w:t xml:space="preserve"> fédérales</w:t>
            </w:r>
            <w:r>
              <w:rPr>
                <w:lang w:val="fr-CH"/>
              </w:rPr>
              <w:t xml:space="preserve"> et les </w:t>
            </w:r>
            <w:r w:rsidR="00283DF6">
              <w:rPr>
                <w:lang w:val="fr-CH"/>
              </w:rPr>
              <w:t xml:space="preserve">services </w:t>
            </w:r>
            <w:r>
              <w:rPr>
                <w:lang w:val="fr-CH"/>
              </w:rPr>
              <w:t xml:space="preserve">fédéraux </w:t>
            </w:r>
            <w:r w:rsidR="00283DF6">
              <w:rPr>
                <w:lang w:val="fr-CH"/>
              </w:rPr>
              <w:t xml:space="preserve">minimisent </w:t>
            </w:r>
            <w:r>
              <w:rPr>
                <w:lang w:val="fr-CH"/>
              </w:rPr>
              <w:t xml:space="preserve">la </w:t>
            </w:r>
            <w:r w:rsidR="0012690F">
              <w:rPr>
                <w:lang w:val="fr-CH"/>
              </w:rPr>
              <w:t>sollicitation</w:t>
            </w:r>
            <w:r>
              <w:rPr>
                <w:lang w:val="fr-CH"/>
              </w:rPr>
              <w:t xml:space="preserve"> de SDA. L’utilisation de SDA n’est envisageable qu’au terme d’une pesée des intérêts au cours de laquelle les SDA sont dûment prises en compte.</w:t>
            </w:r>
          </w:p>
        </w:tc>
        <w:tc>
          <w:tcPr>
            <w:tcW w:w="8062" w:type="dxa"/>
          </w:tcPr>
          <w:p w14:paraId="3A9882F2" w14:textId="77777777" w:rsidR="00A633F7" w:rsidRPr="00F0226F" w:rsidRDefault="00A633F7" w:rsidP="007F2FD4">
            <w:pPr>
              <w:spacing w:after="160" w:line="259" w:lineRule="auto"/>
              <w:rPr>
                <w:lang w:val="fr-CH"/>
              </w:rPr>
            </w:pPr>
          </w:p>
        </w:tc>
      </w:tr>
      <w:tr w:rsidR="00006F94" w:rsidRPr="008454A6" w14:paraId="42BD75DF" w14:textId="3FEC62A9" w:rsidTr="007F2FD4">
        <w:tc>
          <w:tcPr>
            <w:tcW w:w="624" w:type="dxa"/>
            <w:shd w:val="clear" w:color="auto" w:fill="D9D9D9" w:themeFill="background1" w:themeFillShade="D9"/>
          </w:tcPr>
          <w:p w14:paraId="3850E83C" w14:textId="6EBE1E0B" w:rsidR="00006F94" w:rsidRPr="00BB4760" w:rsidRDefault="00006F94" w:rsidP="00376500">
            <w:pPr>
              <w:pStyle w:val="Listenabsatz"/>
              <w:numPr>
                <w:ilvl w:val="0"/>
                <w:numId w:val="34"/>
              </w:numPr>
              <w:spacing w:before="120"/>
              <w:ind w:left="357" w:hanging="357"/>
              <w:rPr>
                <w:b/>
                <w:lang w:val="fr-CH"/>
              </w:rPr>
            </w:pPr>
          </w:p>
        </w:tc>
        <w:tc>
          <w:tcPr>
            <w:tcW w:w="8448" w:type="dxa"/>
            <w:shd w:val="clear" w:color="auto" w:fill="D9D9D9" w:themeFill="background1" w:themeFillShade="D9"/>
          </w:tcPr>
          <w:p w14:paraId="0AE9FC02" w14:textId="21847BBF" w:rsidR="002F292A" w:rsidRPr="00F0226F" w:rsidRDefault="00AB6D10" w:rsidP="007F2FD4">
            <w:pPr>
              <w:spacing w:before="120"/>
              <w:rPr>
                <w:b/>
                <w:bCs/>
                <w:lang w:val="fr-CH"/>
              </w:rPr>
            </w:pPr>
            <w:r>
              <w:rPr>
                <w:b/>
                <w:bCs/>
                <w:lang w:val="fr-CH"/>
              </w:rPr>
              <w:t>Les projets fédéraux nécessitant plus de</w:t>
            </w:r>
            <w:r w:rsidR="325E5E49" w:rsidRPr="00F0226F">
              <w:rPr>
                <w:b/>
                <w:bCs/>
                <w:lang w:val="fr-CH"/>
              </w:rPr>
              <w:t xml:space="preserve"> </w:t>
            </w:r>
            <w:r w:rsidR="007768D2">
              <w:rPr>
                <w:b/>
                <w:bCs/>
                <w:lang w:val="fr-CH"/>
              </w:rPr>
              <w:t>5</w:t>
            </w:r>
            <w:r w:rsidR="325E5E49" w:rsidRPr="00F0226F">
              <w:rPr>
                <w:b/>
                <w:bCs/>
                <w:lang w:val="fr-CH"/>
              </w:rPr>
              <w:t xml:space="preserve"> ha </w:t>
            </w:r>
            <w:r>
              <w:rPr>
                <w:b/>
                <w:bCs/>
                <w:lang w:val="fr-CH"/>
              </w:rPr>
              <w:t xml:space="preserve">de SDA </w:t>
            </w:r>
            <w:r w:rsidR="00283DF6">
              <w:rPr>
                <w:b/>
                <w:bCs/>
                <w:lang w:val="fr-CH"/>
              </w:rPr>
              <w:t xml:space="preserve">répertoriées dans un inventaire cantonal </w:t>
            </w:r>
            <w:r>
              <w:rPr>
                <w:b/>
                <w:bCs/>
                <w:lang w:val="fr-CH"/>
              </w:rPr>
              <w:t>font en principe l’objet d’un plan sectoriel</w:t>
            </w:r>
            <w:r w:rsidR="325E5E49" w:rsidRPr="00F0226F">
              <w:rPr>
                <w:b/>
                <w:bCs/>
                <w:lang w:val="fr-CH"/>
              </w:rPr>
              <w:t xml:space="preserve">. </w:t>
            </w:r>
          </w:p>
          <w:p w14:paraId="3667E5FE" w14:textId="2A5A61E3" w:rsidR="00006F94" w:rsidRPr="00F0226F" w:rsidRDefault="325E5E49" w:rsidP="007F2FD4">
            <w:pPr>
              <w:spacing w:before="120"/>
              <w:rPr>
                <w:rFonts w:ascii="Times New Roman" w:hAnsi="Times New Roman"/>
                <w:lang w:val="fr-CH" w:eastAsia="en-US"/>
              </w:rPr>
            </w:pPr>
            <w:r w:rsidRPr="00F0226F">
              <w:rPr>
                <w:lang w:val="fr-CH"/>
              </w:rPr>
              <w:t>D</w:t>
            </w:r>
            <w:r w:rsidR="00AB6D10">
              <w:rPr>
                <w:lang w:val="fr-CH"/>
              </w:rPr>
              <w:t xml:space="preserve">e tels projets </w:t>
            </w:r>
            <w:r w:rsidR="007D466C">
              <w:rPr>
                <w:lang w:val="fr-CH"/>
              </w:rPr>
              <w:t xml:space="preserve">seront planifiés dans le cadre d’une procédure de plan sectoriel ou d’une procédure détaillée analogue prévoyant l’intégration </w:t>
            </w:r>
            <w:r w:rsidR="007768D2">
              <w:rPr>
                <w:lang w:val="fr-CH"/>
              </w:rPr>
              <w:t xml:space="preserve">précoce </w:t>
            </w:r>
            <w:r w:rsidR="007D466C">
              <w:rPr>
                <w:lang w:val="fr-CH"/>
              </w:rPr>
              <w:t>de l’</w:t>
            </w:r>
            <w:r w:rsidRPr="00F0226F">
              <w:rPr>
                <w:lang w:val="fr-CH"/>
              </w:rPr>
              <w:t>ARE</w:t>
            </w:r>
            <w:r w:rsidR="007768D2">
              <w:rPr>
                <w:lang w:val="fr-CH"/>
              </w:rPr>
              <w:t xml:space="preserve"> au processus</w:t>
            </w:r>
            <w:r w:rsidR="007D466C">
              <w:rPr>
                <w:lang w:val="fr-CH"/>
              </w:rPr>
              <w:t>.</w:t>
            </w:r>
          </w:p>
        </w:tc>
        <w:tc>
          <w:tcPr>
            <w:tcW w:w="8062" w:type="dxa"/>
          </w:tcPr>
          <w:p w14:paraId="6A91C97B" w14:textId="5E33B419" w:rsidR="00006F94" w:rsidRPr="00F0226F" w:rsidRDefault="00006F94" w:rsidP="007F2FD4">
            <w:pPr>
              <w:spacing w:after="160" w:line="259" w:lineRule="auto"/>
              <w:rPr>
                <w:lang w:val="fr-CH"/>
              </w:rPr>
            </w:pPr>
          </w:p>
        </w:tc>
      </w:tr>
      <w:tr w:rsidR="00346896" w:rsidRPr="00B94A10" w14:paraId="20B5C7B8" w14:textId="77777777" w:rsidTr="007F2FD4">
        <w:trPr>
          <w:gridAfter w:val="1"/>
          <w:wAfter w:w="8062" w:type="dxa"/>
        </w:trPr>
        <w:tc>
          <w:tcPr>
            <w:tcW w:w="624" w:type="dxa"/>
            <w:shd w:val="clear" w:color="auto" w:fill="D9D9D9" w:themeFill="background1" w:themeFillShade="D9"/>
          </w:tcPr>
          <w:p w14:paraId="47B31574" w14:textId="53E99F90" w:rsidR="00346896" w:rsidRPr="00BB4760" w:rsidRDefault="00346896" w:rsidP="00BB4760">
            <w:pPr>
              <w:pStyle w:val="Listenabsatz"/>
              <w:numPr>
                <w:ilvl w:val="0"/>
                <w:numId w:val="34"/>
              </w:numPr>
              <w:rPr>
                <w:b/>
                <w:lang w:val="fr-CH"/>
              </w:rPr>
            </w:pPr>
            <w:bookmarkStart w:id="67" w:name="_Ref532981165"/>
          </w:p>
        </w:tc>
        <w:bookmarkEnd w:id="67"/>
        <w:tc>
          <w:tcPr>
            <w:tcW w:w="8448" w:type="dxa"/>
            <w:shd w:val="clear" w:color="auto" w:fill="D9D9D9" w:themeFill="background1" w:themeFillShade="D9"/>
          </w:tcPr>
          <w:p w14:paraId="2D6E071E" w14:textId="5DCAFC8F" w:rsidR="00346896" w:rsidRPr="00F0226F" w:rsidRDefault="004C5840" w:rsidP="007F2FD4">
            <w:pPr>
              <w:rPr>
                <w:b/>
                <w:bCs/>
                <w:lang w:val="fr-CH"/>
              </w:rPr>
            </w:pPr>
            <w:r>
              <w:rPr>
                <w:b/>
                <w:bCs/>
                <w:lang w:val="fr-CH"/>
              </w:rPr>
              <w:t>En cas d’emprise</w:t>
            </w:r>
            <w:r w:rsidR="00B17D25">
              <w:rPr>
                <w:b/>
                <w:bCs/>
                <w:lang w:val="fr-CH"/>
              </w:rPr>
              <w:t xml:space="preserve"> </w:t>
            </w:r>
            <w:r>
              <w:rPr>
                <w:b/>
                <w:bCs/>
                <w:lang w:val="fr-CH"/>
              </w:rPr>
              <w:t>sur des</w:t>
            </w:r>
            <w:r w:rsidR="007D466C">
              <w:rPr>
                <w:b/>
                <w:bCs/>
                <w:lang w:val="fr-CH"/>
              </w:rPr>
              <w:t xml:space="preserve"> SDA </w:t>
            </w:r>
            <w:r>
              <w:rPr>
                <w:b/>
                <w:bCs/>
                <w:lang w:val="fr-CH"/>
              </w:rPr>
              <w:t>lors</w:t>
            </w:r>
            <w:r w:rsidR="007D466C">
              <w:rPr>
                <w:b/>
                <w:bCs/>
                <w:lang w:val="fr-CH"/>
              </w:rPr>
              <w:t xml:space="preserve"> de projets fédéraux, toutes les SDA</w:t>
            </w:r>
            <w:r w:rsidR="325E5E49" w:rsidRPr="00F0226F">
              <w:rPr>
                <w:b/>
                <w:bCs/>
                <w:lang w:val="fr-CH"/>
              </w:rPr>
              <w:t xml:space="preserve"> </w:t>
            </w:r>
            <w:r w:rsidR="00B17D25">
              <w:rPr>
                <w:b/>
                <w:bCs/>
                <w:lang w:val="fr-CH"/>
              </w:rPr>
              <w:t>sollicitées</w:t>
            </w:r>
            <w:r w:rsidR="007D466C">
              <w:rPr>
                <w:b/>
                <w:bCs/>
                <w:lang w:val="fr-CH"/>
              </w:rPr>
              <w:t xml:space="preserve"> seront compensées </w:t>
            </w:r>
            <w:r w:rsidR="00A830C3">
              <w:rPr>
                <w:b/>
                <w:bCs/>
                <w:lang w:val="fr-CH"/>
              </w:rPr>
              <w:t>par des surfaces de</w:t>
            </w:r>
            <w:r w:rsidR="007D466C">
              <w:rPr>
                <w:b/>
                <w:bCs/>
                <w:lang w:val="fr-CH"/>
              </w:rPr>
              <w:t xml:space="preserve"> qualité et </w:t>
            </w:r>
            <w:r w:rsidR="00A830C3">
              <w:rPr>
                <w:b/>
                <w:bCs/>
                <w:lang w:val="fr-CH"/>
              </w:rPr>
              <w:t>de superficie</w:t>
            </w:r>
            <w:r w:rsidR="007D466C">
              <w:rPr>
                <w:b/>
                <w:bCs/>
                <w:lang w:val="fr-CH"/>
              </w:rPr>
              <w:t xml:space="preserve"> équivalentes avec le soutien des cantons concernés. </w:t>
            </w:r>
          </w:p>
          <w:p w14:paraId="7113D965" w14:textId="6A7170CD" w:rsidR="00346896" w:rsidRPr="00F0226F" w:rsidRDefault="007D466C" w:rsidP="007F2FD4">
            <w:pPr>
              <w:pStyle w:val="Listenabsatz"/>
              <w:ind w:left="5" w:hanging="5"/>
              <w:rPr>
                <w:lang w:val="fr-CH"/>
              </w:rPr>
            </w:pPr>
            <w:r>
              <w:rPr>
                <w:lang w:val="fr-CH"/>
              </w:rPr>
              <w:t xml:space="preserve">L’utilisation de SDA </w:t>
            </w:r>
            <w:r w:rsidR="007768D2">
              <w:rPr>
                <w:lang w:val="fr-CH"/>
              </w:rPr>
              <w:t xml:space="preserve">répertoriées dans les inventaires cantonaux </w:t>
            </w:r>
            <w:r>
              <w:rPr>
                <w:lang w:val="fr-CH"/>
              </w:rPr>
              <w:t xml:space="preserve">n’est envisageable qu’au terme d’une pesée des intérêts en présence et d’une étude de variantes </w:t>
            </w:r>
            <w:r w:rsidR="00283DF6">
              <w:rPr>
                <w:lang w:val="fr-CH"/>
              </w:rPr>
              <w:t>au cours desquelles les SDA sont dûment prises en compte</w:t>
            </w:r>
            <w:r w:rsidR="325E5E49" w:rsidRPr="00F0226F">
              <w:rPr>
                <w:lang w:val="fr-CH"/>
              </w:rPr>
              <w:t xml:space="preserve">. </w:t>
            </w:r>
          </w:p>
          <w:p w14:paraId="1293E93C" w14:textId="243AC6CB" w:rsidR="007768D2" w:rsidRDefault="007768D2" w:rsidP="007F2FD4">
            <w:pPr>
              <w:rPr>
                <w:lang w:val="fr-CH"/>
              </w:rPr>
            </w:pPr>
            <w:r w:rsidRPr="00AF7902">
              <w:rPr>
                <w:lang w:val="fr-CH"/>
              </w:rPr>
              <w:t>L’autorité fédérale ou le requérant</w:t>
            </w:r>
            <w:r w:rsidR="00DE274F" w:rsidRPr="00AF7902">
              <w:rPr>
                <w:rStyle w:val="Funotenzeichen"/>
                <w:lang w:val="fr-CH"/>
              </w:rPr>
              <w:footnoteReference w:id="18"/>
            </w:r>
            <w:r w:rsidRPr="00AF7902">
              <w:rPr>
                <w:lang w:val="fr-CH"/>
              </w:rPr>
              <w:t xml:space="preserve"> veille à ce que t</w:t>
            </w:r>
            <w:r w:rsidR="00A830C3" w:rsidRPr="00AF7902">
              <w:rPr>
                <w:lang w:val="fr-CH"/>
              </w:rPr>
              <w:t>outes</w:t>
            </w:r>
            <w:r w:rsidR="00A830C3">
              <w:rPr>
                <w:lang w:val="fr-CH"/>
              </w:rPr>
              <w:t xml:space="preserve"> les SDA</w:t>
            </w:r>
            <w:r>
              <w:rPr>
                <w:lang w:val="fr-CH"/>
              </w:rPr>
              <w:t xml:space="preserve"> répertoriées dans les inventaires cantonaux qui ont été</w:t>
            </w:r>
            <w:r w:rsidR="00A830C3">
              <w:rPr>
                <w:lang w:val="fr-CH"/>
              </w:rPr>
              <w:t xml:space="preserve"> </w:t>
            </w:r>
            <w:r w:rsidR="00B17D25">
              <w:rPr>
                <w:lang w:val="fr-CH"/>
              </w:rPr>
              <w:t>sollicitées</w:t>
            </w:r>
            <w:r w:rsidR="00A830C3">
              <w:rPr>
                <w:lang w:val="fr-CH"/>
              </w:rPr>
              <w:t xml:space="preserve"> </w:t>
            </w:r>
            <w:r>
              <w:rPr>
                <w:lang w:val="fr-CH"/>
              </w:rPr>
              <w:t xml:space="preserve">soient </w:t>
            </w:r>
            <w:r w:rsidR="00A830C3">
              <w:rPr>
                <w:lang w:val="fr-CH"/>
              </w:rPr>
              <w:t>en principe compensées</w:t>
            </w:r>
            <w:r w:rsidR="3120AD34" w:rsidRPr="00F0226F">
              <w:rPr>
                <w:lang w:val="fr-CH"/>
              </w:rPr>
              <w:t xml:space="preserve">. </w:t>
            </w:r>
            <w:r>
              <w:rPr>
                <w:lang w:val="fr-CH"/>
              </w:rPr>
              <w:t xml:space="preserve">Le requérant </w:t>
            </w:r>
            <w:r w:rsidR="00A830C3">
              <w:rPr>
                <w:lang w:val="fr-CH"/>
              </w:rPr>
              <w:t xml:space="preserve">prend en charge les frais correspondants. </w:t>
            </w:r>
          </w:p>
          <w:p w14:paraId="0E3B9A41" w14:textId="66BC309C" w:rsidR="008748C0" w:rsidRPr="00F0226F" w:rsidRDefault="00A830C3" w:rsidP="007F2FD4">
            <w:pPr>
              <w:rPr>
                <w:lang w:val="fr-CH"/>
              </w:rPr>
            </w:pPr>
            <w:r>
              <w:rPr>
                <w:lang w:val="fr-CH"/>
              </w:rPr>
              <w:t xml:space="preserve">Les compensations qui entrent </w:t>
            </w:r>
            <w:r w:rsidR="007768D2">
              <w:rPr>
                <w:lang w:val="fr-CH"/>
              </w:rPr>
              <w:t xml:space="preserve">d’abord </w:t>
            </w:r>
            <w:r>
              <w:rPr>
                <w:lang w:val="fr-CH"/>
              </w:rPr>
              <w:t xml:space="preserve">en ligne de compte sont la revalorisation ou la réhabilitation dans les règles de l’art de sols dégradés par l’activité humaine </w:t>
            </w:r>
            <w:r w:rsidR="007768D2">
              <w:rPr>
                <w:lang w:val="fr-CH"/>
              </w:rPr>
              <w:t xml:space="preserve">qui </w:t>
            </w:r>
            <w:r w:rsidR="000C1E94">
              <w:rPr>
                <w:lang w:val="fr-CH"/>
              </w:rPr>
              <w:t>ne sont pas</w:t>
            </w:r>
            <w:r w:rsidR="007768D2">
              <w:rPr>
                <w:lang w:val="fr-CH"/>
              </w:rPr>
              <w:t xml:space="preserve"> inventoriés </w:t>
            </w:r>
            <w:r>
              <w:rPr>
                <w:lang w:val="fr-CH"/>
              </w:rPr>
              <w:t>ou le déclassement de terrains à bâtir non construits de qualité SDA</w:t>
            </w:r>
            <w:r w:rsidR="3120AD34" w:rsidRPr="00F0226F">
              <w:rPr>
                <w:lang w:val="fr-CH"/>
              </w:rPr>
              <w:t xml:space="preserve">. </w:t>
            </w:r>
            <w:r w:rsidR="007768D2">
              <w:rPr>
                <w:lang w:val="fr-CH"/>
              </w:rPr>
              <w:t>Il est souhaitable d’effectuer l</w:t>
            </w:r>
            <w:r>
              <w:rPr>
                <w:lang w:val="fr-CH"/>
              </w:rPr>
              <w:t>a compensation dans le périmètre du projet</w:t>
            </w:r>
            <w:r w:rsidR="3120AD34" w:rsidRPr="00F0226F">
              <w:rPr>
                <w:lang w:val="fr-CH"/>
              </w:rPr>
              <w:t>.</w:t>
            </w:r>
          </w:p>
          <w:p w14:paraId="393706A3" w14:textId="77777777" w:rsidR="000C1E94" w:rsidRDefault="00A830C3" w:rsidP="007F2FD4">
            <w:pPr>
              <w:rPr>
                <w:lang w:val="fr-CH"/>
              </w:rPr>
            </w:pPr>
            <w:r>
              <w:rPr>
                <w:lang w:val="fr-CH"/>
              </w:rPr>
              <w:t xml:space="preserve">Les cantons </w:t>
            </w:r>
            <w:r w:rsidR="007768D2">
              <w:rPr>
                <w:lang w:val="fr-CH"/>
              </w:rPr>
              <w:t>soutiennent activement</w:t>
            </w:r>
            <w:r>
              <w:rPr>
                <w:lang w:val="fr-CH"/>
              </w:rPr>
              <w:t xml:space="preserve"> la Confédération </w:t>
            </w:r>
            <w:r w:rsidR="007768D2">
              <w:rPr>
                <w:lang w:val="fr-CH"/>
              </w:rPr>
              <w:t xml:space="preserve">pour qu’elle </w:t>
            </w:r>
            <w:r>
              <w:rPr>
                <w:lang w:val="fr-CH"/>
              </w:rPr>
              <w:t>puisse effectuer dans les temps la compensation des SDA perdues en raison de projets fédéraux</w:t>
            </w:r>
            <w:r w:rsidR="325E5E49" w:rsidRPr="00F0226F">
              <w:rPr>
                <w:lang w:val="fr-CH"/>
              </w:rPr>
              <w:t>.</w:t>
            </w:r>
            <w:r w:rsidR="007768D2">
              <w:rPr>
                <w:lang w:val="fr-CH"/>
              </w:rPr>
              <w:t xml:space="preserve"> </w:t>
            </w:r>
          </w:p>
          <w:p w14:paraId="3C4AE812" w14:textId="1798F346" w:rsidR="00346896" w:rsidRPr="00F0226F" w:rsidRDefault="00A830C3" w:rsidP="007F2FD4">
            <w:pPr>
              <w:rPr>
                <w:lang w:val="fr-CH"/>
              </w:rPr>
            </w:pPr>
            <w:r>
              <w:rPr>
                <w:lang w:val="fr-CH"/>
              </w:rPr>
              <w:t xml:space="preserve">Les requérants peuvent également verser une indemnité </w:t>
            </w:r>
            <w:r w:rsidR="00255B48">
              <w:rPr>
                <w:lang w:val="fr-CH"/>
              </w:rPr>
              <w:t xml:space="preserve">calculée en fonction de la surface </w:t>
            </w:r>
            <w:r w:rsidR="00B17D25">
              <w:rPr>
                <w:lang w:val="fr-CH"/>
              </w:rPr>
              <w:t>sollicité</w:t>
            </w:r>
            <w:r w:rsidR="00255B48">
              <w:rPr>
                <w:lang w:val="fr-CH"/>
              </w:rPr>
              <w:t>e si le c</w:t>
            </w:r>
            <w:r w:rsidR="00D92FDB" w:rsidRPr="00F0226F">
              <w:rPr>
                <w:lang w:val="fr-CH"/>
              </w:rPr>
              <w:t xml:space="preserve">anton </w:t>
            </w:r>
            <w:r w:rsidR="00255B48">
              <w:rPr>
                <w:lang w:val="fr-CH"/>
              </w:rPr>
              <w:t>concerné a créé un fonds selon le principe</w:t>
            </w:r>
            <w:r w:rsidR="00D92FDB" w:rsidRPr="00F0226F">
              <w:rPr>
                <w:lang w:val="fr-CH"/>
              </w:rPr>
              <w:t xml:space="preserve"> </w:t>
            </w:r>
            <w:r w:rsidR="00D92FDB" w:rsidRPr="00F0226F">
              <w:rPr>
                <w:lang w:val="fr-CH"/>
              </w:rPr>
              <w:fldChar w:fldCharType="begin"/>
            </w:r>
            <w:r w:rsidR="00D92FDB" w:rsidRPr="00F0226F">
              <w:rPr>
                <w:lang w:val="fr-CH"/>
              </w:rPr>
              <w:instrText xml:space="preserve"> REF _Ref526318176 \r \h </w:instrText>
            </w:r>
            <w:r w:rsidR="00D92FDB" w:rsidRPr="00F0226F">
              <w:rPr>
                <w:lang w:val="fr-CH"/>
              </w:rPr>
            </w:r>
            <w:r w:rsidR="00D92FDB" w:rsidRPr="00F0226F">
              <w:rPr>
                <w:lang w:val="fr-CH"/>
              </w:rPr>
              <w:fldChar w:fldCharType="separate"/>
            </w:r>
            <w:r w:rsidR="001971CC">
              <w:rPr>
                <w:lang w:val="fr-CH"/>
              </w:rPr>
              <w:t>P9</w:t>
            </w:r>
            <w:r w:rsidR="00D92FDB" w:rsidRPr="00F0226F">
              <w:rPr>
                <w:lang w:val="fr-CH"/>
              </w:rPr>
              <w:fldChar w:fldCharType="end"/>
            </w:r>
            <w:r w:rsidR="00D92FDB" w:rsidRPr="00F0226F">
              <w:rPr>
                <w:lang w:val="fr-CH"/>
              </w:rPr>
              <w:t xml:space="preserve"> </w:t>
            </w:r>
            <w:r w:rsidR="00255B48">
              <w:rPr>
                <w:lang w:val="fr-CH"/>
              </w:rPr>
              <w:t>et que les exigences prévues sous</w:t>
            </w:r>
            <w:r w:rsidR="00175823" w:rsidRPr="00F0226F">
              <w:rPr>
                <w:lang w:val="fr-CH"/>
              </w:rPr>
              <w:t xml:space="preserve"> </w:t>
            </w:r>
            <w:r w:rsidR="00175823" w:rsidRPr="00F0226F">
              <w:rPr>
                <w:lang w:val="fr-CH"/>
              </w:rPr>
              <w:fldChar w:fldCharType="begin"/>
            </w:r>
            <w:r w:rsidR="00175823" w:rsidRPr="00F0226F">
              <w:rPr>
                <w:lang w:val="fr-CH"/>
              </w:rPr>
              <w:instrText xml:space="preserve"> REF _Ref526318176 \r \h </w:instrText>
            </w:r>
            <w:r w:rsidR="00175823" w:rsidRPr="00F0226F">
              <w:rPr>
                <w:lang w:val="fr-CH"/>
              </w:rPr>
            </w:r>
            <w:r w:rsidR="00175823" w:rsidRPr="00F0226F">
              <w:rPr>
                <w:lang w:val="fr-CH"/>
              </w:rPr>
              <w:fldChar w:fldCharType="separate"/>
            </w:r>
            <w:r w:rsidR="001971CC">
              <w:rPr>
                <w:lang w:val="fr-CH"/>
              </w:rPr>
              <w:t>P9</w:t>
            </w:r>
            <w:r w:rsidR="00175823" w:rsidRPr="00F0226F">
              <w:rPr>
                <w:lang w:val="fr-CH"/>
              </w:rPr>
              <w:fldChar w:fldCharType="end"/>
            </w:r>
            <w:r w:rsidR="00175823" w:rsidRPr="00F0226F">
              <w:rPr>
                <w:lang w:val="fr-CH"/>
              </w:rPr>
              <w:t xml:space="preserve"> </w:t>
            </w:r>
            <w:r w:rsidR="00255B48">
              <w:rPr>
                <w:lang w:val="fr-CH"/>
              </w:rPr>
              <w:t>sont remplies</w:t>
            </w:r>
            <w:r w:rsidR="00175823" w:rsidRPr="00F0226F">
              <w:rPr>
                <w:lang w:val="fr-CH"/>
              </w:rPr>
              <w:t>.</w:t>
            </w:r>
          </w:p>
        </w:tc>
      </w:tr>
      <w:tr w:rsidR="004121B0" w:rsidRPr="00B94A10" w14:paraId="687F7F37" w14:textId="77777777" w:rsidTr="004121B0">
        <w:trPr>
          <w:gridAfter w:val="1"/>
          <w:wAfter w:w="8062" w:type="dxa"/>
        </w:trPr>
        <w:tc>
          <w:tcPr>
            <w:tcW w:w="9072" w:type="dxa"/>
            <w:gridSpan w:val="2"/>
            <w:shd w:val="clear" w:color="auto" w:fill="A6A6A6" w:themeFill="background1" w:themeFillShade="A6"/>
            <w:vAlign w:val="center"/>
          </w:tcPr>
          <w:p w14:paraId="0675991C" w14:textId="4128F9B7" w:rsidR="004121B0" w:rsidRDefault="004121B0" w:rsidP="004121B0">
            <w:pPr>
              <w:spacing w:before="120"/>
              <w:jc w:val="center"/>
              <w:rPr>
                <w:b/>
                <w:bCs/>
                <w:lang w:val="fr-CH"/>
              </w:rPr>
            </w:pPr>
            <w:bookmarkStart w:id="68" w:name="_Ref520127669"/>
            <w:bookmarkEnd w:id="68"/>
            <w:r>
              <w:rPr>
                <w:b/>
                <w:bCs/>
                <w:lang w:val="fr-CH"/>
              </w:rPr>
              <w:t>Observation de l’évolution des inventaires de</w:t>
            </w:r>
            <w:r w:rsidRPr="00F0226F">
              <w:rPr>
                <w:b/>
                <w:bCs/>
                <w:lang w:val="fr-CH"/>
              </w:rPr>
              <w:t xml:space="preserve"> </w:t>
            </w:r>
            <w:r>
              <w:rPr>
                <w:b/>
                <w:bCs/>
                <w:lang w:val="fr-CH"/>
              </w:rPr>
              <w:t>SDA</w:t>
            </w:r>
          </w:p>
        </w:tc>
      </w:tr>
      <w:tr w:rsidR="00006F94" w:rsidRPr="008454A6" w14:paraId="3E6C1D57" w14:textId="77777777" w:rsidTr="007F2FD4">
        <w:trPr>
          <w:gridAfter w:val="1"/>
          <w:wAfter w:w="8062" w:type="dxa"/>
        </w:trPr>
        <w:tc>
          <w:tcPr>
            <w:tcW w:w="624" w:type="dxa"/>
            <w:shd w:val="clear" w:color="auto" w:fill="D9D9D9" w:themeFill="background1" w:themeFillShade="D9"/>
          </w:tcPr>
          <w:p w14:paraId="6B1EE364" w14:textId="77777777" w:rsidR="00006F94" w:rsidRPr="00BB4760" w:rsidRDefault="00006F94" w:rsidP="003B36D1">
            <w:pPr>
              <w:pStyle w:val="Listenabsatz"/>
              <w:numPr>
                <w:ilvl w:val="0"/>
                <w:numId w:val="34"/>
              </w:numPr>
              <w:spacing w:before="120"/>
              <w:ind w:left="357" w:hanging="357"/>
              <w:rPr>
                <w:b/>
                <w:lang w:val="fr-CH"/>
              </w:rPr>
            </w:pPr>
            <w:bookmarkStart w:id="69" w:name="_Ref532981113"/>
          </w:p>
        </w:tc>
        <w:bookmarkEnd w:id="69"/>
        <w:tc>
          <w:tcPr>
            <w:tcW w:w="8448" w:type="dxa"/>
            <w:shd w:val="clear" w:color="auto" w:fill="D9D9D9" w:themeFill="background1" w:themeFillShade="D9"/>
          </w:tcPr>
          <w:p w14:paraId="26C207D2" w14:textId="0EE325FB" w:rsidR="006D598B" w:rsidRPr="00F0226F" w:rsidRDefault="00255B48" w:rsidP="007F2FD4">
            <w:pPr>
              <w:spacing w:before="120"/>
              <w:rPr>
                <w:b/>
                <w:bCs/>
                <w:lang w:val="fr-CH"/>
              </w:rPr>
            </w:pPr>
            <w:r>
              <w:rPr>
                <w:b/>
                <w:bCs/>
                <w:lang w:val="fr-CH"/>
              </w:rPr>
              <w:t xml:space="preserve">Les cantons actualisent leurs géodonnées </w:t>
            </w:r>
            <w:r w:rsidR="000C1E94">
              <w:rPr>
                <w:b/>
                <w:bCs/>
                <w:lang w:val="fr-CH"/>
              </w:rPr>
              <w:t>sur les</w:t>
            </w:r>
            <w:r w:rsidR="0004205B">
              <w:rPr>
                <w:b/>
                <w:bCs/>
                <w:lang w:val="fr-CH"/>
              </w:rPr>
              <w:t xml:space="preserve"> inventaires de </w:t>
            </w:r>
            <w:r>
              <w:rPr>
                <w:b/>
                <w:bCs/>
                <w:lang w:val="fr-CH"/>
              </w:rPr>
              <w:t xml:space="preserve">SDA au moins une fois par an, </w:t>
            </w:r>
            <w:r w:rsidR="000C1E94">
              <w:rPr>
                <w:b/>
                <w:bCs/>
                <w:lang w:val="fr-CH"/>
              </w:rPr>
              <w:t>au</w:t>
            </w:r>
            <w:r w:rsidR="325E5E49" w:rsidRPr="00F0226F">
              <w:rPr>
                <w:b/>
                <w:bCs/>
                <w:lang w:val="fr-CH"/>
              </w:rPr>
              <w:t xml:space="preserve"> </w:t>
            </w:r>
            <w:r>
              <w:rPr>
                <w:b/>
                <w:bCs/>
                <w:lang w:val="fr-CH"/>
              </w:rPr>
              <w:t>1</w:t>
            </w:r>
            <w:r w:rsidRPr="00255B48">
              <w:rPr>
                <w:b/>
                <w:bCs/>
                <w:vertAlign w:val="superscript"/>
                <w:lang w:val="fr-CH"/>
              </w:rPr>
              <w:t>er</w:t>
            </w:r>
            <w:r>
              <w:rPr>
                <w:b/>
                <w:bCs/>
                <w:lang w:val="fr-CH"/>
              </w:rPr>
              <w:t xml:space="preserve"> janvier</w:t>
            </w:r>
            <w:r w:rsidR="325E5E49" w:rsidRPr="00F0226F">
              <w:rPr>
                <w:b/>
                <w:bCs/>
                <w:lang w:val="fr-CH"/>
              </w:rPr>
              <w:t xml:space="preserve">. </w:t>
            </w:r>
          </w:p>
          <w:p w14:paraId="5F8CFA53" w14:textId="35674021" w:rsidR="00006F94" w:rsidRPr="00F0226F" w:rsidRDefault="00255B48" w:rsidP="007F2FD4">
            <w:pPr>
              <w:spacing w:before="120"/>
              <w:rPr>
                <w:sz w:val="18"/>
                <w:szCs w:val="18"/>
                <w:lang w:val="fr-CH"/>
              </w:rPr>
            </w:pPr>
            <w:r>
              <w:rPr>
                <w:lang w:val="fr-CH"/>
              </w:rPr>
              <w:t xml:space="preserve">Les données </w:t>
            </w:r>
            <w:r w:rsidR="0004205B">
              <w:rPr>
                <w:lang w:val="fr-CH"/>
              </w:rPr>
              <w:t xml:space="preserve">relatives aux inventaires de </w:t>
            </w:r>
            <w:r>
              <w:rPr>
                <w:lang w:val="fr-CH"/>
              </w:rPr>
              <w:t>SDA sont publiées sur le géoportail national et sont à la disposition du public</w:t>
            </w:r>
            <w:r w:rsidR="006D598B" w:rsidRPr="00F0226F">
              <w:rPr>
                <w:lang w:val="fr-CH"/>
              </w:rPr>
              <w:t>.</w:t>
            </w:r>
            <w:r w:rsidR="325E5E49" w:rsidRPr="00F0226F">
              <w:rPr>
                <w:lang w:val="fr-CH"/>
              </w:rPr>
              <w:t xml:space="preserve"> </w:t>
            </w:r>
          </w:p>
        </w:tc>
      </w:tr>
      <w:tr w:rsidR="00006F94" w:rsidRPr="00B94A10" w14:paraId="3A838DF8" w14:textId="77777777" w:rsidTr="007F2FD4">
        <w:trPr>
          <w:gridAfter w:val="1"/>
          <w:wAfter w:w="8062" w:type="dxa"/>
        </w:trPr>
        <w:tc>
          <w:tcPr>
            <w:tcW w:w="624" w:type="dxa"/>
            <w:shd w:val="clear" w:color="auto" w:fill="D9D9D9" w:themeFill="background1" w:themeFillShade="D9"/>
          </w:tcPr>
          <w:p w14:paraId="2B9AD7F2" w14:textId="0C4C14F3" w:rsidR="00006F94" w:rsidRPr="00BB4760" w:rsidRDefault="00006F94" w:rsidP="00BB4760">
            <w:pPr>
              <w:pStyle w:val="Listenabsatz"/>
              <w:numPr>
                <w:ilvl w:val="0"/>
                <w:numId w:val="34"/>
              </w:numPr>
              <w:rPr>
                <w:b/>
                <w:lang w:val="fr-CH"/>
              </w:rPr>
            </w:pPr>
          </w:p>
        </w:tc>
        <w:tc>
          <w:tcPr>
            <w:tcW w:w="8448" w:type="dxa"/>
            <w:shd w:val="clear" w:color="auto" w:fill="D9D9D9" w:themeFill="background1" w:themeFillShade="D9"/>
          </w:tcPr>
          <w:p w14:paraId="09DA84D0" w14:textId="5F4B4B6A" w:rsidR="00006F94" w:rsidRPr="00F0226F" w:rsidRDefault="00255B48" w:rsidP="007F2FD4">
            <w:pPr>
              <w:rPr>
                <w:b/>
                <w:bCs/>
                <w:lang w:val="fr-CH"/>
              </w:rPr>
            </w:pPr>
            <w:r>
              <w:rPr>
                <w:b/>
                <w:bCs/>
                <w:lang w:val="fr-CH"/>
              </w:rPr>
              <w:t xml:space="preserve">La Confédération établit et publie une statistique </w:t>
            </w:r>
            <w:r w:rsidR="008D353D">
              <w:rPr>
                <w:b/>
                <w:bCs/>
                <w:lang w:val="fr-CH"/>
              </w:rPr>
              <w:t>d</w:t>
            </w:r>
            <w:r>
              <w:rPr>
                <w:b/>
                <w:bCs/>
                <w:lang w:val="fr-CH"/>
              </w:rPr>
              <w:t xml:space="preserve">es SDA tous les </w:t>
            </w:r>
            <w:r w:rsidR="0004205B">
              <w:rPr>
                <w:b/>
                <w:bCs/>
                <w:lang w:val="fr-CH"/>
              </w:rPr>
              <w:t xml:space="preserve">quatre </w:t>
            </w:r>
            <w:r>
              <w:rPr>
                <w:b/>
                <w:bCs/>
                <w:lang w:val="fr-CH"/>
              </w:rPr>
              <w:t>ans</w:t>
            </w:r>
            <w:r w:rsidR="00755AC8" w:rsidRPr="00F0226F">
              <w:rPr>
                <w:b/>
                <w:bCs/>
                <w:lang w:val="fr-CH"/>
              </w:rPr>
              <w:t>.</w:t>
            </w:r>
          </w:p>
          <w:p w14:paraId="6E5B2ABD" w14:textId="3C35EB96" w:rsidR="00F823BB" w:rsidRPr="00F0226F" w:rsidRDefault="00255B48" w:rsidP="007F2FD4">
            <w:pPr>
              <w:rPr>
                <w:bCs/>
                <w:lang w:val="fr-CH"/>
              </w:rPr>
            </w:pPr>
            <w:r>
              <w:rPr>
                <w:lang w:val="fr-CH"/>
              </w:rPr>
              <w:t xml:space="preserve">Cette statistique </w:t>
            </w:r>
            <w:r w:rsidR="008D353D">
              <w:rPr>
                <w:lang w:val="fr-CH"/>
              </w:rPr>
              <w:t>indique</w:t>
            </w:r>
            <w:r>
              <w:rPr>
                <w:lang w:val="fr-CH"/>
              </w:rPr>
              <w:t xml:space="preserve"> l</w:t>
            </w:r>
            <w:r w:rsidR="008D353D">
              <w:rPr>
                <w:lang w:val="fr-CH"/>
              </w:rPr>
              <w:t>a superficie et la répartition géographique des SDA</w:t>
            </w:r>
            <w:r w:rsidR="325E5E49" w:rsidRPr="00F0226F">
              <w:rPr>
                <w:lang w:val="fr-CH"/>
              </w:rPr>
              <w:t xml:space="preserve">. </w:t>
            </w:r>
            <w:r w:rsidR="008D353D">
              <w:rPr>
                <w:lang w:val="fr-CH"/>
              </w:rPr>
              <w:t xml:space="preserve">Elle montre notamment les augmentations et les pertes de SDA </w:t>
            </w:r>
            <w:r w:rsidR="0004205B">
              <w:rPr>
                <w:lang w:val="fr-CH"/>
              </w:rPr>
              <w:t>indiquées dans les inventaires cantonaux</w:t>
            </w:r>
            <w:r w:rsidR="325E5E49" w:rsidRPr="00F0226F">
              <w:rPr>
                <w:lang w:val="fr-CH"/>
              </w:rPr>
              <w:t xml:space="preserve">. </w:t>
            </w:r>
          </w:p>
        </w:tc>
      </w:tr>
      <w:tr w:rsidR="004121B0" w:rsidRPr="00B94A10" w14:paraId="39ACDA72" w14:textId="77777777" w:rsidTr="004121B0">
        <w:trPr>
          <w:gridAfter w:val="1"/>
          <w:wAfter w:w="8062" w:type="dxa"/>
        </w:trPr>
        <w:tc>
          <w:tcPr>
            <w:tcW w:w="9072" w:type="dxa"/>
            <w:gridSpan w:val="2"/>
            <w:shd w:val="clear" w:color="auto" w:fill="A6A6A6" w:themeFill="background1" w:themeFillShade="A6"/>
            <w:vAlign w:val="center"/>
          </w:tcPr>
          <w:p w14:paraId="56709FBC" w14:textId="1E18E634" w:rsidR="004121B0" w:rsidRDefault="004121B0" w:rsidP="004121B0">
            <w:pPr>
              <w:spacing w:before="120"/>
              <w:jc w:val="center"/>
              <w:rPr>
                <w:b/>
                <w:bCs/>
                <w:lang w:val="fr-CH"/>
              </w:rPr>
            </w:pPr>
            <w:r>
              <w:rPr>
                <w:b/>
                <w:bCs/>
                <w:lang w:val="fr-CH"/>
              </w:rPr>
              <w:t>Information de l’ARE et examen des inventaires de SDA</w:t>
            </w:r>
          </w:p>
        </w:tc>
      </w:tr>
      <w:tr w:rsidR="00006F94" w:rsidRPr="00B94A10" w14:paraId="209C7667" w14:textId="77777777" w:rsidTr="007F2FD4">
        <w:trPr>
          <w:gridAfter w:val="1"/>
          <w:wAfter w:w="8062" w:type="dxa"/>
        </w:trPr>
        <w:tc>
          <w:tcPr>
            <w:tcW w:w="624" w:type="dxa"/>
            <w:shd w:val="clear" w:color="auto" w:fill="D9D9D9" w:themeFill="background1" w:themeFillShade="D9"/>
          </w:tcPr>
          <w:p w14:paraId="45435D39" w14:textId="016387E9" w:rsidR="00006F94" w:rsidRPr="00BB4760" w:rsidRDefault="00006F94" w:rsidP="00BB4760">
            <w:pPr>
              <w:pStyle w:val="Listenabsatz"/>
              <w:numPr>
                <w:ilvl w:val="0"/>
                <w:numId w:val="34"/>
              </w:numPr>
              <w:spacing w:before="120"/>
              <w:rPr>
                <w:b/>
                <w:lang w:val="fr-CH"/>
              </w:rPr>
            </w:pPr>
          </w:p>
        </w:tc>
        <w:tc>
          <w:tcPr>
            <w:tcW w:w="8448" w:type="dxa"/>
            <w:shd w:val="clear" w:color="auto" w:fill="D9D9D9" w:themeFill="background1" w:themeFillShade="D9"/>
          </w:tcPr>
          <w:p w14:paraId="27F340F3" w14:textId="385B46DF" w:rsidR="00006F94" w:rsidRPr="00F0226F" w:rsidRDefault="008D353D" w:rsidP="007F2FD4">
            <w:pPr>
              <w:spacing w:before="120"/>
              <w:rPr>
                <w:b/>
                <w:bCs/>
                <w:lang w:val="fr-CH"/>
              </w:rPr>
            </w:pPr>
            <w:r>
              <w:rPr>
                <w:b/>
                <w:bCs/>
                <w:lang w:val="fr-CH"/>
              </w:rPr>
              <w:t>Les cantons renseignent l’A</w:t>
            </w:r>
            <w:r w:rsidR="325E5E49" w:rsidRPr="00F0226F">
              <w:rPr>
                <w:b/>
                <w:bCs/>
                <w:lang w:val="fr-CH"/>
              </w:rPr>
              <w:t xml:space="preserve">RE </w:t>
            </w:r>
            <w:r>
              <w:rPr>
                <w:b/>
                <w:bCs/>
                <w:lang w:val="fr-CH"/>
              </w:rPr>
              <w:t>tous les quatre ans sur les modifications qui affectent</w:t>
            </w:r>
            <w:r w:rsidR="00B94A10">
              <w:rPr>
                <w:b/>
                <w:bCs/>
                <w:lang w:val="fr-CH"/>
              </w:rPr>
              <w:t xml:space="preserve"> </w:t>
            </w:r>
            <w:bookmarkStart w:id="70" w:name="_GoBack"/>
            <w:bookmarkEnd w:id="70"/>
            <w:r>
              <w:rPr>
                <w:b/>
                <w:bCs/>
                <w:lang w:val="fr-CH"/>
              </w:rPr>
              <w:t xml:space="preserve">l’emplacement, l’étendue et la qualité de l’inventaire SDA. L’ARE examine le contenu des documents transmis et contrôle si les principes du présent </w:t>
            </w:r>
            <w:r w:rsidR="00DF7A47">
              <w:rPr>
                <w:b/>
                <w:bCs/>
                <w:lang w:val="fr-CH"/>
              </w:rPr>
              <w:t>P</w:t>
            </w:r>
            <w:r>
              <w:rPr>
                <w:b/>
                <w:bCs/>
                <w:lang w:val="fr-CH"/>
              </w:rPr>
              <w:t>lan sectoriel sont respectés</w:t>
            </w:r>
            <w:r w:rsidR="325E5E49" w:rsidRPr="00F0226F">
              <w:rPr>
                <w:b/>
                <w:bCs/>
                <w:lang w:val="fr-CH"/>
              </w:rPr>
              <w:t>.</w:t>
            </w:r>
          </w:p>
          <w:p w14:paraId="1FE84B33" w14:textId="17424377" w:rsidR="007B066F" w:rsidRPr="00F0226F" w:rsidRDefault="008D353D" w:rsidP="007F2FD4">
            <w:pPr>
              <w:rPr>
                <w:lang w:val="fr-CH"/>
              </w:rPr>
            </w:pPr>
            <w:r>
              <w:rPr>
                <w:lang w:val="fr-CH"/>
              </w:rPr>
              <w:t>Cette obligation de rense</w:t>
            </w:r>
            <w:r w:rsidR="00CB2754">
              <w:rPr>
                <w:lang w:val="fr-CH"/>
              </w:rPr>
              <w:t>igner</w:t>
            </w:r>
            <w:r>
              <w:rPr>
                <w:lang w:val="fr-CH"/>
              </w:rPr>
              <w:t xml:space="preserve"> est </w:t>
            </w:r>
            <w:r w:rsidR="00CB2754">
              <w:rPr>
                <w:lang w:val="fr-CH"/>
              </w:rPr>
              <w:t>ancrée dans l’OAT</w:t>
            </w:r>
            <w:r w:rsidR="325E5E49" w:rsidRPr="00F0226F">
              <w:rPr>
                <w:lang w:val="fr-CH"/>
              </w:rPr>
              <w:t xml:space="preserve"> (</w:t>
            </w:r>
            <w:r w:rsidR="00CB2754">
              <w:rPr>
                <w:lang w:val="fr-CH"/>
              </w:rPr>
              <w:t>a</w:t>
            </w:r>
            <w:r w:rsidR="325E5E49" w:rsidRPr="00F0226F">
              <w:rPr>
                <w:lang w:val="fr-CH"/>
              </w:rPr>
              <w:t>rt. 30</w:t>
            </w:r>
            <w:r w:rsidR="000C1E94">
              <w:rPr>
                <w:lang w:val="fr-CH"/>
              </w:rPr>
              <w:t>,</w:t>
            </w:r>
            <w:r w:rsidR="325E5E49" w:rsidRPr="00F0226F">
              <w:rPr>
                <w:lang w:val="fr-CH"/>
              </w:rPr>
              <w:t xml:space="preserve"> </w:t>
            </w:r>
            <w:r w:rsidR="00CB2754">
              <w:rPr>
                <w:lang w:val="fr-CH"/>
              </w:rPr>
              <w:t>al</w:t>
            </w:r>
            <w:r w:rsidR="325E5E49" w:rsidRPr="00F0226F">
              <w:rPr>
                <w:lang w:val="fr-CH"/>
              </w:rPr>
              <w:t xml:space="preserve">. 4). </w:t>
            </w:r>
            <w:r w:rsidR="00CB2754">
              <w:rPr>
                <w:lang w:val="fr-CH"/>
              </w:rPr>
              <w:t>Elle peut avoir lieu dans le cadre de l’information à donner sur l’état de la planification directrice au sens de l’a</w:t>
            </w:r>
            <w:r w:rsidR="325E5E49" w:rsidRPr="00F0226F">
              <w:rPr>
                <w:lang w:val="fr-CH"/>
              </w:rPr>
              <w:t>rt</w:t>
            </w:r>
            <w:r w:rsidR="0004205B">
              <w:rPr>
                <w:lang w:val="fr-CH"/>
              </w:rPr>
              <w:t>icle</w:t>
            </w:r>
            <w:r w:rsidR="325E5E49" w:rsidRPr="00F0226F">
              <w:rPr>
                <w:lang w:val="fr-CH"/>
              </w:rPr>
              <w:t xml:space="preserve"> 9 </w:t>
            </w:r>
            <w:r w:rsidR="00CB2754">
              <w:rPr>
                <w:lang w:val="fr-CH"/>
              </w:rPr>
              <w:lastRenderedPageBreak/>
              <w:t>OAT</w:t>
            </w:r>
            <w:r w:rsidR="325E5E49" w:rsidRPr="00F0226F">
              <w:rPr>
                <w:lang w:val="fr-CH"/>
              </w:rPr>
              <w:t xml:space="preserve">. </w:t>
            </w:r>
            <w:r w:rsidR="00CB2754">
              <w:rPr>
                <w:lang w:val="fr-CH"/>
              </w:rPr>
              <w:t xml:space="preserve">Elle comprend </w:t>
            </w:r>
            <w:r w:rsidR="0004205B">
              <w:rPr>
                <w:lang w:val="fr-CH"/>
              </w:rPr>
              <w:t>les</w:t>
            </w:r>
            <w:r w:rsidR="00CB2754">
              <w:rPr>
                <w:lang w:val="fr-CH"/>
              </w:rPr>
              <w:t xml:space="preserve"> géodonnées </w:t>
            </w:r>
            <w:r w:rsidR="0004205B">
              <w:rPr>
                <w:lang w:val="fr-CH"/>
              </w:rPr>
              <w:t>actualisées des inventaires de</w:t>
            </w:r>
            <w:r w:rsidR="00CB2754">
              <w:rPr>
                <w:lang w:val="fr-CH"/>
              </w:rPr>
              <w:t xml:space="preserve"> SDA et un rapport indiquant les modifications intervenues dans l’inventaire SDA, le traitement des SDA et les mesures </w:t>
            </w:r>
            <w:r w:rsidR="000C1E94">
              <w:rPr>
                <w:lang w:val="fr-CH"/>
              </w:rPr>
              <w:t>servant à garantir durablement le</w:t>
            </w:r>
            <w:r w:rsidR="00CB2754">
              <w:rPr>
                <w:lang w:val="fr-CH"/>
              </w:rPr>
              <w:t xml:space="preserve"> contingent</w:t>
            </w:r>
            <w:r w:rsidR="325E5E49" w:rsidRPr="00F0226F">
              <w:rPr>
                <w:lang w:val="fr-CH"/>
              </w:rPr>
              <w:t>.</w:t>
            </w:r>
          </w:p>
          <w:p w14:paraId="445C3650" w14:textId="5E1C9D61" w:rsidR="000625FF" w:rsidRPr="00F0226F" w:rsidRDefault="00CB2754" w:rsidP="007F2FD4">
            <w:pPr>
              <w:rPr>
                <w:lang w:val="fr-CH"/>
              </w:rPr>
            </w:pPr>
            <w:r>
              <w:rPr>
                <w:lang w:val="fr-CH"/>
              </w:rPr>
              <w:t>L’</w:t>
            </w:r>
            <w:r w:rsidR="325E5E49" w:rsidRPr="00F0226F">
              <w:rPr>
                <w:lang w:val="fr-CH"/>
              </w:rPr>
              <w:t xml:space="preserve">ARE </w:t>
            </w:r>
            <w:r>
              <w:rPr>
                <w:lang w:val="fr-CH"/>
              </w:rPr>
              <w:t>examine les documents et donne un retour aux cantons</w:t>
            </w:r>
            <w:r w:rsidR="325E5E49" w:rsidRPr="00F0226F">
              <w:rPr>
                <w:lang w:val="fr-CH"/>
              </w:rPr>
              <w:t xml:space="preserve">. </w:t>
            </w:r>
          </w:p>
        </w:tc>
      </w:tr>
      <w:tr w:rsidR="00E9656D" w:rsidRPr="003120B2" w14:paraId="03A2EB21" w14:textId="77777777" w:rsidTr="00E9656D">
        <w:trPr>
          <w:gridAfter w:val="1"/>
          <w:wAfter w:w="8062" w:type="dxa"/>
        </w:trPr>
        <w:tc>
          <w:tcPr>
            <w:tcW w:w="9072" w:type="dxa"/>
            <w:gridSpan w:val="2"/>
            <w:shd w:val="clear" w:color="auto" w:fill="A6A6A6" w:themeFill="background1" w:themeFillShade="A6"/>
            <w:vAlign w:val="center"/>
          </w:tcPr>
          <w:p w14:paraId="61B1F8CE" w14:textId="1B84EB6B" w:rsidR="00E9656D" w:rsidRDefault="00E9656D" w:rsidP="00E9656D">
            <w:pPr>
              <w:spacing w:before="120"/>
              <w:jc w:val="center"/>
              <w:rPr>
                <w:b/>
                <w:bCs/>
                <w:lang w:val="fr-CH"/>
              </w:rPr>
            </w:pPr>
            <w:r>
              <w:rPr>
                <w:b/>
                <w:bCs/>
                <w:lang w:val="fr-CH"/>
              </w:rPr>
              <w:lastRenderedPageBreak/>
              <w:t>Cas spéciaux</w:t>
            </w:r>
          </w:p>
        </w:tc>
      </w:tr>
      <w:tr w:rsidR="00A876BD" w:rsidRPr="003120B2" w14:paraId="27AFA0B7" w14:textId="77777777" w:rsidTr="007F2FD4">
        <w:trPr>
          <w:gridAfter w:val="1"/>
          <w:wAfter w:w="8062" w:type="dxa"/>
        </w:trPr>
        <w:tc>
          <w:tcPr>
            <w:tcW w:w="624" w:type="dxa"/>
            <w:shd w:val="clear" w:color="auto" w:fill="D9D9D9" w:themeFill="background1" w:themeFillShade="D9"/>
          </w:tcPr>
          <w:p w14:paraId="2D0286C6" w14:textId="242954A6" w:rsidR="00A876BD" w:rsidRPr="00BB4760" w:rsidRDefault="00A876BD" w:rsidP="00BB4760">
            <w:pPr>
              <w:pStyle w:val="Listenabsatz"/>
              <w:numPr>
                <w:ilvl w:val="0"/>
                <w:numId w:val="34"/>
              </w:numPr>
              <w:spacing w:before="120"/>
              <w:rPr>
                <w:b/>
                <w:lang w:val="fr-CH"/>
              </w:rPr>
            </w:pPr>
          </w:p>
        </w:tc>
        <w:tc>
          <w:tcPr>
            <w:tcW w:w="8448" w:type="dxa"/>
            <w:shd w:val="clear" w:color="auto" w:fill="D9D9D9" w:themeFill="background1" w:themeFillShade="D9"/>
          </w:tcPr>
          <w:p w14:paraId="54F92CB9" w14:textId="46B67EAB" w:rsidR="00A876BD" w:rsidRPr="00F0226F" w:rsidRDefault="00031A78" w:rsidP="007F2FD4">
            <w:pPr>
              <w:spacing w:before="120"/>
              <w:rPr>
                <w:b/>
                <w:bCs/>
                <w:lang w:val="fr-CH"/>
              </w:rPr>
            </w:pPr>
            <w:r>
              <w:rPr>
                <w:b/>
                <w:bCs/>
                <w:lang w:val="fr-CH"/>
              </w:rPr>
              <w:t xml:space="preserve">Les </w:t>
            </w:r>
            <w:r w:rsidR="0004205B">
              <w:rPr>
                <w:b/>
                <w:bCs/>
                <w:lang w:val="fr-CH"/>
              </w:rPr>
              <w:t xml:space="preserve">surfaces affectées à </w:t>
            </w:r>
            <w:r>
              <w:rPr>
                <w:b/>
                <w:bCs/>
                <w:lang w:val="fr-CH"/>
              </w:rPr>
              <w:t>une utilisation spéciale peuvent être comptabilisées dans l’inventaire cantonal</w:t>
            </w:r>
            <w:r w:rsidR="325E5E49" w:rsidRPr="00F0226F">
              <w:rPr>
                <w:b/>
                <w:bCs/>
                <w:lang w:val="fr-CH"/>
              </w:rPr>
              <w:t xml:space="preserve"> </w:t>
            </w:r>
            <w:r>
              <w:rPr>
                <w:b/>
                <w:bCs/>
                <w:lang w:val="fr-CH"/>
              </w:rPr>
              <w:t xml:space="preserve">si leur </w:t>
            </w:r>
            <w:r w:rsidR="0004205B">
              <w:rPr>
                <w:b/>
                <w:bCs/>
                <w:lang w:val="fr-CH"/>
              </w:rPr>
              <w:t xml:space="preserve">sol présente la </w:t>
            </w:r>
            <w:r>
              <w:rPr>
                <w:b/>
                <w:bCs/>
                <w:lang w:val="fr-CH"/>
              </w:rPr>
              <w:t>qualité SDA et que leur surface est disponible dans un délai de 12 mois pour une remise en culture en cas de grave pénurie</w:t>
            </w:r>
            <w:r w:rsidR="325E5E49" w:rsidRPr="00F0226F">
              <w:rPr>
                <w:b/>
                <w:bCs/>
                <w:lang w:val="fr-CH"/>
              </w:rPr>
              <w:t xml:space="preserve">. </w:t>
            </w:r>
          </w:p>
          <w:p w14:paraId="60D6B376" w14:textId="6308CF56" w:rsidR="004561E7" w:rsidRPr="00F0226F" w:rsidRDefault="00031A78" w:rsidP="007F2FD4">
            <w:pPr>
              <w:rPr>
                <w:rFonts w:cs="Arial"/>
                <w:lang w:val="fr-CH"/>
              </w:rPr>
            </w:pPr>
            <w:r>
              <w:rPr>
                <w:rStyle w:val="normaltextrun1"/>
                <w:rFonts w:cs="Arial"/>
                <w:lang w:val="fr-CH"/>
              </w:rPr>
              <w:t xml:space="preserve">Dans les cas d’atteintes considérables à la structure du sol </w:t>
            </w:r>
            <w:r w:rsidR="07C4BBA7" w:rsidRPr="00F0226F">
              <w:rPr>
                <w:rStyle w:val="normaltextrun1"/>
                <w:rFonts w:cs="Arial"/>
                <w:lang w:val="fr-CH"/>
              </w:rPr>
              <w:t>(</w:t>
            </w:r>
            <w:r w:rsidR="00D51E8F">
              <w:rPr>
                <w:rStyle w:val="normaltextrun1"/>
                <w:rFonts w:cs="Arial"/>
                <w:lang w:val="fr-CH"/>
              </w:rPr>
              <w:t>aplanissements de terrain</w:t>
            </w:r>
            <w:r w:rsidR="07C4BBA7" w:rsidRPr="00F0226F">
              <w:rPr>
                <w:rStyle w:val="normaltextrun1"/>
                <w:rFonts w:cs="Arial"/>
                <w:lang w:val="fr-CH"/>
              </w:rPr>
              <w:t>) o</w:t>
            </w:r>
            <w:r w:rsidR="00D51E8F">
              <w:rPr>
                <w:rStyle w:val="normaltextrun1"/>
                <w:rFonts w:cs="Arial"/>
                <w:lang w:val="fr-CH"/>
              </w:rPr>
              <w:t xml:space="preserve">u de décapage du sol, </w:t>
            </w:r>
            <w:r w:rsidR="00FF2742">
              <w:rPr>
                <w:rStyle w:val="normaltextrun1"/>
                <w:rFonts w:cs="Arial"/>
                <w:lang w:val="fr-CH"/>
              </w:rPr>
              <w:t xml:space="preserve">il faut considérer que </w:t>
            </w:r>
            <w:r w:rsidR="00D51E8F">
              <w:rPr>
                <w:rStyle w:val="normaltextrun1"/>
                <w:rFonts w:cs="Arial"/>
                <w:lang w:val="fr-CH"/>
              </w:rPr>
              <w:t>les critères mentionnés ci-dessus</w:t>
            </w:r>
            <w:r w:rsidR="008B5D85" w:rsidRPr="00F0226F">
              <w:rPr>
                <w:rStyle w:val="Funotenzeichen"/>
                <w:lang w:val="fr-CH"/>
              </w:rPr>
              <w:footnoteReference w:id="19"/>
            </w:r>
            <w:r w:rsidR="00D51E8F">
              <w:rPr>
                <w:rStyle w:val="normaltextrun1"/>
                <w:rFonts w:cs="Arial"/>
                <w:lang w:val="fr-CH"/>
              </w:rPr>
              <w:t xml:space="preserve"> </w:t>
            </w:r>
            <w:r w:rsidR="00FF2742">
              <w:rPr>
                <w:rStyle w:val="normaltextrun1"/>
                <w:rFonts w:cs="Arial"/>
                <w:lang w:val="fr-CH"/>
              </w:rPr>
              <w:t>ne sont plus</w:t>
            </w:r>
            <w:r w:rsidR="00D51E8F">
              <w:rPr>
                <w:rStyle w:val="normaltextrun1"/>
                <w:rFonts w:cs="Arial"/>
                <w:lang w:val="fr-CH"/>
              </w:rPr>
              <w:t xml:space="preserve"> satisfaits. </w:t>
            </w:r>
            <w:r w:rsidR="00FF2742">
              <w:rPr>
                <w:rStyle w:val="normaltextrun1"/>
                <w:rFonts w:cs="Arial"/>
                <w:lang w:val="fr-CH"/>
              </w:rPr>
              <w:t>Ces</w:t>
            </w:r>
            <w:r w:rsidR="00D51E8F">
              <w:rPr>
                <w:rStyle w:val="normaltextrun1"/>
                <w:rFonts w:cs="Arial"/>
                <w:lang w:val="fr-CH"/>
              </w:rPr>
              <w:t xml:space="preserve"> surfaces</w:t>
            </w:r>
            <w:r w:rsidR="00FF2742">
              <w:rPr>
                <w:rStyle w:val="normaltextrun1"/>
                <w:rFonts w:cs="Arial"/>
                <w:lang w:val="fr-CH"/>
              </w:rPr>
              <w:t xml:space="preserve"> doivent dès lors être soustraites</w:t>
            </w:r>
            <w:r w:rsidR="00D51E8F">
              <w:rPr>
                <w:rStyle w:val="normaltextrun1"/>
                <w:rFonts w:cs="Arial"/>
                <w:lang w:val="fr-CH"/>
              </w:rPr>
              <w:t xml:space="preserve"> </w:t>
            </w:r>
            <w:r w:rsidR="0004205B">
              <w:rPr>
                <w:rStyle w:val="normaltextrun1"/>
                <w:rFonts w:cs="Arial"/>
                <w:lang w:val="fr-CH"/>
              </w:rPr>
              <w:t>de l’inventaire</w:t>
            </w:r>
            <w:r w:rsidR="07C4BBA7" w:rsidRPr="00F0226F">
              <w:rPr>
                <w:rStyle w:val="normaltextrun1"/>
                <w:rFonts w:cs="Arial"/>
                <w:lang w:val="fr-CH"/>
              </w:rPr>
              <w:t>.</w:t>
            </w:r>
          </w:p>
        </w:tc>
      </w:tr>
      <w:bookmarkEnd w:id="58"/>
      <w:tr w:rsidR="00CF40A3" w:rsidRPr="00B94A10" w14:paraId="4A1700F8" w14:textId="77777777" w:rsidTr="00CF40A3">
        <w:trPr>
          <w:gridAfter w:val="1"/>
          <w:wAfter w:w="8062" w:type="dxa"/>
        </w:trPr>
        <w:tc>
          <w:tcPr>
            <w:tcW w:w="9072" w:type="dxa"/>
            <w:gridSpan w:val="2"/>
            <w:shd w:val="clear" w:color="auto" w:fill="A6A6A6" w:themeFill="background1" w:themeFillShade="A6"/>
            <w:vAlign w:val="center"/>
          </w:tcPr>
          <w:p w14:paraId="6235EECC" w14:textId="43666468" w:rsidR="00CF40A3" w:rsidRDefault="00CF40A3" w:rsidP="00CF40A3">
            <w:pPr>
              <w:spacing w:before="120"/>
              <w:jc w:val="center"/>
              <w:rPr>
                <w:b/>
                <w:bCs/>
                <w:lang w:val="fr-CH"/>
              </w:rPr>
            </w:pPr>
            <w:r w:rsidRPr="00F0226F">
              <w:rPr>
                <w:b/>
                <w:bCs/>
                <w:lang w:val="fr-CH"/>
              </w:rPr>
              <w:t>R</w:t>
            </w:r>
            <w:r>
              <w:rPr>
                <w:b/>
                <w:bCs/>
                <w:lang w:val="fr-CH"/>
              </w:rPr>
              <w:t>églementations relatives aux</w:t>
            </w:r>
            <w:r w:rsidRPr="00F0226F">
              <w:rPr>
                <w:b/>
                <w:bCs/>
                <w:lang w:val="fr-CH"/>
              </w:rPr>
              <w:t xml:space="preserve"> </w:t>
            </w:r>
            <w:r>
              <w:rPr>
                <w:b/>
                <w:bCs/>
                <w:lang w:val="fr-CH"/>
              </w:rPr>
              <w:t>bases de données des cantons</w:t>
            </w:r>
          </w:p>
        </w:tc>
      </w:tr>
      <w:tr w:rsidR="00CF40A3" w:rsidRPr="00B94A10" w14:paraId="36F06D4C" w14:textId="77777777" w:rsidTr="007F2FD4">
        <w:trPr>
          <w:gridAfter w:val="1"/>
          <w:wAfter w:w="8062" w:type="dxa"/>
        </w:trPr>
        <w:tc>
          <w:tcPr>
            <w:tcW w:w="624" w:type="dxa"/>
            <w:shd w:val="clear" w:color="auto" w:fill="D9D9D9" w:themeFill="background1" w:themeFillShade="D9"/>
          </w:tcPr>
          <w:p w14:paraId="2C3CE45D" w14:textId="5E637C10" w:rsidR="00CF40A3" w:rsidRPr="00BB4760" w:rsidRDefault="00CF40A3" w:rsidP="00BB4760">
            <w:pPr>
              <w:pStyle w:val="Listenabsatz"/>
              <w:numPr>
                <w:ilvl w:val="0"/>
                <w:numId w:val="34"/>
              </w:numPr>
              <w:spacing w:before="120"/>
              <w:rPr>
                <w:b/>
                <w:lang w:val="fr-CH"/>
              </w:rPr>
            </w:pPr>
            <w:bookmarkStart w:id="71" w:name="_Ref532980835"/>
          </w:p>
        </w:tc>
        <w:bookmarkEnd w:id="71"/>
        <w:tc>
          <w:tcPr>
            <w:tcW w:w="8448" w:type="dxa"/>
            <w:shd w:val="clear" w:color="auto" w:fill="D9D9D9" w:themeFill="background1" w:themeFillShade="D9"/>
          </w:tcPr>
          <w:p w14:paraId="5050E1E3" w14:textId="77777777" w:rsidR="00CF40A3" w:rsidRPr="00F0226F" w:rsidRDefault="00CF40A3" w:rsidP="008454A6">
            <w:pPr>
              <w:spacing w:before="120"/>
              <w:ind w:right="32"/>
              <w:rPr>
                <w:lang w:val="fr-CH"/>
              </w:rPr>
            </w:pPr>
            <w:r>
              <w:rPr>
                <w:b/>
                <w:bCs/>
                <w:lang w:val="fr-CH"/>
              </w:rPr>
              <w:t>Les c</w:t>
            </w:r>
            <w:r w:rsidRPr="00F0226F">
              <w:rPr>
                <w:b/>
                <w:bCs/>
                <w:lang w:val="fr-CH"/>
              </w:rPr>
              <w:t>anton</w:t>
            </w:r>
            <w:r>
              <w:rPr>
                <w:b/>
                <w:bCs/>
                <w:lang w:val="fr-CH"/>
              </w:rPr>
              <w:t>s</w:t>
            </w:r>
            <w:r w:rsidRPr="00F0226F">
              <w:rPr>
                <w:b/>
                <w:bCs/>
                <w:lang w:val="fr-CH"/>
              </w:rPr>
              <w:t xml:space="preserve"> </w:t>
            </w:r>
            <w:r>
              <w:rPr>
                <w:b/>
                <w:bCs/>
                <w:lang w:val="fr-CH"/>
              </w:rPr>
              <w:t>peuvent faire commerce de leurs contingents de SDA si leurs inventaires de SDA sont fondés sur une base de données fiable</w:t>
            </w:r>
            <w:r w:rsidRPr="00F0226F">
              <w:rPr>
                <w:b/>
                <w:bCs/>
                <w:lang w:val="fr-CH"/>
              </w:rPr>
              <w:t>.</w:t>
            </w:r>
          </w:p>
          <w:p w14:paraId="49F691B6" w14:textId="77777777" w:rsidR="00CF40A3" w:rsidRPr="00F0226F" w:rsidRDefault="00CF40A3" w:rsidP="008454A6">
            <w:pPr>
              <w:spacing w:before="120"/>
              <w:ind w:right="32"/>
              <w:rPr>
                <w:lang w:val="fr-CH"/>
              </w:rPr>
            </w:pPr>
            <w:r>
              <w:rPr>
                <w:lang w:val="fr-CH"/>
              </w:rPr>
              <w:t>Le commerce de SDA doit être réglé dans la planification directrice cantonale et soumis à l’approbation de la Confédération</w:t>
            </w:r>
            <w:r w:rsidRPr="00F0226F">
              <w:rPr>
                <w:lang w:val="fr-CH"/>
              </w:rPr>
              <w:t xml:space="preserve">. </w:t>
            </w:r>
          </w:p>
          <w:p w14:paraId="37118A39" w14:textId="1340E191" w:rsidR="00CF40A3" w:rsidRDefault="00CF40A3" w:rsidP="008454A6">
            <w:pPr>
              <w:spacing w:before="120"/>
              <w:ind w:right="32"/>
              <w:rPr>
                <w:b/>
                <w:bCs/>
                <w:lang w:val="fr-CH"/>
              </w:rPr>
            </w:pPr>
            <w:r>
              <w:rPr>
                <w:lang w:val="fr-CH"/>
              </w:rPr>
              <w:t>Les cantons qui participent au négoce doivent fournir la preuve qu’ils respecteront ensemble la somme de leurs contingents cantonaux</w:t>
            </w:r>
            <w:r w:rsidRPr="00F0226F">
              <w:rPr>
                <w:lang w:val="fr-CH"/>
              </w:rPr>
              <w:t>.</w:t>
            </w:r>
            <w:r>
              <w:rPr>
                <w:lang w:val="fr-CH"/>
              </w:rPr>
              <w:t xml:space="preserve"> Le canton qui cède des SDA ne peut pas respecter son contingent en y intégrant des SDA de nettement moins bonne qualité. Il appartient au canton qui cède des SDA de garantir durablement les SDA qui se trouvent sur son territoire.</w:t>
            </w:r>
          </w:p>
        </w:tc>
      </w:tr>
      <w:tr w:rsidR="00CF40A3" w:rsidRPr="00B94A10" w14:paraId="503016F4" w14:textId="77777777" w:rsidTr="007F2FD4">
        <w:trPr>
          <w:gridAfter w:val="1"/>
          <w:wAfter w:w="8062" w:type="dxa"/>
        </w:trPr>
        <w:tc>
          <w:tcPr>
            <w:tcW w:w="624" w:type="dxa"/>
            <w:shd w:val="clear" w:color="auto" w:fill="D9D9D9" w:themeFill="background1" w:themeFillShade="D9"/>
          </w:tcPr>
          <w:p w14:paraId="50CF8AD7" w14:textId="1782EC7C" w:rsidR="00CF40A3" w:rsidRPr="00BB4760" w:rsidRDefault="00CF40A3" w:rsidP="00BB4760">
            <w:pPr>
              <w:pStyle w:val="Listenabsatz"/>
              <w:numPr>
                <w:ilvl w:val="0"/>
                <w:numId w:val="34"/>
              </w:numPr>
              <w:spacing w:before="120"/>
              <w:rPr>
                <w:b/>
                <w:lang w:val="fr-CH"/>
              </w:rPr>
            </w:pPr>
            <w:bookmarkStart w:id="72" w:name="_Ref532980847"/>
          </w:p>
        </w:tc>
        <w:bookmarkEnd w:id="72"/>
        <w:tc>
          <w:tcPr>
            <w:tcW w:w="8448" w:type="dxa"/>
            <w:shd w:val="clear" w:color="auto" w:fill="D9D9D9" w:themeFill="background1" w:themeFillShade="D9"/>
          </w:tcPr>
          <w:p w14:paraId="66F57A7B" w14:textId="77777777" w:rsidR="00CF40A3" w:rsidRPr="00F0226F" w:rsidRDefault="00CF40A3" w:rsidP="008454A6">
            <w:pPr>
              <w:spacing w:before="120"/>
              <w:ind w:right="32"/>
              <w:rPr>
                <w:b/>
                <w:bCs/>
                <w:lang w:val="fr-CH"/>
              </w:rPr>
            </w:pPr>
            <w:r>
              <w:rPr>
                <w:b/>
                <w:bCs/>
                <w:lang w:val="fr-CH"/>
              </w:rPr>
              <w:t>Les c</w:t>
            </w:r>
            <w:r w:rsidRPr="00F0226F">
              <w:rPr>
                <w:b/>
                <w:bCs/>
                <w:lang w:val="fr-CH"/>
              </w:rPr>
              <w:t>anton</w:t>
            </w:r>
            <w:r>
              <w:rPr>
                <w:b/>
                <w:bCs/>
                <w:lang w:val="fr-CH"/>
              </w:rPr>
              <w:t>s dont les inventaires de SDA reposent sur une base de données très imprécise sont tenus d’introduire une réglementation de la compensation pour leurs SDA inventoriées</w:t>
            </w:r>
            <w:r w:rsidRPr="00F0226F">
              <w:rPr>
                <w:b/>
                <w:bCs/>
                <w:lang w:val="fr-CH"/>
              </w:rPr>
              <w:t>.</w:t>
            </w:r>
          </w:p>
          <w:p w14:paraId="450E49C0" w14:textId="69E2912F" w:rsidR="00CF40A3" w:rsidRDefault="00CF40A3" w:rsidP="008454A6">
            <w:pPr>
              <w:spacing w:before="120"/>
              <w:ind w:right="32"/>
              <w:rPr>
                <w:b/>
                <w:bCs/>
                <w:lang w:val="fr-CH"/>
              </w:rPr>
            </w:pPr>
            <w:r>
              <w:rPr>
                <w:lang w:val="fr-CH"/>
              </w:rPr>
              <w:t xml:space="preserve">Cette réglementation doit être établie dans les trois ans qui suivent l’adoption du </w:t>
            </w:r>
            <w:r w:rsidR="00DF7A47">
              <w:rPr>
                <w:lang w:val="fr-CH"/>
              </w:rPr>
              <w:t>P</w:t>
            </w:r>
            <w:r>
              <w:rPr>
                <w:lang w:val="fr-CH"/>
              </w:rPr>
              <w:t>lan sectoriel et être soumise pour examen à l’ARE</w:t>
            </w:r>
            <w:r w:rsidRPr="00F0226F">
              <w:rPr>
                <w:lang w:val="fr-CH"/>
              </w:rPr>
              <w:t>.</w:t>
            </w:r>
          </w:p>
        </w:tc>
      </w:tr>
    </w:tbl>
    <w:p w14:paraId="35CF7724" w14:textId="77777777" w:rsidR="00016B6C" w:rsidRPr="00F0226F" w:rsidRDefault="00016B6C" w:rsidP="006C6A69">
      <w:pPr>
        <w:rPr>
          <w:lang w:val="fr-CH"/>
        </w:rPr>
      </w:pPr>
      <w:bookmarkStart w:id="73" w:name="_Toc384212579"/>
      <w:bookmarkStart w:id="74" w:name="_Toc384226439"/>
      <w:bookmarkStart w:id="75" w:name="_Toc384289087"/>
      <w:bookmarkStart w:id="76" w:name="_Toc384289731"/>
      <w:bookmarkStart w:id="77" w:name="_Toc384289780"/>
      <w:bookmarkStart w:id="78" w:name="_Toc384295772"/>
      <w:bookmarkStart w:id="79" w:name="_Toc384643578"/>
      <w:bookmarkStart w:id="80" w:name="_Toc384728533"/>
      <w:bookmarkStart w:id="81" w:name="_Toc384738916"/>
      <w:bookmarkStart w:id="82" w:name="_Toc384742212"/>
      <w:bookmarkStart w:id="83" w:name="_Toc384747016"/>
      <w:bookmarkStart w:id="84" w:name="_Toc384894472"/>
      <w:bookmarkStart w:id="85" w:name="_Toc384895066"/>
      <w:bookmarkStart w:id="86" w:name="_Toc384895115"/>
      <w:bookmarkStart w:id="87" w:name="_Toc384908820"/>
      <w:bookmarkStart w:id="88" w:name="_Toc384914144"/>
      <w:bookmarkStart w:id="89" w:name="_Toc384914500"/>
      <w:bookmarkStart w:id="90" w:name="_Toc52642872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A7CD3D2" w14:textId="77777777" w:rsidR="00016B6C" w:rsidRPr="00F0226F" w:rsidRDefault="00016B6C">
      <w:pPr>
        <w:spacing w:after="160" w:line="259" w:lineRule="auto"/>
        <w:rPr>
          <w:rFonts w:cs="Arial"/>
          <w:b/>
          <w:bCs/>
          <w:kern w:val="32"/>
          <w:sz w:val="32"/>
          <w:szCs w:val="32"/>
          <w:lang w:val="fr-CH"/>
        </w:rPr>
      </w:pPr>
      <w:r w:rsidRPr="00F0226F">
        <w:rPr>
          <w:lang w:val="fr-CH"/>
        </w:rPr>
        <w:br w:type="page"/>
      </w:r>
    </w:p>
    <w:p w14:paraId="7A6B0935" w14:textId="3BFDCC82" w:rsidR="007B6805" w:rsidRPr="00F0226F" w:rsidRDefault="008E77EE" w:rsidP="325E5E49">
      <w:pPr>
        <w:pStyle w:val="berschrift1"/>
        <w:rPr>
          <w:rStyle w:val="berschrift1Zchn"/>
          <w:b/>
          <w:bCs/>
          <w:lang w:val="fr-CH"/>
        </w:rPr>
      </w:pPr>
      <w:bookmarkStart w:id="91" w:name="_Toc532996377"/>
      <w:r w:rsidRPr="00F0226F">
        <w:rPr>
          <w:lang w:val="fr-CH"/>
        </w:rPr>
        <w:lastRenderedPageBreak/>
        <w:t>A</w:t>
      </w:r>
      <w:r w:rsidR="00A47CA7">
        <w:rPr>
          <w:lang w:val="fr-CH"/>
        </w:rPr>
        <w:t xml:space="preserve">pplication et mise en œuvre du </w:t>
      </w:r>
      <w:r w:rsidR="00DF7A47">
        <w:rPr>
          <w:lang w:val="fr-CH"/>
        </w:rPr>
        <w:t>P</w:t>
      </w:r>
      <w:r w:rsidR="00A47CA7">
        <w:rPr>
          <w:lang w:val="fr-CH"/>
        </w:rPr>
        <w:t>lan</w:t>
      </w:r>
      <w:r w:rsidR="001363AD" w:rsidRPr="00F0226F">
        <w:rPr>
          <w:lang w:val="fr-CH"/>
        </w:rPr>
        <w:t xml:space="preserve"> </w:t>
      </w:r>
      <w:r w:rsidR="000B144E" w:rsidRPr="00F0226F">
        <w:rPr>
          <w:lang w:val="fr-CH"/>
        </w:rPr>
        <w:t>s</w:t>
      </w:r>
      <w:bookmarkEnd w:id="90"/>
      <w:r w:rsidR="00A47CA7">
        <w:rPr>
          <w:lang w:val="fr-CH"/>
        </w:rPr>
        <w:t>ectoriel</w:t>
      </w:r>
      <w:bookmarkEnd w:id="91"/>
    </w:p>
    <w:p w14:paraId="3C0C5C65" w14:textId="1D8F761A" w:rsidR="00682FDF" w:rsidRPr="00F0226F" w:rsidRDefault="00A47CA7" w:rsidP="00682FDF">
      <w:pPr>
        <w:pStyle w:val="berschrift2"/>
        <w:rPr>
          <w:lang w:val="fr-CH"/>
        </w:rPr>
      </w:pPr>
      <w:bookmarkStart w:id="92" w:name="_Toc384747020"/>
      <w:bookmarkStart w:id="93" w:name="_Toc384894476"/>
      <w:bookmarkStart w:id="94" w:name="_Toc384895070"/>
      <w:bookmarkStart w:id="95" w:name="_Toc384895119"/>
      <w:bookmarkStart w:id="96" w:name="_Toc384908824"/>
      <w:bookmarkStart w:id="97" w:name="_Toc384914148"/>
      <w:bookmarkStart w:id="98" w:name="_Toc384914504"/>
      <w:bookmarkStart w:id="99" w:name="_Toc384289748"/>
      <w:bookmarkStart w:id="100" w:name="_Toc384289796"/>
      <w:bookmarkStart w:id="101" w:name="_Toc384295788"/>
      <w:bookmarkStart w:id="102" w:name="_Toc384643594"/>
      <w:bookmarkStart w:id="103" w:name="_Toc384728549"/>
      <w:bookmarkStart w:id="104" w:name="_Toc384738932"/>
      <w:bookmarkStart w:id="105" w:name="_Toc384742225"/>
      <w:bookmarkStart w:id="106" w:name="_Toc384747030"/>
      <w:bookmarkStart w:id="107" w:name="_Toc384815666"/>
      <w:bookmarkStart w:id="108" w:name="_Toc384820114"/>
      <w:bookmarkStart w:id="109" w:name="_Toc384894486"/>
      <w:bookmarkStart w:id="110" w:name="_Toc384895080"/>
      <w:bookmarkStart w:id="111" w:name="_Toc384895129"/>
      <w:bookmarkStart w:id="112" w:name="_Toc384908834"/>
      <w:bookmarkStart w:id="113" w:name="_Toc384914158"/>
      <w:bookmarkStart w:id="114" w:name="_Toc384914514"/>
      <w:bookmarkStart w:id="115" w:name="_Toc526428728"/>
      <w:bookmarkStart w:id="116" w:name="_Toc532996378"/>
      <w:bookmarkStart w:id="117" w:name="_Toc384134964"/>
      <w:bookmarkStart w:id="118" w:name="_Toc384135104"/>
      <w:bookmarkStart w:id="119" w:name="_Toc384200098"/>
      <w:bookmarkStart w:id="120" w:name="_Toc384200358"/>
      <w:bookmarkStart w:id="121" w:name="_Toc384205221"/>
      <w:bookmarkStart w:id="122" w:name="_Toc384205495"/>
      <w:bookmarkStart w:id="123" w:name="_Toc384212583"/>
      <w:bookmarkStart w:id="124" w:name="_Toc384226443"/>
      <w:bookmarkStart w:id="125" w:name="_Toc384289091"/>
      <w:bookmarkStart w:id="126" w:name="_Toc384820115"/>
      <w:bookmarkEnd w:id="3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lang w:val="fr-CH"/>
        </w:rPr>
        <w:t>Les SDA et la pesée des intérêts en présence</w:t>
      </w:r>
      <w:bookmarkEnd w:id="115"/>
      <w:bookmarkEnd w:id="116"/>
    </w:p>
    <w:p w14:paraId="4E1A394C" w14:textId="0D99E60D" w:rsidR="002D4839" w:rsidRPr="00F0226F" w:rsidRDefault="00547941" w:rsidP="002D4839">
      <w:pPr>
        <w:rPr>
          <w:lang w:val="fr-CH"/>
        </w:rPr>
      </w:pPr>
      <w:r>
        <w:rPr>
          <w:lang w:val="fr-CH"/>
        </w:rPr>
        <w:t>La législation accorde en principe une importance plus grande à la protection des SDA qu’à celle des autres terres cultivables</w:t>
      </w:r>
      <w:r w:rsidR="004F71BF" w:rsidRPr="00F0226F">
        <w:rPr>
          <w:lang w:val="fr-CH"/>
        </w:rPr>
        <w:t xml:space="preserve">. </w:t>
      </w:r>
      <w:r>
        <w:rPr>
          <w:lang w:val="fr-CH"/>
        </w:rPr>
        <w:t>Cependant, les SDA ne bénéficient pas d’une protection absolue</w:t>
      </w:r>
      <w:r w:rsidR="3120AD34" w:rsidRPr="00F0226F">
        <w:rPr>
          <w:lang w:val="fr-CH"/>
        </w:rPr>
        <w:t xml:space="preserve"> </w:t>
      </w:r>
      <w:r w:rsidR="07C4BBA7" w:rsidRPr="00F0226F">
        <w:rPr>
          <w:rFonts w:eastAsia="Arial" w:cs="Arial"/>
          <w:lang w:val="fr-CH"/>
        </w:rPr>
        <w:t>–</w:t>
      </w:r>
      <w:r w:rsidR="3120AD34" w:rsidRPr="00F0226F">
        <w:rPr>
          <w:rFonts w:eastAsia="Arial" w:cs="Arial"/>
          <w:lang w:val="fr-CH"/>
        </w:rPr>
        <w:t xml:space="preserve"> </w:t>
      </w:r>
      <w:r w:rsidR="002737CF">
        <w:rPr>
          <w:rFonts w:eastAsia="Arial" w:cs="Arial"/>
          <w:lang w:val="fr-CH"/>
        </w:rPr>
        <w:t>les autorités disposent d’un pouvoir d’appréciation dans le cadre de la</w:t>
      </w:r>
      <w:r>
        <w:rPr>
          <w:rFonts w:eastAsia="Arial" w:cs="Arial"/>
          <w:lang w:val="fr-CH"/>
        </w:rPr>
        <w:t xml:space="preserve"> pesée des intérêts en présence</w:t>
      </w:r>
      <w:r w:rsidR="00E9196F">
        <w:rPr>
          <w:rFonts w:eastAsia="Arial" w:cs="Arial"/>
          <w:lang w:val="fr-CH"/>
        </w:rPr>
        <w:t xml:space="preserve"> tant pour les projets cantonaux que pour les projets fédéraux</w:t>
      </w:r>
      <w:r w:rsidR="3120AD34" w:rsidRPr="00F0226F">
        <w:rPr>
          <w:lang w:val="fr-CH"/>
        </w:rPr>
        <w:t xml:space="preserve">. </w:t>
      </w:r>
      <w:r w:rsidR="002737CF">
        <w:rPr>
          <w:lang w:val="fr-CH"/>
        </w:rPr>
        <w:t>Ainsi, la tenue d’une pesée complète et transparente des intérêts en présence au sens de l’art</w:t>
      </w:r>
      <w:r w:rsidR="00E9196F">
        <w:rPr>
          <w:lang w:val="fr-CH"/>
        </w:rPr>
        <w:t xml:space="preserve">icle </w:t>
      </w:r>
      <w:r w:rsidR="002737CF">
        <w:rPr>
          <w:lang w:val="fr-CH"/>
        </w:rPr>
        <w:t>3 OAT est primordiale pour la préservation des SDA</w:t>
      </w:r>
      <w:r w:rsidR="3120AD34" w:rsidRPr="00F0226F">
        <w:rPr>
          <w:lang w:val="fr-CH"/>
        </w:rPr>
        <w:t xml:space="preserve">. </w:t>
      </w:r>
      <w:r w:rsidR="002737CF">
        <w:rPr>
          <w:lang w:val="fr-CH"/>
        </w:rPr>
        <w:t xml:space="preserve">Elle doit avoir lieu à tous les niveaux de planification pour </w:t>
      </w:r>
      <w:r w:rsidR="000E7813">
        <w:rPr>
          <w:lang w:val="fr-CH"/>
        </w:rPr>
        <w:t>toute prise</w:t>
      </w:r>
      <w:r w:rsidR="002737CF">
        <w:rPr>
          <w:lang w:val="fr-CH"/>
        </w:rPr>
        <w:t xml:space="preserve"> de décision. L’a</w:t>
      </w:r>
      <w:r w:rsidR="3120AD34" w:rsidRPr="00F0226F">
        <w:rPr>
          <w:lang w:val="fr-CH"/>
        </w:rPr>
        <w:t>rt</w:t>
      </w:r>
      <w:r w:rsidR="00E9196F">
        <w:rPr>
          <w:lang w:val="fr-CH"/>
        </w:rPr>
        <w:t>icle</w:t>
      </w:r>
      <w:r w:rsidR="00E9196F" w:rsidRPr="00F0226F">
        <w:rPr>
          <w:lang w:val="fr-CH"/>
        </w:rPr>
        <w:t xml:space="preserve"> </w:t>
      </w:r>
      <w:r w:rsidR="3120AD34" w:rsidRPr="00F0226F">
        <w:rPr>
          <w:lang w:val="fr-CH"/>
        </w:rPr>
        <w:t>3</w:t>
      </w:r>
      <w:r w:rsidR="00E9196F">
        <w:rPr>
          <w:lang w:val="fr-CH"/>
        </w:rPr>
        <w:t>,</w:t>
      </w:r>
      <w:r w:rsidR="3120AD34" w:rsidRPr="00F0226F">
        <w:rPr>
          <w:lang w:val="fr-CH"/>
        </w:rPr>
        <w:t xml:space="preserve"> </w:t>
      </w:r>
      <w:r w:rsidR="002737CF">
        <w:rPr>
          <w:lang w:val="fr-CH"/>
        </w:rPr>
        <w:t>al</w:t>
      </w:r>
      <w:r w:rsidR="00E9196F">
        <w:rPr>
          <w:lang w:val="fr-CH"/>
        </w:rPr>
        <w:t>inéa</w:t>
      </w:r>
      <w:r w:rsidR="3120AD34" w:rsidRPr="00F0226F">
        <w:rPr>
          <w:lang w:val="fr-CH"/>
        </w:rPr>
        <w:t xml:space="preserve"> 2</w:t>
      </w:r>
      <w:r w:rsidR="00E9196F">
        <w:rPr>
          <w:lang w:val="fr-CH"/>
        </w:rPr>
        <w:t>,</w:t>
      </w:r>
      <w:r w:rsidR="3120AD34" w:rsidRPr="00F0226F">
        <w:rPr>
          <w:lang w:val="fr-CH"/>
        </w:rPr>
        <w:t xml:space="preserve"> </w:t>
      </w:r>
      <w:r w:rsidR="002737CF">
        <w:rPr>
          <w:lang w:val="fr-CH"/>
        </w:rPr>
        <w:t>le</w:t>
      </w:r>
      <w:r w:rsidR="3120AD34" w:rsidRPr="00F0226F">
        <w:rPr>
          <w:lang w:val="fr-CH"/>
        </w:rPr>
        <w:t>t</w:t>
      </w:r>
      <w:r w:rsidR="00E9196F">
        <w:rPr>
          <w:lang w:val="fr-CH"/>
        </w:rPr>
        <w:t>tre</w:t>
      </w:r>
      <w:r w:rsidR="3120AD34" w:rsidRPr="00F0226F">
        <w:rPr>
          <w:lang w:val="fr-CH"/>
        </w:rPr>
        <w:t xml:space="preserve"> a</w:t>
      </w:r>
      <w:r w:rsidR="000E7813">
        <w:rPr>
          <w:lang w:val="fr-CH"/>
        </w:rPr>
        <w:t>,</w:t>
      </w:r>
      <w:r w:rsidR="3120AD34" w:rsidRPr="00F0226F">
        <w:rPr>
          <w:lang w:val="fr-CH"/>
        </w:rPr>
        <w:t xml:space="preserve"> </w:t>
      </w:r>
      <w:r w:rsidR="002737CF">
        <w:rPr>
          <w:lang w:val="fr-CH"/>
        </w:rPr>
        <w:t>LAT</w:t>
      </w:r>
      <w:r w:rsidR="3120AD34" w:rsidRPr="00F0226F">
        <w:rPr>
          <w:lang w:val="fr-CH"/>
        </w:rPr>
        <w:t xml:space="preserve">, </w:t>
      </w:r>
      <w:r w:rsidR="002737CF">
        <w:rPr>
          <w:lang w:val="fr-CH"/>
        </w:rPr>
        <w:t>les art</w:t>
      </w:r>
      <w:r w:rsidR="00E9196F">
        <w:rPr>
          <w:lang w:val="fr-CH"/>
        </w:rPr>
        <w:t>icles</w:t>
      </w:r>
      <w:r w:rsidR="3120AD34" w:rsidRPr="00F0226F">
        <w:rPr>
          <w:lang w:val="fr-CH"/>
        </w:rPr>
        <w:t xml:space="preserve"> </w:t>
      </w:r>
      <w:r w:rsidR="00E9196F" w:rsidRPr="00F0226F">
        <w:rPr>
          <w:lang w:val="fr-CH"/>
        </w:rPr>
        <w:t>26</w:t>
      </w:r>
      <w:r w:rsidR="00E9196F">
        <w:rPr>
          <w:lang w:val="fr-CH"/>
        </w:rPr>
        <w:t xml:space="preserve"> et </w:t>
      </w:r>
      <w:r w:rsidR="00A102B2">
        <w:rPr>
          <w:lang w:val="fr-CH"/>
        </w:rPr>
        <w:t>ss</w:t>
      </w:r>
      <w:r w:rsidR="00A102B2" w:rsidRPr="00F0226F">
        <w:rPr>
          <w:lang w:val="fr-CH"/>
        </w:rPr>
        <w:t xml:space="preserve"> </w:t>
      </w:r>
      <w:r w:rsidR="002737CF">
        <w:rPr>
          <w:lang w:val="fr-CH"/>
        </w:rPr>
        <w:t>OAT</w:t>
      </w:r>
      <w:r w:rsidR="3120AD34" w:rsidRPr="00F0226F">
        <w:rPr>
          <w:lang w:val="fr-CH"/>
        </w:rPr>
        <w:t xml:space="preserve"> </w:t>
      </w:r>
      <w:r w:rsidR="002737CF">
        <w:rPr>
          <w:lang w:val="fr-CH"/>
        </w:rPr>
        <w:t>ainsi que l’a</w:t>
      </w:r>
      <w:r w:rsidR="3120AD34" w:rsidRPr="00F0226F">
        <w:rPr>
          <w:lang w:val="fr-CH"/>
        </w:rPr>
        <w:t>rt</w:t>
      </w:r>
      <w:r w:rsidR="00E9196F">
        <w:rPr>
          <w:lang w:val="fr-CH"/>
        </w:rPr>
        <w:t>icle</w:t>
      </w:r>
      <w:r w:rsidR="3120AD34" w:rsidRPr="00F0226F">
        <w:rPr>
          <w:lang w:val="fr-CH"/>
        </w:rPr>
        <w:t xml:space="preserve"> 30 </w:t>
      </w:r>
      <w:r w:rsidR="002737CF">
        <w:rPr>
          <w:lang w:val="fr-CH"/>
        </w:rPr>
        <w:t xml:space="preserve">LAP </w:t>
      </w:r>
      <w:r w:rsidR="00E9196F">
        <w:rPr>
          <w:lang w:val="fr-CH"/>
        </w:rPr>
        <w:t xml:space="preserve">soulignent </w:t>
      </w:r>
      <w:r w:rsidR="002737CF">
        <w:rPr>
          <w:lang w:val="fr-CH"/>
        </w:rPr>
        <w:t>l’importance que revêt la préservation des SDA pour la Confédération</w:t>
      </w:r>
      <w:r w:rsidR="3120AD34" w:rsidRPr="00F0226F">
        <w:rPr>
          <w:lang w:val="fr-CH"/>
        </w:rPr>
        <w:t xml:space="preserve">. </w:t>
      </w:r>
    </w:p>
    <w:p w14:paraId="3EEF5F87" w14:textId="1F9ACA6B" w:rsidR="0062475F" w:rsidRPr="00F0226F" w:rsidRDefault="00A13ABB">
      <w:pPr>
        <w:rPr>
          <w:rFonts w:eastAsiaTheme="minorEastAsia"/>
          <w:u w:val="single"/>
          <w:lang w:val="fr-CH" w:eastAsia="en-US"/>
        </w:rPr>
      </w:pPr>
      <w:r>
        <w:rPr>
          <w:rFonts w:eastAsiaTheme="minorEastAsia"/>
          <w:lang w:val="fr-CH" w:eastAsia="en-US"/>
        </w:rPr>
        <w:t xml:space="preserve">Des exigences de droit positif régissent expressément l’admissibilité </w:t>
      </w:r>
      <w:r w:rsidR="00E9196F">
        <w:rPr>
          <w:rFonts w:eastAsiaTheme="minorEastAsia"/>
          <w:lang w:val="fr-CH" w:eastAsia="en-US"/>
        </w:rPr>
        <w:t>d’un classement de SDA en zone à</w:t>
      </w:r>
      <w:r>
        <w:rPr>
          <w:rFonts w:eastAsiaTheme="minorEastAsia"/>
          <w:lang w:val="fr-CH" w:eastAsia="en-US"/>
        </w:rPr>
        <w:t xml:space="preserve"> </w:t>
      </w:r>
      <w:r w:rsidR="00E9196F">
        <w:rPr>
          <w:rFonts w:eastAsiaTheme="minorEastAsia"/>
          <w:lang w:val="fr-CH" w:eastAsia="en-US"/>
        </w:rPr>
        <w:t>bâtir</w:t>
      </w:r>
      <w:r w:rsidR="00A102B2">
        <w:rPr>
          <w:rFonts w:eastAsiaTheme="minorEastAsia"/>
          <w:lang w:val="fr-CH" w:eastAsia="en-US"/>
        </w:rPr>
        <w:t>,</w:t>
      </w:r>
      <w:r w:rsidR="00E9196F">
        <w:rPr>
          <w:rFonts w:eastAsiaTheme="minorEastAsia"/>
          <w:lang w:val="fr-CH" w:eastAsia="en-US"/>
        </w:rPr>
        <w:t xml:space="preserve"> </w:t>
      </w:r>
      <w:r>
        <w:rPr>
          <w:rFonts w:eastAsiaTheme="minorEastAsia"/>
          <w:lang w:val="fr-CH" w:eastAsia="en-US"/>
        </w:rPr>
        <w:t xml:space="preserve">que ce soit de façon directe </w:t>
      </w:r>
      <w:r w:rsidR="325E5E49" w:rsidRPr="00F0226F">
        <w:rPr>
          <w:rFonts w:eastAsiaTheme="minorEastAsia"/>
          <w:lang w:val="fr-CH" w:eastAsia="en-US"/>
        </w:rPr>
        <w:t>(</w:t>
      </w:r>
      <w:r>
        <w:rPr>
          <w:rFonts w:eastAsiaTheme="minorEastAsia"/>
          <w:lang w:val="fr-CH" w:eastAsia="en-US"/>
        </w:rPr>
        <w:t>a</w:t>
      </w:r>
      <w:r w:rsidR="325E5E49" w:rsidRPr="00F0226F">
        <w:rPr>
          <w:rFonts w:eastAsiaTheme="minorEastAsia"/>
          <w:lang w:val="fr-CH" w:eastAsia="en-US"/>
        </w:rPr>
        <w:t>rt. 30</w:t>
      </w:r>
      <w:r w:rsidR="00A102B2">
        <w:rPr>
          <w:rFonts w:eastAsiaTheme="minorEastAsia"/>
          <w:lang w:val="fr-CH" w:eastAsia="en-US"/>
        </w:rPr>
        <w:t>,</w:t>
      </w:r>
      <w:r w:rsidR="325E5E49" w:rsidRPr="00F0226F">
        <w:rPr>
          <w:rFonts w:eastAsiaTheme="minorEastAsia"/>
          <w:lang w:val="fr-CH" w:eastAsia="en-US"/>
        </w:rPr>
        <w:t xml:space="preserve"> </w:t>
      </w:r>
      <w:r>
        <w:rPr>
          <w:rFonts w:eastAsiaTheme="minorEastAsia"/>
          <w:lang w:val="fr-CH" w:eastAsia="en-US"/>
        </w:rPr>
        <w:t>al</w:t>
      </w:r>
      <w:r w:rsidR="325E5E49" w:rsidRPr="00F0226F">
        <w:rPr>
          <w:rFonts w:eastAsiaTheme="minorEastAsia"/>
          <w:lang w:val="fr-CH" w:eastAsia="en-US"/>
        </w:rPr>
        <w:t>. 1</w:t>
      </w:r>
      <w:r w:rsidR="325E5E49" w:rsidRPr="00F0226F">
        <w:rPr>
          <w:rFonts w:eastAsiaTheme="minorEastAsia"/>
          <w:vertAlign w:val="superscript"/>
          <w:lang w:val="fr-CH" w:eastAsia="en-US"/>
        </w:rPr>
        <w:t>bis</w:t>
      </w:r>
      <w:r w:rsidR="00A102B2" w:rsidRPr="00327EE7">
        <w:rPr>
          <w:rFonts w:eastAsiaTheme="minorEastAsia"/>
          <w:lang w:val="fr-CH" w:eastAsia="en-US"/>
        </w:rPr>
        <w:t>,</w:t>
      </w:r>
      <w:r w:rsidR="325E5E49" w:rsidRPr="00F0226F">
        <w:rPr>
          <w:rFonts w:eastAsiaTheme="minorEastAsia"/>
          <w:sz w:val="14"/>
          <w:szCs w:val="14"/>
          <w:lang w:val="fr-CH" w:eastAsia="en-US"/>
        </w:rPr>
        <w:t xml:space="preserve"> </w:t>
      </w:r>
      <w:r>
        <w:rPr>
          <w:rFonts w:eastAsiaTheme="minorEastAsia"/>
          <w:lang w:val="fr-CH" w:eastAsia="en-US"/>
        </w:rPr>
        <w:t>OAT</w:t>
      </w:r>
      <w:r w:rsidR="325E5E49" w:rsidRPr="00F0226F">
        <w:rPr>
          <w:rFonts w:eastAsiaTheme="minorEastAsia"/>
          <w:lang w:val="fr-CH" w:eastAsia="en-US"/>
        </w:rPr>
        <w:t xml:space="preserve">) </w:t>
      </w:r>
      <w:r>
        <w:rPr>
          <w:rFonts w:eastAsiaTheme="minorEastAsia"/>
          <w:lang w:val="fr-CH" w:eastAsia="en-US"/>
        </w:rPr>
        <w:t>ou indirecte</w:t>
      </w:r>
      <w:r w:rsidR="325E5E49" w:rsidRPr="00F0226F">
        <w:rPr>
          <w:rFonts w:eastAsiaTheme="minorEastAsia"/>
          <w:lang w:val="fr-CH" w:eastAsia="en-US"/>
        </w:rPr>
        <w:t xml:space="preserve"> (</w:t>
      </w:r>
      <w:r>
        <w:rPr>
          <w:rFonts w:eastAsiaTheme="minorEastAsia"/>
          <w:lang w:val="fr-CH" w:eastAsia="en-US"/>
        </w:rPr>
        <w:t>a</w:t>
      </w:r>
      <w:r w:rsidR="325E5E49" w:rsidRPr="00F0226F">
        <w:rPr>
          <w:rFonts w:eastAsiaTheme="minorEastAsia"/>
          <w:lang w:val="fr-CH" w:eastAsia="en-US"/>
        </w:rPr>
        <w:t>rt. 15</w:t>
      </w:r>
      <w:r w:rsidR="00A102B2">
        <w:rPr>
          <w:rFonts w:eastAsiaTheme="minorEastAsia"/>
          <w:lang w:val="fr-CH" w:eastAsia="en-US"/>
        </w:rPr>
        <w:t>,</w:t>
      </w:r>
      <w:r w:rsidR="325E5E49" w:rsidRPr="00F0226F">
        <w:rPr>
          <w:rFonts w:eastAsiaTheme="minorEastAsia"/>
          <w:lang w:val="fr-CH" w:eastAsia="en-US"/>
        </w:rPr>
        <w:t xml:space="preserve"> </w:t>
      </w:r>
      <w:r>
        <w:rPr>
          <w:rFonts w:eastAsiaTheme="minorEastAsia"/>
          <w:lang w:val="fr-CH" w:eastAsia="en-US"/>
        </w:rPr>
        <w:t>al</w:t>
      </w:r>
      <w:r w:rsidR="325E5E49" w:rsidRPr="00F0226F">
        <w:rPr>
          <w:rFonts w:eastAsiaTheme="minorEastAsia"/>
          <w:lang w:val="fr-CH" w:eastAsia="en-US"/>
        </w:rPr>
        <w:t>. 4</w:t>
      </w:r>
      <w:r w:rsidR="00A102B2">
        <w:rPr>
          <w:rFonts w:eastAsiaTheme="minorEastAsia"/>
          <w:lang w:val="fr-CH" w:eastAsia="en-US"/>
        </w:rPr>
        <w:t>,</w:t>
      </w:r>
      <w:r w:rsidR="325E5E49" w:rsidRPr="00F0226F">
        <w:rPr>
          <w:rFonts w:eastAsiaTheme="minorEastAsia"/>
          <w:lang w:val="fr-CH" w:eastAsia="en-US"/>
        </w:rPr>
        <w:t xml:space="preserve"> </w:t>
      </w:r>
      <w:r>
        <w:rPr>
          <w:rFonts w:eastAsiaTheme="minorEastAsia"/>
          <w:lang w:val="fr-CH" w:eastAsia="en-US"/>
        </w:rPr>
        <w:t>LAT</w:t>
      </w:r>
      <w:r w:rsidR="325E5E49" w:rsidRPr="00F0226F">
        <w:rPr>
          <w:rFonts w:eastAsiaTheme="minorEastAsia"/>
          <w:lang w:val="fr-CH" w:eastAsia="en-US"/>
        </w:rPr>
        <w:t xml:space="preserve">). </w:t>
      </w:r>
      <w:r w:rsidR="00E9196F">
        <w:rPr>
          <w:rFonts w:eastAsiaTheme="minorEastAsia"/>
          <w:lang w:val="fr-CH" w:eastAsia="en-US"/>
        </w:rPr>
        <w:t>P</w:t>
      </w:r>
      <w:r>
        <w:rPr>
          <w:rFonts w:eastAsiaTheme="minorEastAsia"/>
          <w:lang w:val="fr-CH" w:eastAsia="en-US"/>
        </w:rPr>
        <w:t>ar ailleurs</w:t>
      </w:r>
      <w:r w:rsidR="00E9196F">
        <w:rPr>
          <w:rFonts w:eastAsiaTheme="minorEastAsia"/>
          <w:lang w:val="fr-CH" w:eastAsia="en-US"/>
        </w:rPr>
        <w:t xml:space="preserve">, une autre exigence de droit positif </w:t>
      </w:r>
      <w:r w:rsidR="00D22C8E">
        <w:rPr>
          <w:rFonts w:eastAsiaTheme="minorEastAsia"/>
          <w:lang w:val="fr-CH" w:eastAsia="en-US"/>
        </w:rPr>
        <w:t>dont le champ d’application ne concerne pas seulement les classements en zone à bâtir</w:t>
      </w:r>
      <w:r>
        <w:rPr>
          <w:rFonts w:eastAsiaTheme="minorEastAsia"/>
          <w:lang w:val="fr-CH" w:eastAsia="en-US"/>
        </w:rPr>
        <w:t xml:space="preserve"> </w:t>
      </w:r>
      <w:r w:rsidR="00A102B2">
        <w:rPr>
          <w:rFonts w:eastAsiaTheme="minorEastAsia"/>
          <w:lang w:val="fr-CH" w:eastAsia="en-US"/>
        </w:rPr>
        <w:t>est la garantie du</w:t>
      </w:r>
      <w:r>
        <w:rPr>
          <w:rFonts w:eastAsiaTheme="minorEastAsia"/>
          <w:lang w:val="fr-CH" w:eastAsia="en-US"/>
        </w:rPr>
        <w:t xml:space="preserve"> contingent cantonal</w:t>
      </w:r>
      <w:r w:rsidR="004F71BF" w:rsidRPr="00F0226F">
        <w:rPr>
          <w:rFonts w:eastAsiaTheme="minorEastAsia"/>
          <w:lang w:val="fr-CH" w:eastAsia="en-US"/>
        </w:rPr>
        <w:t xml:space="preserve"> </w:t>
      </w:r>
      <w:r w:rsidR="325E5E49" w:rsidRPr="00F0226F">
        <w:rPr>
          <w:rFonts w:eastAsiaTheme="minorEastAsia"/>
          <w:lang w:val="fr-CH" w:eastAsia="en-US"/>
        </w:rPr>
        <w:t>(</w:t>
      </w:r>
      <w:r>
        <w:rPr>
          <w:rFonts w:eastAsiaTheme="minorEastAsia"/>
          <w:lang w:val="fr-CH" w:eastAsia="en-US"/>
        </w:rPr>
        <w:t>a</w:t>
      </w:r>
      <w:r w:rsidR="325E5E49" w:rsidRPr="00F0226F">
        <w:rPr>
          <w:rFonts w:eastAsiaTheme="minorEastAsia"/>
          <w:lang w:val="fr-CH" w:eastAsia="en-US"/>
        </w:rPr>
        <w:t>rt. 30</w:t>
      </w:r>
      <w:r w:rsidR="00A102B2">
        <w:rPr>
          <w:rFonts w:eastAsiaTheme="minorEastAsia"/>
          <w:lang w:val="fr-CH" w:eastAsia="en-US"/>
        </w:rPr>
        <w:t>,</w:t>
      </w:r>
      <w:r w:rsidR="325E5E49" w:rsidRPr="00F0226F">
        <w:rPr>
          <w:rFonts w:eastAsiaTheme="minorEastAsia"/>
          <w:lang w:val="fr-CH" w:eastAsia="en-US"/>
        </w:rPr>
        <w:t xml:space="preserve"> </w:t>
      </w:r>
      <w:r>
        <w:rPr>
          <w:rFonts w:eastAsiaTheme="minorEastAsia"/>
          <w:lang w:val="fr-CH" w:eastAsia="en-US"/>
        </w:rPr>
        <w:t>al</w:t>
      </w:r>
      <w:r w:rsidR="325E5E49" w:rsidRPr="00F0226F">
        <w:rPr>
          <w:rFonts w:eastAsiaTheme="minorEastAsia"/>
          <w:lang w:val="fr-CH" w:eastAsia="en-US"/>
        </w:rPr>
        <w:t>. 2</w:t>
      </w:r>
      <w:r w:rsidR="00A102B2">
        <w:rPr>
          <w:rFonts w:eastAsiaTheme="minorEastAsia"/>
          <w:lang w:val="fr-CH" w:eastAsia="en-US"/>
        </w:rPr>
        <w:t>,</w:t>
      </w:r>
      <w:r w:rsidR="325E5E49" w:rsidRPr="00F0226F">
        <w:rPr>
          <w:rFonts w:eastAsiaTheme="minorEastAsia"/>
          <w:lang w:val="fr-CH" w:eastAsia="en-US"/>
        </w:rPr>
        <w:t xml:space="preserve"> </w:t>
      </w:r>
      <w:r>
        <w:rPr>
          <w:rFonts w:eastAsiaTheme="minorEastAsia"/>
          <w:lang w:val="fr-CH" w:eastAsia="en-US"/>
        </w:rPr>
        <w:t>OAT</w:t>
      </w:r>
      <w:r w:rsidR="325E5E49" w:rsidRPr="00F0226F">
        <w:rPr>
          <w:rFonts w:eastAsiaTheme="minorEastAsia"/>
          <w:lang w:val="fr-CH" w:eastAsia="en-US"/>
        </w:rPr>
        <w:t xml:space="preserve">). </w:t>
      </w:r>
      <w:r w:rsidR="00A102B2">
        <w:rPr>
          <w:rFonts w:eastAsiaTheme="minorEastAsia"/>
          <w:lang w:val="fr-CH" w:eastAsia="en-US"/>
        </w:rPr>
        <w:t>Si</w:t>
      </w:r>
      <w:r>
        <w:rPr>
          <w:rFonts w:eastAsiaTheme="minorEastAsia"/>
          <w:lang w:val="fr-CH" w:eastAsia="en-US"/>
        </w:rPr>
        <w:t xml:space="preserve"> ces exigences</w:t>
      </w:r>
      <w:r w:rsidR="00A102B2">
        <w:rPr>
          <w:rFonts w:eastAsiaTheme="minorEastAsia"/>
          <w:lang w:val="fr-CH" w:eastAsia="en-US"/>
        </w:rPr>
        <w:t xml:space="preserve"> ne sont pas respectées, </w:t>
      </w:r>
      <w:r w:rsidR="00AF2DF1">
        <w:rPr>
          <w:rFonts w:eastAsiaTheme="minorEastAsia"/>
          <w:lang w:val="fr-CH" w:eastAsia="en-US"/>
        </w:rPr>
        <w:t xml:space="preserve">une </w:t>
      </w:r>
      <w:r w:rsidR="00A102B2">
        <w:rPr>
          <w:rFonts w:eastAsiaTheme="minorEastAsia"/>
          <w:lang w:val="fr-CH" w:eastAsia="en-US"/>
        </w:rPr>
        <w:t xml:space="preserve">emprise sur </w:t>
      </w:r>
      <w:r w:rsidR="00AF2DF1">
        <w:rPr>
          <w:rFonts w:eastAsiaTheme="minorEastAsia"/>
          <w:lang w:val="fr-CH" w:eastAsia="en-US"/>
        </w:rPr>
        <w:t>d</w:t>
      </w:r>
      <w:r w:rsidR="00A102B2">
        <w:rPr>
          <w:rFonts w:eastAsiaTheme="minorEastAsia"/>
          <w:lang w:val="fr-CH" w:eastAsia="en-US"/>
        </w:rPr>
        <w:t>es SDA n’est pas autorisée</w:t>
      </w:r>
      <w:r w:rsidR="00D22C8E">
        <w:rPr>
          <w:rFonts w:eastAsiaTheme="minorEastAsia"/>
          <w:lang w:val="fr-CH" w:eastAsia="en-US"/>
        </w:rPr>
        <w:t xml:space="preserve"> ; dans </w:t>
      </w:r>
      <w:r w:rsidR="00A102B2">
        <w:rPr>
          <w:rFonts w:eastAsiaTheme="minorEastAsia"/>
          <w:lang w:val="fr-CH" w:eastAsia="en-US"/>
        </w:rPr>
        <w:t>ce cas-là</w:t>
      </w:r>
      <w:r w:rsidR="00D22C8E">
        <w:rPr>
          <w:rFonts w:eastAsiaTheme="minorEastAsia"/>
          <w:lang w:val="fr-CH" w:eastAsia="en-US"/>
        </w:rPr>
        <w:t xml:space="preserve">, </w:t>
      </w:r>
      <w:r>
        <w:rPr>
          <w:rFonts w:eastAsiaTheme="minorEastAsia"/>
          <w:lang w:val="fr-CH" w:eastAsia="en-US"/>
        </w:rPr>
        <w:t>aucune pesée des intérêts</w:t>
      </w:r>
      <w:r w:rsidR="00A102B2">
        <w:rPr>
          <w:rFonts w:eastAsiaTheme="minorEastAsia"/>
          <w:lang w:val="fr-CH" w:eastAsia="en-US"/>
        </w:rPr>
        <w:t xml:space="preserve"> n’a lieu</w:t>
      </w:r>
      <w:r w:rsidR="00D22C8E">
        <w:rPr>
          <w:rFonts w:eastAsiaTheme="minorEastAsia"/>
          <w:lang w:val="fr-CH" w:eastAsia="en-US"/>
        </w:rPr>
        <w:t xml:space="preserve"> et toute utilisation de SDA </w:t>
      </w:r>
      <w:r w:rsidR="00A102B2">
        <w:rPr>
          <w:rFonts w:eastAsiaTheme="minorEastAsia"/>
          <w:lang w:val="fr-CH" w:eastAsia="en-US"/>
        </w:rPr>
        <w:t xml:space="preserve">qui amène le canton à passer au-dessous de son </w:t>
      </w:r>
      <w:r w:rsidR="00D22C8E">
        <w:rPr>
          <w:rFonts w:eastAsiaTheme="minorEastAsia"/>
          <w:lang w:val="fr-CH" w:eastAsia="en-US"/>
        </w:rPr>
        <w:t xml:space="preserve">contingent doit obligatoirement </w:t>
      </w:r>
      <w:r w:rsidR="00A102B2">
        <w:rPr>
          <w:rFonts w:eastAsiaTheme="minorEastAsia"/>
          <w:lang w:val="fr-CH" w:eastAsia="en-US"/>
        </w:rPr>
        <w:t>être compensée</w:t>
      </w:r>
      <w:r w:rsidR="00D22C8E">
        <w:rPr>
          <w:rFonts w:eastAsiaTheme="minorEastAsia"/>
          <w:lang w:val="fr-CH" w:eastAsia="en-US"/>
        </w:rPr>
        <w:t xml:space="preserve"> (cf. P2)</w:t>
      </w:r>
      <w:r w:rsidR="325E5E49" w:rsidRPr="00F0226F">
        <w:rPr>
          <w:rFonts w:eastAsiaTheme="minorEastAsia"/>
          <w:lang w:val="fr-CH" w:eastAsia="en-US"/>
        </w:rPr>
        <w:t xml:space="preserve">. </w:t>
      </w:r>
      <w:r w:rsidR="001267C9">
        <w:rPr>
          <w:rFonts w:eastAsiaTheme="minorEastAsia"/>
          <w:lang w:val="fr-CH" w:eastAsia="en-US"/>
        </w:rPr>
        <w:t>Par contre, lorsque les</w:t>
      </w:r>
      <w:r>
        <w:rPr>
          <w:rFonts w:eastAsiaTheme="minorEastAsia"/>
          <w:lang w:val="fr-CH" w:eastAsia="en-US"/>
        </w:rPr>
        <w:t xml:space="preserve"> exigences de droit positif</w:t>
      </w:r>
      <w:r w:rsidR="001267C9">
        <w:rPr>
          <w:rFonts w:eastAsiaTheme="minorEastAsia"/>
          <w:lang w:val="fr-CH" w:eastAsia="en-US"/>
        </w:rPr>
        <w:t xml:space="preserve"> sont remplies, il convient de procéder à une pesée des intérêts en présence </w:t>
      </w:r>
      <w:r w:rsidR="00A102B2">
        <w:rPr>
          <w:rFonts w:eastAsiaTheme="minorEastAsia"/>
          <w:lang w:val="fr-CH" w:eastAsia="en-US"/>
        </w:rPr>
        <w:t>incluant</w:t>
      </w:r>
      <w:r w:rsidR="001267C9">
        <w:rPr>
          <w:rFonts w:eastAsiaTheme="minorEastAsia"/>
          <w:lang w:val="fr-CH" w:eastAsia="en-US"/>
        </w:rPr>
        <w:t xml:space="preserve"> l’exigence de la préservation des SDA. Une SDA ne peut être </w:t>
      </w:r>
      <w:r w:rsidR="00EC2345">
        <w:rPr>
          <w:rFonts w:eastAsiaTheme="minorEastAsia"/>
          <w:lang w:val="fr-CH" w:eastAsia="en-US"/>
        </w:rPr>
        <w:t>sollicitée</w:t>
      </w:r>
      <w:r w:rsidR="001267C9">
        <w:rPr>
          <w:rFonts w:eastAsiaTheme="minorEastAsia"/>
          <w:lang w:val="fr-CH" w:eastAsia="en-US"/>
        </w:rPr>
        <w:t xml:space="preserve"> que si un intérêt</w:t>
      </w:r>
      <w:r w:rsidR="0025165A">
        <w:rPr>
          <w:rFonts w:eastAsiaTheme="minorEastAsia"/>
          <w:lang w:val="fr-CH" w:eastAsia="en-US"/>
        </w:rPr>
        <w:t xml:space="preserve"> équipondérant ou</w:t>
      </w:r>
      <w:r w:rsidR="001267C9">
        <w:rPr>
          <w:rFonts w:eastAsiaTheme="minorEastAsia"/>
          <w:lang w:val="fr-CH" w:eastAsia="en-US"/>
        </w:rPr>
        <w:t xml:space="preserve"> prépondérant justifie son utilisation</w:t>
      </w:r>
      <w:r w:rsidR="325E5E49" w:rsidRPr="00F0226F">
        <w:rPr>
          <w:lang w:val="fr-CH"/>
        </w:rPr>
        <w:t>.</w:t>
      </w:r>
      <w:r w:rsidR="00755AC8" w:rsidRPr="00F0226F">
        <w:rPr>
          <w:lang w:val="fr-CH"/>
        </w:rPr>
        <w:t xml:space="preserve"> </w:t>
      </w:r>
    </w:p>
    <w:p w14:paraId="039ACDE3" w14:textId="60704F79" w:rsidR="00755AC8" w:rsidRPr="00F0226F" w:rsidRDefault="001267C9" w:rsidP="002D4839">
      <w:pPr>
        <w:rPr>
          <w:lang w:val="fr-CH"/>
        </w:rPr>
      </w:pPr>
      <w:r>
        <w:rPr>
          <w:lang w:val="fr-CH"/>
        </w:rPr>
        <w:t>L’art</w:t>
      </w:r>
      <w:r w:rsidR="00D22C8E">
        <w:rPr>
          <w:lang w:val="fr-CH"/>
        </w:rPr>
        <w:t>icle</w:t>
      </w:r>
      <w:r w:rsidR="00D22C8E" w:rsidRPr="00F0226F">
        <w:rPr>
          <w:lang w:val="fr-CH"/>
        </w:rPr>
        <w:t xml:space="preserve"> </w:t>
      </w:r>
      <w:r w:rsidR="325E5E49" w:rsidRPr="00F0226F">
        <w:rPr>
          <w:lang w:val="fr-CH"/>
        </w:rPr>
        <w:t xml:space="preserve">2 </w:t>
      </w:r>
      <w:r>
        <w:rPr>
          <w:lang w:val="fr-CH"/>
        </w:rPr>
        <w:t xml:space="preserve">OAT </w:t>
      </w:r>
      <w:r w:rsidR="00D22C8E">
        <w:rPr>
          <w:lang w:val="fr-CH"/>
        </w:rPr>
        <w:t xml:space="preserve">présente </w:t>
      </w:r>
      <w:r>
        <w:rPr>
          <w:lang w:val="fr-CH"/>
        </w:rPr>
        <w:t xml:space="preserve">les éléments à prendre en compte dans le cadre d’une pesée des intérêts en présence </w:t>
      </w:r>
      <w:r w:rsidR="00D14356" w:rsidRPr="00F0226F">
        <w:rPr>
          <w:lang w:val="fr-CH"/>
        </w:rPr>
        <w:t xml:space="preserve">; </w:t>
      </w:r>
      <w:r>
        <w:rPr>
          <w:lang w:val="fr-CH"/>
        </w:rPr>
        <w:t>l’a</w:t>
      </w:r>
      <w:r w:rsidR="325E5E49" w:rsidRPr="00F0226F">
        <w:rPr>
          <w:lang w:val="fr-CH"/>
        </w:rPr>
        <w:t>rt</w:t>
      </w:r>
      <w:r w:rsidR="00D22C8E">
        <w:rPr>
          <w:lang w:val="fr-CH"/>
        </w:rPr>
        <w:t>icle</w:t>
      </w:r>
      <w:r w:rsidR="325E5E49" w:rsidRPr="00F0226F">
        <w:rPr>
          <w:lang w:val="fr-CH"/>
        </w:rPr>
        <w:t xml:space="preserve"> 3 </w:t>
      </w:r>
      <w:r>
        <w:rPr>
          <w:lang w:val="fr-CH"/>
        </w:rPr>
        <w:t xml:space="preserve">OAT en </w:t>
      </w:r>
      <w:r w:rsidR="00126D38">
        <w:rPr>
          <w:lang w:val="fr-CH"/>
        </w:rPr>
        <w:t>expose le déroulement</w:t>
      </w:r>
      <w:r>
        <w:rPr>
          <w:lang w:val="fr-CH"/>
        </w:rPr>
        <w:t xml:space="preserve">. </w:t>
      </w:r>
      <w:r w:rsidR="00126D38">
        <w:rPr>
          <w:lang w:val="fr-CH"/>
        </w:rPr>
        <w:t xml:space="preserve">En principe, une </w:t>
      </w:r>
      <w:r>
        <w:rPr>
          <w:lang w:val="fr-CH"/>
        </w:rPr>
        <w:t xml:space="preserve">pesée des intérêts en présence doit </w:t>
      </w:r>
      <w:r w:rsidR="00126D38">
        <w:rPr>
          <w:lang w:val="fr-CH"/>
        </w:rPr>
        <w:t>débuter</w:t>
      </w:r>
      <w:r>
        <w:rPr>
          <w:lang w:val="fr-CH"/>
        </w:rPr>
        <w:t xml:space="preserve"> le plus tôt possible et </w:t>
      </w:r>
      <w:r w:rsidR="00126D38">
        <w:rPr>
          <w:lang w:val="fr-CH"/>
        </w:rPr>
        <w:t>son optique doit être large</w:t>
      </w:r>
      <w:r w:rsidR="325E5E49" w:rsidRPr="00F0226F">
        <w:rPr>
          <w:lang w:val="fr-CH"/>
        </w:rPr>
        <w:t xml:space="preserve">. </w:t>
      </w:r>
      <w:r w:rsidR="00A92D68">
        <w:rPr>
          <w:lang w:val="fr-CH"/>
        </w:rPr>
        <w:t xml:space="preserve">Elle doit tenir compte de tous les intérêts </w:t>
      </w:r>
      <w:r w:rsidR="00126D38">
        <w:rPr>
          <w:lang w:val="fr-CH"/>
        </w:rPr>
        <w:t>reconnus juridiquement</w:t>
      </w:r>
      <w:r w:rsidR="00A92D68">
        <w:rPr>
          <w:lang w:val="fr-CH"/>
        </w:rPr>
        <w:t xml:space="preserve"> et </w:t>
      </w:r>
      <w:r w:rsidR="00126D38">
        <w:rPr>
          <w:lang w:val="fr-CH"/>
        </w:rPr>
        <w:t>pertinents matériellement</w:t>
      </w:r>
      <w:r w:rsidR="00A92D68">
        <w:rPr>
          <w:lang w:val="fr-CH"/>
        </w:rPr>
        <w:t xml:space="preserve"> </w:t>
      </w:r>
      <w:r w:rsidR="00126D38">
        <w:rPr>
          <w:lang w:val="fr-CH"/>
        </w:rPr>
        <w:t>dans le cas d’espèce</w:t>
      </w:r>
      <w:r w:rsidR="325E5E49" w:rsidRPr="00F0226F">
        <w:rPr>
          <w:rFonts w:eastAsia="Arial"/>
          <w:lang w:val="fr-CH"/>
        </w:rPr>
        <w:t xml:space="preserve">, </w:t>
      </w:r>
      <w:r w:rsidR="00A92D68">
        <w:rPr>
          <w:rFonts w:eastAsia="Arial"/>
          <w:lang w:val="fr-CH"/>
        </w:rPr>
        <w:t xml:space="preserve">notamment des exigences du droit de l’aménagement du territoire et des lois spéciales. La pesée des intérêts effectuée doit être documentée de façon claire et </w:t>
      </w:r>
      <w:r w:rsidR="00126D38">
        <w:rPr>
          <w:rFonts w:eastAsia="Arial"/>
          <w:lang w:val="fr-CH"/>
        </w:rPr>
        <w:t xml:space="preserve">compréhensible </w:t>
      </w:r>
      <w:r w:rsidR="00A92D68">
        <w:rPr>
          <w:rFonts w:eastAsia="Arial"/>
          <w:lang w:val="fr-CH"/>
        </w:rPr>
        <w:t xml:space="preserve">et ses diverses étapes présentées de façon transparente. </w:t>
      </w:r>
      <w:r w:rsidR="00B17D25">
        <w:rPr>
          <w:rFonts w:eastAsia="Arial"/>
          <w:lang w:val="fr-CH"/>
        </w:rPr>
        <w:t xml:space="preserve">Dans tous les cas, les responsables de la planification devront </w:t>
      </w:r>
      <w:r w:rsidR="00126D38" w:rsidRPr="003120B2">
        <w:rPr>
          <w:rFonts w:eastAsia="Arial"/>
          <w:lang w:val="fr-CH"/>
        </w:rPr>
        <w:t>examiner comment minimiser</w:t>
      </w:r>
      <w:r w:rsidR="00126D38">
        <w:rPr>
          <w:rFonts w:eastAsia="Arial"/>
          <w:lang w:val="fr-CH"/>
        </w:rPr>
        <w:t xml:space="preserve"> l’emprise sur les</w:t>
      </w:r>
      <w:r w:rsidR="00B17D25">
        <w:rPr>
          <w:lang w:val="fr-CH"/>
        </w:rPr>
        <w:t xml:space="preserve"> SDA</w:t>
      </w:r>
      <w:r w:rsidR="325E5E49" w:rsidRPr="00F0226F">
        <w:rPr>
          <w:lang w:val="fr-CH"/>
        </w:rPr>
        <w:t xml:space="preserve">. </w:t>
      </w:r>
      <w:r w:rsidR="00B17D25">
        <w:rPr>
          <w:lang w:val="fr-CH"/>
        </w:rPr>
        <w:t xml:space="preserve">Lorsque la pesée complète et </w:t>
      </w:r>
      <w:r w:rsidR="00126D38">
        <w:rPr>
          <w:lang w:val="fr-CH"/>
        </w:rPr>
        <w:t xml:space="preserve">objective </w:t>
      </w:r>
      <w:r w:rsidR="00B17D25">
        <w:rPr>
          <w:lang w:val="fr-CH"/>
        </w:rPr>
        <w:t xml:space="preserve">des intérêts en présence conclut à la nécessité de solliciter </w:t>
      </w:r>
      <w:r w:rsidR="00126D38">
        <w:rPr>
          <w:lang w:val="fr-CH"/>
        </w:rPr>
        <w:t xml:space="preserve">des </w:t>
      </w:r>
      <w:r w:rsidR="00B17D25">
        <w:rPr>
          <w:lang w:val="fr-CH"/>
        </w:rPr>
        <w:t>SDA, il importe de s’assurer que les surfaces sollicitées seront u</w:t>
      </w:r>
      <w:r w:rsidR="325E5E49" w:rsidRPr="00F0226F">
        <w:rPr>
          <w:lang w:val="fr-CH"/>
        </w:rPr>
        <w:t>t</w:t>
      </w:r>
      <w:r w:rsidR="00B17D25">
        <w:rPr>
          <w:lang w:val="fr-CH"/>
        </w:rPr>
        <w:t>ilisées de manière optimale selon l’état des connaissances</w:t>
      </w:r>
      <w:r w:rsidR="325E5E49" w:rsidRPr="00F0226F">
        <w:rPr>
          <w:lang w:val="fr-CH"/>
        </w:rPr>
        <w:t xml:space="preserve"> o</w:t>
      </w:r>
      <w:r w:rsidR="00B17D25">
        <w:rPr>
          <w:lang w:val="fr-CH"/>
        </w:rPr>
        <w:t>u, le cas échéant,</w:t>
      </w:r>
      <w:r w:rsidR="00EC2345">
        <w:rPr>
          <w:lang w:val="fr-CH"/>
        </w:rPr>
        <w:t xml:space="preserve"> </w:t>
      </w:r>
      <w:r w:rsidR="008A0ACC">
        <w:rPr>
          <w:lang w:val="fr-CH"/>
        </w:rPr>
        <w:t xml:space="preserve">qu’elles </w:t>
      </w:r>
      <w:r w:rsidR="00EC2345">
        <w:rPr>
          <w:lang w:val="fr-CH"/>
        </w:rPr>
        <w:t xml:space="preserve">feront </w:t>
      </w:r>
      <w:r w:rsidR="0053048C">
        <w:rPr>
          <w:lang w:val="fr-CH"/>
        </w:rPr>
        <w:t xml:space="preserve">même </w:t>
      </w:r>
      <w:r w:rsidR="00EC2345">
        <w:rPr>
          <w:lang w:val="fr-CH"/>
        </w:rPr>
        <w:t>l’objet d’une compensation</w:t>
      </w:r>
      <w:r w:rsidR="325E5E49" w:rsidRPr="00F0226F">
        <w:rPr>
          <w:lang w:val="fr-CH"/>
        </w:rPr>
        <w:t>.</w:t>
      </w:r>
    </w:p>
    <w:p w14:paraId="4E3D0703" w14:textId="29BC2468" w:rsidR="00B83F65" w:rsidRPr="00F0226F" w:rsidRDefault="00EC2345" w:rsidP="00B83F65">
      <w:pPr>
        <w:rPr>
          <w:lang w:val="fr-CH"/>
        </w:rPr>
      </w:pPr>
      <w:bookmarkStart w:id="127" w:name="_Toc526428729"/>
      <w:r>
        <w:rPr>
          <w:lang w:val="fr-CH"/>
        </w:rPr>
        <w:t>Même si la législation accorde une plus grande importance à la protection des SDA qu’</w:t>
      </w:r>
      <w:r w:rsidR="0053048C">
        <w:rPr>
          <w:lang w:val="fr-CH"/>
        </w:rPr>
        <w:t>à celle des</w:t>
      </w:r>
      <w:r>
        <w:rPr>
          <w:lang w:val="fr-CH"/>
        </w:rPr>
        <w:t xml:space="preserve"> autres terres cultivables, la protection des terres cultivables</w:t>
      </w:r>
      <w:r w:rsidR="0053048C">
        <w:rPr>
          <w:lang w:val="fr-CH"/>
        </w:rPr>
        <w:t xml:space="preserve"> en général</w:t>
      </w:r>
      <w:r>
        <w:rPr>
          <w:lang w:val="fr-CH"/>
        </w:rPr>
        <w:t xml:space="preserve"> reste une préoccupation essentielle de la Confédération</w:t>
      </w:r>
      <w:r w:rsidR="00B83F65" w:rsidRPr="00F0226F">
        <w:rPr>
          <w:lang w:val="fr-CH"/>
        </w:rPr>
        <w:t xml:space="preserve">. </w:t>
      </w:r>
      <w:r w:rsidR="0012690F">
        <w:rPr>
          <w:lang w:val="fr-CH"/>
        </w:rPr>
        <w:t xml:space="preserve">En d’autres termes, avant </w:t>
      </w:r>
      <w:r w:rsidR="0053048C">
        <w:rPr>
          <w:lang w:val="fr-CH"/>
        </w:rPr>
        <w:t xml:space="preserve">que les prescriptions régissant </w:t>
      </w:r>
      <w:r w:rsidR="0012690F">
        <w:rPr>
          <w:lang w:val="fr-CH"/>
        </w:rPr>
        <w:t xml:space="preserve">la sollicitation de SDA ou </w:t>
      </w:r>
      <w:r w:rsidR="0053048C">
        <w:rPr>
          <w:lang w:val="fr-CH"/>
        </w:rPr>
        <w:t xml:space="preserve">que soit menée </w:t>
      </w:r>
      <w:r w:rsidR="0012690F">
        <w:rPr>
          <w:lang w:val="fr-CH"/>
        </w:rPr>
        <w:t>une pesée des intérêts en présence</w:t>
      </w:r>
      <w:r w:rsidR="0053048C">
        <w:rPr>
          <w:lang w:val="fr-CH"/>
        </w:rPr>
        <w:t xml:space="preserve"> en vue d’une emprise sur les SDA</w:t>
      </w:r>
      <w:r w:rsidR="0012690F">
        <w:rPr>
          <w:lang w:val="fr-CH"/>
        </w:rPr>
        <w:t xml:space="preserve">, il importe </w:t>
      </w:r>
      <w:r>
        <w:rPr>
          <w:lang w:val="fr-CH"/>
        </w:rPr>
        <w:t xml:space="preserve">d’examiner si le projet </w:t>
      </w:r>
      <w:r w:rsidR="008A0ACC">
        <w:rPr>
          <w:lang w:val="fr-CH"/>
        </w:rPr>
        <w:t>doi</w:t>
      </w:r>
      <w:r w:rsidR="0012690F">
        <w:rPr>
          <w:lang w:val="fr-CH"/>
        </w:rPr>
        <w:t xml:space="preserve">t être réalisé </w:t>
      </w:r>
      <w:r w:rsidR="0053048C">
        <w:rPr>
          <w:lang w:val="fr-CH"/>
        </w:rPr>
        <w:t>sur des terres cultivables</w:t>
      </w:r>
      <w:r>
        <w:rPr>
          <w:lang w:val="fr-CH"/>
        </w:rPr>
        <w:t xml:space="preserve"> </w:t>
      </w:r>
      <w:r w:rsidR="0012690F">
        <w:rPr>
          <w:lang w:val="fr-CH"/>
        </w:rPr>
        <w:t>ou</w:t>
      </w:r>
      <w:r>
        <w:rPr>
          <w:lang w:val="fr-CH"/>
        </w:rPr>
        <w:t xml:space="preserve"> si des possibilités de réalisation existent en zone à bâtir</w:t>
      </w:r>
      <w:r w:rsidR="00B83F65" w:rsidRPr="00F0226F">
        <w:rPr>
          <w:lang w:val="fr-CH"/>
        </w:rPr>
        <w:t>.</w:t>
      </w:r>
    </w:p>
    <w:p w14:paraId="0C144637" w14:textId="3D0C28D0" w:rsidR="00F0749C" w:rsidRPr="00F0226F" w:rsidRDefault="0012690F" w:rsidP="00366085">
      <w:pPr>
        <w:pStyle w:val="berschrift2"/>
        <w:rPr>
          <w:lang w:val="fr-CH"/>
        </w:rPr>
      </w:pPr>
      <w:bookmarkStart w:id="128" w:name="_Toc532996379"/>
      <w:r>
        <w:rPr>
          <w:lang w:val="fr-CH"/>
        </w:rPr>
        <w:t xml:space="preserve">Obligations des </w:t>
      </w:r>
      <w:r w:rsidR="00EB1D5B">
        <w:rPr>
          <w:lang w:val="fr-CH"/>
        </w:rPr>
        <w:t xml:space="preserve">différentes </w:t>
      </w:r>
      <w:r>
        <w:rPr>
          <w:lang w:val="fr-CH"/>
        </w:rPr>
        <w:t>autorité</w:t>
      </w:r>
      <w:bookmarkEnd w:id="127"/>
      <w:r>
        <w:rPr>
          <w:lang w:val="fr-CH"/>
        </w:rPr>
        <w:t>s</w:t>
      </w:r>
      <w:bookmarkEnd w:id="128"/>
    </w:p>
    <w:p w14:paraId="69C59F47" w14:textId="6B0BA42E" w:rsidR="00842F8B" w:rsidRPr="00F0226F" w:rsidRDefault="0012690F" w:rsidP="092AEEA6">
      <w:pPr>
        <w:spacing w:before="240"/>
        <w:rPr>
          <w:i/>
          <w:iCs/>
          <w:lang w:val="fr-CH"/>
        </w:rPr>
      </w:pPr>
      <w:r>
        <w:rPr>
          <w:i/>
          <w:iCs/>
          <w:lang w:val="fr-CH"/>
        </w:rPr>
        <w:t>Confé</w:t>
      </w:r>
      <w:r w:rsidR="325E5E49" w:rsidRPr="00F0226F">
        <w:rPr>
          <w:i/>
          <w:iCs/>
          <w:lang w:val="fr-CH"/>
        </w:rPr>
        <w:t>d</w:t>
      </w:r>
      <w:r>
        <w:rPr>
          <w:i/>
          <w:iCs/>
          <w:lang w:val="fr-CH"/>
        </w:rPr>
        <w:t>ération</w:t>
      </w:r>
    </w:p>
    <w:p w14:paraId="0E666E7F" w14:textId="01665CA8" w:rsidR="00842F8B" w:rsidRPr="00F0226F" w:rsidRDefault="00EB1D5B" w:rsidP="00842F8B">
      <w:pPr>
        <w:rPr>
          <w:lang w:val="fr-CH"/>
        </w:rPr>
      </w:pPr>
      <w:r>
        <w:rPr>
          <w:lang w:val="fr-CH"/>
        </w:rPr>
        <w:t xml:space="preserve">La Confédération exerce </w:t>
      </w:r>
      <w:r w:rsidR="0053048C">
        <w:rPr>
          <w:lang w:val="fr-CH"/>
        </w:rPr>
        <w:t xml:space="preserve">la </w:t>
      </w:r>
      <w:r>
        <w:rPr>
          <w:lang w:val="fr-CH"/>
        </w:rPr>
        <w:t>haute survei</w:t>
      </w:r>
      <w:r w:rsidR="00DF7A47">
        <w:rPr>
          <w:lang w:val="fr-CH"/>
        </w:rPr>
        <w:t>llance sur la mise en œuvre du P</w:t>
      </w:r>
      <w:r>
        <w:rPr>
          <w:lang w:val="fr-CH"/>
        </w:rPr>
        <w:t>lan sectoriel</w:t>
      </w:r>
      <w:r w:rsidR="3120AD34" w:rsidRPr="00F0226F">
        <w:rPr>
          <w:lang w:val="fr-CH"/>
        </w:rPr>
        <w:t>. Au</w:t>
      </w:r>
      <w:r>
        <w:rPr>
          <w:lang w:val="fr-CH"/>
        </w:rPr>
        <w:t xml:space="preserve"> niveau fédéral, les </w:t>
      </w:r>
      <w:r w:rsidR="0053048C">
        <w:rPr>
          <w:lang w:val="fr-CH"/>
        </w:rPr>
        <w:t xml:space="preserve">services </w:t>
      </w:r>
      <w:r>
        <w:rPr>
          <w:lang w:val="fr-CH"/>
        </w:rPr>
        <w:t xml:space="preserve">dont les activités touchent des SDA doivent tenir compte du </w:t>
      </w:r>
      <w:r w:rsidR="00DF7A47">
        <w:rPr>
          <w:lang w:val="fr-CH"/>
        </w:rPr>
        <w:t>P</w:t>
      </w:r>
      <w:r>
        <w:rPr>
          <w:lang w:val="fr-CH"/>
        </w:rPr>
        <w:t xml:space="preserve">lan sectoriel. </w:t>
      </w:r>
    </w:p>
    <w:p w14:paraId="550F112E" w14:textId="7B5A4545" w:rsidR="007F5925" w:rsidRPr="00F0226F" w:rsidRDefault="00EB1D5B" w:rsidP="29D59492">
      <w:pPr>
        <w:spacing w:before="120"/>
        <w:rPr>
          <w:bCs/>
          <w:lang w:val="fr-CH"/>
        </w:rPr>
      </w:pPr>
      <w:r>
        <w:rPr>
          <w:lang w:val="fr-CH"/>
        </w:rPr>
        <w:t>Le groupe de travail interdépartemental</w:t>
      </w:r>
      <w:r w:rsidR="0053048C">
        <w:rPr>
          <w:lang w:val="fr-CH"/>
        </w:rPr>
        <w:t xml:space="preserve"> Plan sectoriel</w:t>
      </w:r>
      <w:r w:rsidR="3120AD34" w:rsidRPr="00F0226F">
        <w:rPr>
          <w:lang w:val="fr-CH"/>
        </w:rPr>
        <w:t xml:space="preserve"> </w:t>
      </w:r>
      <w:r w:rsidR="00DA0C8D" w:rsidRPr="00F0226F">
        <w:rPr>
          <w:lang w:val="fr-CH"/>
        </w:rPr>
        <w:t>S</w:t>
      </w:r>
      <w:r w:rsidR="00A05BF5">
        <w:rPr>
          <w:lang w:val="fr-CH"/>
        </w:rPr>
        <w:t>DA</w:t>
      </w:r>
      <w:r w:rsidR="0053048C">
        <w:rPr>
          <w:lang w:val="fr-CH"/>
        </w:rPr>
        <w:t xml:space="preserve"> (PS SDA)</w:t>
      </w:r>
      <w:r w:rsidR="3120AD34" w:rsidRPr="00F0226F">
        <w:rPr>
          <w:lang w:val="fr-CH"/>
        </w:rPr>
        <w:t xml:space="preserve"> </w:t>
      </w:r>
      <w:r w:rsidR="009C3B64">
        <w:rPr>
          <w:lang w:val="fr-CH"/>
        </w:rPr>
        <w:t>émet des réflexions</w:t>
      </w:r>
      <w:r w:rsidR="008A0ACC">
        <w:rPr>
          <w:lang w:val="fr-CH"/>
        </w:rPr>
        <w:t xml:space="preserve"> </w:t>
      </w:r>
      <w:r w:rsidR="00FF04F7">
        <w:rPr>
          <w:lang w:val="fr-CH"/>
        </w:rPr>
        <w:t>stratégi</w:t>
      </w:r>
      <w:r w:rsidR="00DF7A47">
        <w:rPr>
          <w:lang w:val="fr-CH"/>
        </w:rPr>
        <w:t>ques concernant l’exécution du P</w:t>
      </w:r>
      <w:r w:rsidR="00FF04F7">
        <w:rPr>
          <w:lang w:val="fr-CH"/>
        </w:rPr>
        <w:t>lan sectoriel et exerce un rôle de coordination important entre les offices fédéraux représentés</w:t>
      </w:r>
      <w:r w:rsidR="008A0ACC">
        <w:rPr>
          <w:lang w:val="fr-CH"/>
        </w:rPr>
        <w:t xml:space="preserve"> en son sein</w:t>
      </w:r>
      <w:r w:rsidR="3120AD34" w:rsidRPr="00F0226F">
        <w:rPr>
          <w:lang w:val="fr-CH"/>
        </w:rPr>
        <w:t xml:space="preserve">. </w:t>
      </w:r>
      <w:r w:rsidR="00FF04F7">
        <w:rPr>
          <w:lang w:val="fr-CH"/>
        </w:rPr>
        <w:t>Il se compose de représentants des Offices fédéraux du développement territorial (</w:t>
      </w:r>
      <w:r w:rsidR="3120AD34" w:rsidRPr="00F0226F">
        <w:rPr>
          <w:lang w:val="fr-CH"/>
        </w:rPr>
        <w:t>ARE</w:t>
      </w:r>
      <w:r w:rsidR="00FF04F7">
        <w:rPr>
          <w:lang w:val="fr-CH"/>
        </w:rPr>
        <w:t> : direction</w:t>
      </w:r>
      <w:r w:rsidR="3120AD34" w:rsidRPr="00F0226F">
        <w:rPr>
          <w:lang w:val="fr-CH"/>
        </w:rPr>
        <w:t xml:space="preserve">), </w:t>
      </w:r>
      <w:r w:rsidR="00FF04F7">
        <w:rPr>
          <w:lang w:val="fr-CH"/>
        </w:rPr>
        <w:t>de l’agriculture</w:t>
      </w:r>
      <w:r w:rsidR="3120AD34" w:rsidRPr="00F0226F">
        <w:rPr>
          <w:lang w:val="fr-CH"/>
        </w:rPr>
        <w:t xml:space="preserve"> </w:t>
      </w:r>
      <w:r w:rsidR="00FF04F7">
        <w:rPr>
          <w:lang w:val="fr-CH"/>
        </w:rPr>
        <w:t>(OFAG)</w:t>
      </w:r>
      <w:r w:rsidR="3120AD34" w:rsidRPr="00F0226F">
        <w:rPr>
          <w:lang w:val="fr-CH"/>
        </w:rPr>
        <w:t xml:space="preserve">, </w:t>
      </w:r>
      <w:r w:rsidR="00FF04F7">
        <w:rPr>
          <w:lang w:val="fr-CH"/>
        </w:rPr>
        <w:t>pour l’approvisionnement économique du pays</w:t>
      </w:r>
      <w:r w:rsidR="3120AD34" w:rsidRPr="00F0226F">
        <w:rPr>
          <w:lang w:val="fr-CH"/>
        </w:rPr>
        <w:t xml:space="preserve"> </w:t>
      </w:r>
      <w:r w:rsidR="00FF04F7">
        <w:rPr>
          <w:lang w:val="fr-CH"/>
        </w:rPr>
        <w:t>(OFAE) et de l’environnement (OFEV)</w:t>
      </w:r>
      <w:r w:rsidR="3120AD34" w:rsidRPr="00F0226F">
        <w:rPr>
          <w:lang w:val="fr-CH"/>
        </w:rPr>
        <w:t xml:space="preserve">. </w:t>
      </w:r>
      <w:r w:rsidR="00F71678">
        <w:rPr>
          <w:lang w:val="fr-CH"/>
        </w:rPr>
        <w:t xml:space="preserve">Il </w:t>
      </w:r>
      <w:r w:rsidR="009C3B64">
        <w:rPr>
          <w:lang w:val="fr-CH"/>
        </w:rPr>
        <w:t xml:space="preserve">entretient </w:t>
      </w:r>
      <w:r w:rsidR="00F71678">
        <w:rPr>
          <w:lang w:val="fr-CH"/>
        </w:rPr>
        <w:t>des échanges réguliers avec les cantons.</w:t>
      </w:r>
    </w:p>
    <w:p w14:paraId="31B23AB6" w14:textId="38F8858C" w:rsidR="002F339B" w:rsidRPr="00F0226F" w:rsidRDefault="00F71678" w:rsidP="00A35B51">
      <w:pPr>
        <w:rPr>
          <w:lang w:val="fr-CH"/>
        </w:rPr>
      </w:pPr>
      <w:r>
        <w:rPr>
          <w:lang w:val="fr-CH"/>
        </w:rPr>
        <w:lastRenderedPageBreak/>
        <w:t xml:space="preserve">Pour informer le public et accroître la transparence sur les pratiques cantonales relatives au traitement des SDA, la Confédération rédige une </w:t>
      </w:r>
      <w:r w:rsidR="325E5E49" w:rsidRPr="00F0226F">
        <w:rPr>
          <w:lang w:val="fr-CH"/>
        </w:rPr>
        <w:t>«</w:t>
      </w:r>
      <w:r>
        <w:rPr>
          <w:lang w:val="fr-CH"/>
        </w:rPr>
        <w:t xml:space="preserve"> fiche cantonale </w:t>
      </w:r>
      <w:r w:rsidR="325E5E49" w:rsidRPr="00F0226F">
        <w:rPr>
          <w:lang w:val="fr-CH"/>
        </w:rPr>
        <w:t>»</w:t>
      </w:r>
      <w:r>
        <w:rPr>
          <w:lang w:val="fr-CH"/>
        </w:rPr>
        <w:t xml:space="preserve"> pour chaque canton</w:t>
      </w:r>
      <w:r w:rsidR="325E5E49" w:rsidRPr="00F0226F">
        <w:rPr>
          <w:lang w:val="fr-CH"/>
        </w:rPr>
        <w:t xml:space="preserve">. </w:t>
      </w:r>
      <w:r>
        <w:rPr>
          <w:lang w:val="fr-CH"/>
        </w:rPr>
        <w:t xml:space="preserve">Ces </w:t>
      </w:r>
      <w:r w:rsidR="009C3B64">
        <w:rPr>
          <w:lang w:val="fr-CH"/>
        </w:rPr>
        <w:t xml:space="preserve">fiches « signalétiques » contiennent </w:t>
      </w:r>
      <w:r>
        <w:rPr>
          <w:lang w:val="fr-CH"/>
        </w:rPr>
        <w:t xml:space="preserve">les </w:t>
      </w:r>
      <w:r w:rsidR="009C3B64">
        <w:rPr>
          <w:lang w:val="fr-CH"/>
        </w:rPr>
        <w:t>informations les plus importantes</w:t>
      </w:r>
      <w:r>
        <w:rPr>
          <w:lang w:val="fr-CH"/>
        </w:rPr>
        <w:t xml:space="preserve"> sur les SDA </w:t>
      </w:r>
      <w:r w:rsidR="009C3B64">
        <w:rPr>
          <w:lang w:val="fr-CH"/>
        </w:rPr>
        <w:t>des cantons</w:t>
      </w:r>
      <w:r>
        <w:rPr>
          <w:lang w:val="fr-CH"/>
        </w:rPr>
        <w:t xml:space="preserve">. Les informations sur les SDA sont donc facilement accessibles et peuvent être consultées en ligne. La Confédération réactualise leur contenu </w:t>
      </w:r>
      <w:r w:rsidR="009C3B64">
        <w:rPr>
          <w:lang w:val="fr-CH"/>
        </w:rPr>
        <w:t>au besoin</w:t>
      </w:r>
      <w:r>
        <w:rPr>
          <w:lang w:val="fr-CH"/>
        </w:rPr>
        <w:t>. Cette mise à jour n’appelle pas de procédure particulière en raison du caractère non contraignant du contenu de chaque fiche</w:t>
      </w:r>
      <w:r w:rsidR="325E5E49" w:rsidRPr="00F0226F">
        <w:rPr>
          <w:lang w:val="fr-CH"/>
        </w:rPr>
        <w:t>.</w:t>
      </w:r>
    </w:p>
    <w:p w14:paraId="574FA411" w14:textId="5159F22A" w:rsidR="00842F8B" w:rsidRPr="00F0226F" w:rsidRDefault="0012690F" w:rsidP="00842F8B">
      <w:pPr>
        <w:spacing w:before="240"/>
        <w:rPr>
          <w:lang w:val="fr-CH"/>
        </w:rPr>
      </w:pPr>
      <w:r>
        <w:rPr>
          <w:i/>
          <w:iCs/>
          <w:lang w:val="fr-CH"/>
        </w:rPr>
        <w:t>C</w:t>
      </w:r>
      <w:r w:rsidR="325E5E49" w:rsidRPr="00F0226F">
        <w:rPr>
          <w:i/>
          <w:iCs/>
          <w:lang w:val="fr-CH"/>
        </w:rPr>
        <w:t>anton</w:t>
      </w:r>
      <w:r>
        <w:rPr>
          <w:i/>
          <w:iCs/>
          <w:lang w:val="fr-CH"/>
        </w:rPr>
        <w:t>s</w:t>
      </w:r>
    </w:p>
    <w:p w14:paraId="160C90EA" w14:textId="451C8683" w:rsidR="00842F8B" w:rsidRPr="00F0226F" w:rsidRDefault="008A0ACC" w:rsidP="007569E5">
      <w:pPr>
        <w:rPr>
          <w:lang w:val="fr-CH"/>
        </w:rPr>
      </w:pPr>
      <w:r>
        <w:rPr>
          <w:lang w:val="fr-CH"/>
        </w:rPr>
        <w:t xml:space="preserve">La mise en œuvre du </w:t>
      </w:r>
      <w:r w:rsidR="00DF7A47">
        <w:rPr>
          <w:lang w:val="fr-CH"/>
        </w:rPr>
        <w:t>P</w:t>
      </w:r>
      <w:r>
        <w:rPr>
          <w:lang w:val="fr-CH"/>
        </w:rPr>
        <w:t xml:space="preserve">lan sectoriel relève de la responsabilité de chaque canton. </w:t>
      </w:r>
      <w:r w:rsidR="00F71678">
        <w:rPr>
          <w:lang w:val="fr-CH"/>
        </w:rPr>
        <w:t xml:space="preserve">Le </w:t>
      </w:r>
      <w:r w:rsidR="00DF7A47">
        <w:rPr>
          <w:lang w:val="fr-CH"/>
        </w:rPr>
        <w:t>P</w:t>
      </w:r>
      <w:r w:rsidR="00F71678">
        <w:rPr>
          <w:lang w:val="fr-CH"/>
        </w:rPr>
        <w:t xml:space="preserve">lan sectoriel </w:t>
      </w:r>
      <w:r w:rsidR="009C3B64">
        <w:rPr>
          <w:lang w:val="fr-CH"/>
        </w:rPr>
        <w:t>sert de base pour</w:t>
      </w:r>
      <w:r w:rsidR="00F71678">
        <w:rPr>
          <w:lang w:val="fr-CH"/>
        </w:rPr>
        <w:t xml:space="preserve"> </w:t>
      </w:r>
      <w:r w:rsidR="009C3B64">
        <w:rPr>
          <w:lang w:val="fr-CH"/>
        </w:rPr>
        <w:t xml:space="preserve">l’évaluation </w:t>
      </w:r>
      <w:r w:rsidR="00F71678">
        <w:rPr>
          <w:lang w:val="fr-CH"/>
        </w:rPr>
        <w:t xml:space="preserve">et l’examen des plans directeurs cantonaux </w:t>
      </w:r>
      <w:r>
        <w:rPr>
          <w:lang w:val="fr-CH"/>
        </w:rPr>
        <w:t>dans le domaine</w:t>
      </w:r>
      <w:r w:rsidR="00F71678">
        <w:rPr>
          <w:lang w:val="fr-CH"/>
        </w:rPr>
        <w:t xml:space="preserve"> des SDA. Les cantons en tiennent compte lors du remaniement de leur plan directeur et veillent à </w:t>
      </w:r>
      <w:r w:rsidR="003C785D">
        <w:rPr>
          <w:lang w:val="fr-CH"/>
        </w:rPr>
        <w:t xml:space="preserve">respecter les </w:t>
      </w:r>
      <w:r w:rsidR="00857837">
        <w:rPr>
          <w:lang w:val="fr-CH"/>
        </w:rPr>
        <w:t xml:space="preserve">prescriptions </w:t>
      </w:r>
      <w:r w:rsidR="003C785D">
        <w:rPr>
          <w:lang w:val="fr-CH"/>
        </w:rPr>
        <w:t xml:space="preserve">du </w:t>
      </w:r>
      <w:r w:rsidR="00DF7A47">
        <w:rPr>
          <w:lang w:val="fr-CH"/>
        </w:rPr>
        <w:t>P</w:t>
      </w:r>
      <w:r w:rsidR="003C785D">
        <w:rPr>
          <w:lang w:val="fr-CH"/>
        </w:rPr>
        <w:t xml:space="preserve">lan sectoriel </w:t>
      </w:r>
      <w:r>
        <w:rPr>
          <w:lang w:val="fr-CH"/>
        </w:rPr>
        <w:t>ainsi que les</w:t>
      </w:r>
      <w:r w:rsidR="003C785D">
        <w:rPr>
          <w:lang w:val="fr-CH"/>
        </w:rPr>
        <w:t xml:space="preserve"> bases juridiques</w:t>
      </w:r>
      <w:r>
        <w:rPr>
          <w:lang w:val="fr-CH"/>
        </w:rPr>
        <w:t xml:space="preserve"> correspondantes</w:t>
      </w:r>
      <w:r w:rsidR="003C785D">
        <w:rPr>
          <w:lang w:val="fr-CH"/>
        </w:rPr>
        <w:t xml:space="preserve">. Ils sont également tenus de soutenir la Confédération lors de la compensation des SDA sollicitées pour des projets fédéraux. </w:t>
      </w:r>
    </w:p>
    <w:p w14:paraId="75451F11" w14:textId="44A55C58" w:rsidR="0011595A" w:rsidRPr="00F0226F" w:rsidRDefault="003C785D" w:rsidP="0011595A">
      <w:pPr>
        <w:rPr>
          <w:lang w:val="fr-CH"/>
        </w:rPr>
      </w:pPr>
      <w:r>
        <w:rPr>
          <w:lang w:val="fr-CH"/>
        </w:rPr>
        <w:t>Les cantons</w:t>
      </w:r>
      <w:r w:rsidR="0011595A" w:rsidRPr="00F0226F">
        <w:rPr>
          <w:lang w:val="fr-CH"/>
        </w:rPr>
        <w:t xml:space="preserve"> </w:t>
      </w:r>
      <w:r>
        <w:rPr>
          <w:lang w:val="fr-CH"/>
        </w:rPr>
        <w:t>notifient à l’</w:t>
      </w:r>
      <w:r w:rsidR="0011595A" w:rsidRPr="00F0226F">
        <w:rPr>
          <w:lang w:val="fr-CH"/>
        </w:rPr>
        <w:t xml:space="preserve">ARE </w:t>
      </w:r>
      <w:r>
        <w:rPr>
          <w:lang w:val="fr-CH"/>
        </w:rPr>
        <w:t xml:space="preserve">et à l’OFAG </w:t>
      </w:r>
      <w:r w:rsidR="009C3B64">
        <w:rPr>
          <w:lang w:val="fr-CH"/>
        </w:rPr>
        <w:t xml:space="preserve">les </w:t>
      </w:r>
      <w:r>
        <w:rPr>
          <w:lang w:val="fr-CH"/>
        </w:rPr>
        <w:t xml:space="preserve">décisions relatives à l’approbation de plans d’affectation qui </w:t>
      </w:r>
      <w:r w:rsidR="004D28E6">
        <w:rPr>
          <w:lang w:val="fr-CH"/>
        </w:rPr>
        <w:t xml:space="preserve">entraînent une diminution </w:t>
      </w:r>
      <w:r>
        <w:rPr>
          <w:lang w:val="fr-CH"/>
        </w:rPr>
        <w:t xml:space="preserve">de plus de trois </w:t>
      </w:r>
      <w:r w:rsidR="009C3B64">
        <w:rPr>
          <w:lang w:val="fr-CH"/>
        </w:rPr>
        <w:t xml:space="preserve">hectares </w:t>
      </w:r>
      <w:r w:rsidR="004D28E6">
        <w:rPr>
          <w:lang w:val="fr-CH"/>
        </w:rPr>
        <w:t xml:space="preserve">de </w:t>
      </w:r>
      <w:r>
        <w:rPr>
          <w:lang w:val="fr-CH"/>
        </w:rPr>
        <w:t>surfaces d’assolement</w:t>
      </w:r>
      <w:r w:rsidR="0011595A" w:rsidRPr="00F0226F">
        <w:rPr>
          <w:lang w:val="fr-CH"/>
        </w:rPr>
        <w:t xml:space="preserve"> (</w:t>
      </w:r>
      <w:r>
        <w:rPr>
          <w:lang w:val="fr-CH"/>
        </w:rPr>
        <w:t>a</w:t>
      </w:r>
      <w:r w:rsidR="0011595A" w:rsidRPr="00F0226F">
        <w:rPr>
          <w:lang w:val="fr-CH"/>
        </w:rPr>
        <w:t xml:space="preserve">rt. 46 </w:t>
      </w:r>
      <w:r>
        <w:rPr>
          <w:lang w:val="fr-CH"/>
        </w:rPr>
        <w:t>OAT</w:t>
      </w:r>
      <w:r w:rsidR="0011595A" w:rsidRPr="00F0226F">
        <w:rPr>
          <w:lang w:val="fr-CH"/>
        </w:rPr>
        <w:t xml:space="preserve">). </w:t>
      </w:r>
      <w:r w:rsidR="008A0ACC">
        <w:rPr>
          <w:lang w:val="fr-CH"/>
        </w:rPr>
        <w:t>S</w:t>
      </w:r>
      <w:r>
        <w:rPr>
          <w:lang w:val="fr-CH"/>
        </w:rPr>
        <w:t xml:space="preserve">elon les circonstances, </w:t>
      </w:r>
      <w:r w:rsidR="008A0ACC">
        <w:rPr>
          <w:lang w:val="fr-CH"/>
        </w:rPr>
        <w:t xml:space="preserve">il peut </w:t>
      </w:r>
      <w:r>
        <w:rPr>
          <w:lang w:val="fr-CH"/>
        </w:rPr>
        <w:t>être judicieux d’associer ou d’informer au préalable l’ARE</w:t>
      </w:r>
      <w:r w:rsidR="0011595A" w:rsidRPr="00F0226F">
        <w:rPr>
          <w:lang w:val="fr-CH"/>
        </w:rPr>
        <w:t xml:space="preserve">. </w:t>
      </w:r>
    </w:p>
    <w:p w14:paraId="40934D56" w14:textId="57D750A1" w:rsidR="00842F8B" w:rsidRPr="00F0226F" w:rsidRDefault="0012690F" w:rsidP="0011595A">
      <w:pPr>
        <w:rPr>
          <w:i/>
          <w:iCs/>
          <w:lang w:val="fr-CH"/>
        </w:rPr>
      </w:pPr>
      <w:r>
        <w:rPr>
          <w:i/>
          <w:iCs/>
          <w:lang w:val="fr-CH"/>
        </w:rPr>
        <w:t>Commu</w:t>
      </w:r>
      <w:r w:rsidR="325E5E49" w:rsidRPr="00F0226F">
        <w:rPr>
          <w:i/>
          <w:iCs/>
          <w:lang w:val="fr-CH"/>
        </w:rPr>
        <w:t>n</w:t>
      </w:r>
      <w:r>
        <w:rPr>
          <w:i/>
          <w:iCs/>
          <w:lang w:val="fr-CH"/>
        </w:rPr>
        <w:t>es</w:t>
      </w:r>
    </w:p>
    <w:p w14:paraId="122E9797" w14:textId="389252B8" w:rsidR="00A83E23" w:rsidRPr="00F0226F" w:rsidRDefault="003C785D" w:rsidP="0036416F">
      <w:pPr>
        <w:rPr>
          <w:lang w:val="fr-CH"/>
        </w:rPr>
      </w:pPr>
      <w:r>
        <w:rPr>
          <w:lang w:val="fr-CH"/>
        </w:rPr>
        <w:t>Les commu</w:t>
      </w:r>
      <w:r w:rsidR="00DF7A47">
        <w:rPr>
          <w:lang w:val="fr-CH"/>
        </w:rPr>
        <w:t>nes sont tenues d’appliquer le P</w:t>
      </w:r>
      <w:r>
        <w:rPr>
          <w:lang w:val="fr-CH"/>
        </w:rPr>
        <w:t xml:space="preserve">lan sectoriel SDA lors de l’élaboration ou de l’adaptation de leurs plans d’affectation et dans l’exercice d’autres activités à incidence </w:t>
      </w:r>
      <w:r w:rsidR="00387195">
        <w:rPr>
          <w:lang w:val="fr-CH"/>
        </w:rPr>
        <w:t>spatiale</w:t>
      </w:r>
      <w:r>
        <w:rPr>
          <w:lang w:val="fr-CH"/>
        </w:rPr>
        <w:t xml:space="preserve">. </w:t>
      </w:r>
      <w:bookmarkEnd w:id="117"/>
      <w:bookmarkEnd w:id="118"/>
      <w:bookmarkEnd w:id="119"/>
      <w:bookmarkEnd w:id="120"/>
      <w:bookmarkEnd w:id="121"/>
      <w:bookmarkEnd w:id="122"/>
      <w:bookmarkEnd w:id="123"/>
      <w:bookmarkEnd w:id="124"/>
      <w:bookmarkEnd w:id="125"/>
      <w:bookmarkEnd w:id="126"/>
    </w:p>
    <w:p w14:paraId="3C09AC16" w14:textId="77777777" w:rsidR="00A83E23" w:rsidRPr="00F0226F" w:rsidRDefault="00A83E23">
      <w:pPr>
        <w:spacing w:after="160" w:line="259" w:lineRule="auto"/>
        <w:rPr>
          <w:rFonts w:cs="Arial"/>
          <w:b/>
          <w:bCs/>
          <w:kern w:val="32"/>
          <w:sz w:val="32"/>
          <w:szCs w:val="32"/>
          <w:lang w:val="fr-CH"/>
        </w:rPr>
      </w:pPr>
      <w:r w:rsidRPr="00F0226F">
        <w:rPr>
          <w:lang w:val="fr-CH"/>
        </w:rPr>
        <w:br w:type="page"/>
      </w:r>
    </w:p>
    <w:p w14:paraId="7E185446" w14:textId="2FD8E9E7" w:rsidR="00EC71A9" w:rsidRPr="00F0226F" w:rsidRDefault="00EC71A9" w:rsidP="00EC71A9">
      <w:pPr>
        <w:pStyle w:val="berschrift1"/>
        <w:keepLines/>
        <w:spacing w:before="300" w:after="120" w:line="288" w:lineRule="auto"/>
        <w:ind w:left="432" w:hanging="432"/>
        <w:contextualSpacing/>
        <w:rPr>
          <w:lang w:val="fr-CH"/>
        </w:rPr>
      </w:pPr>
      <w:bookmarkStart w:id="129" w:name="_Toc526428730"/>
      <w:bookmarkStart w:id="130" w:name="_Toc532996380"/>
      <w:r w:rsidRPr="00F0226F">
        <w:rPr>
          <w:lang w:val="fr-CH"/>
        </w:rPr>
        <w:lastRenderedPageBreak/>
        <w:t>An</w:t>
      </w:r>
      <w:bookmarkEnd w:id="129"/>
      <w:r w:rsidR="00EB1D5B">
        <w:rPr>
          <w:lang w:val="fr-CH"/>
        </w:rPr>
        <w:t>nexe</w:t>
      </w:r>
      <w:bookmarkEnd w:id="130"/>
    </w:p>
    <w:p w14:paraId="1896F206" w14:textId="41AF0496" w:rsidR="00BE272D" w:rsidRDefault="00BE272D" w:rsidP="002C5608">
      <w:pPr>
        <w:pStyle w:val="berschrift2"/>
        <w:rPr>
          <w:lang w:val="fr-CH"/>
        </w:rPr>
      </w:pPr>
      <w:bookmarkStart w:id="131" w:name="_Toc532996381"/>
      <w:r>
        <w:rPr>
          <w:lang w:val="fr-CH"/>
        </w:rPr>
        <w:t xml:space="preserve">Terminologie </w:t>
      </w:r>
      <w:r w:rsidR="007F33F8">
        <w:rPr>
          <w:lang w:val="fr-CH"/>
        </w:rPr>
        <w:t>utilisée pour les</w:t>
      </w:r>
      <w:r>
        <w:rPr>
          <w:lang w:val="fr-CH"/>
        </w:rPr>
        <w:t xml:space="preserve"> SDA</w:t>
      </w:r>
      <w:bookmarkEnd w:id="131"/>
    </w:p>
    <w:p w14:paraId="6BFC2983" w14:textId="77777777" w:rsidR="0060428F" w:rsidRDefault="0060428F" w:rsidP="0060428F">
      <w:pPr>
        <w:rPr>
          <w:highlight w:val="yellow"/>
          <w:lang w:val="fr-CH"/>
        </w:rPr>
      </w:pPr>
      <w:r>
        <w:rPr>
          <w:noProof/>
        </w:rPr>
        <w:drawing>
          <wp:inline distT="0" distB="0" distL="0" distR="0" wp14:anchorId="3F67F33B" wp14:editId="47B44A88">
            <wp:extent cx="5434218" cy="3438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6797" cy="3452812"/>
                    </a:xfrm>
                    <a:prstGeom prst="rect">
                      <a:avLst/>
                    </a:prstGeom>
                    <a:noFill/>
                  </pic:spPr>
                </pic:pic>
              </a:graphicData>
            </a:graphic>
          </wp:inline>
        </w:drawing>
      </w:r>
      <w:bookmarkStart w:id="132" w:name="_Ref531079546"/>
    </w:p>
    <w:p w14:paraId="0ED7F995" w14:textId="038AC3AF" w:rsidR="00BE272D" w:rsidRPr="0060428F" w:rsidRDefault="00483A96" w:rsidP="0060428F">
      <w:pPr>
        <w:rPr>
          <w:lang w:val="fr-CH"/>
        </w:rPr>
      </w:pPr>
      <w:r w:rsidRPr="0060428F">
        <w:rPr>
          <w:lang w:val="fr-CH"/>
        </w:rPr>
        <w:t>Figure</w:t>
      </w:r>
      <w:r w:rsidR="00BE272D" w:rsidRPr="0060428F">
        <w:rPr>
          <w:lang w:val="fr-CH"/>
        </w:rPr>
        <w:t xml:space="preserve"> </w:t>
      </w:r>
      <w:r w:rsidR="00BE272D" w:rsidRPr="0060428F">
        <w:rPr>
          <w:lang w:val="fr-CH"/>
        </w:rPr>
        <w:fldChar w:fldCharType="begin"/>
      </w:r>
      <w:r w:rsidR="00BE272D" w:rsidRPr="0060428F">
        <w:rPr>
          <w:lang w:val="fr-CH"/>
        </w:rPr>
        <w:instrText xml:space="preserve"> SEQ Abbildung \* ARABIC </w:instrText>
      </w:r>
      <w:r w:rsidR="00BE272D" w:rsidRPr="0060428F">
        <w:rPr>
          <w:lang w:val="fr-CH"/>
        </w:rPr>
        <w:fldChar w:fldCharType="separate"/>
      </w:r>
      <w:r w:rsidR="001971CC">
        <w:rPr>
          <w:noProof/>
          <w:lang w:val="fr-CH"/>
        </w:rPr>
        <w:t>1</w:t>
      </w:r>
      <w:r w:rsidR="00BE272D" w:rsidRPr="0060428F">
        <w:rPr>
          <w:lang w:val="fr-CH"/>
        </w:rPr>
        <w:fldChar w:fldCharType="end"/>
      </w:r>
      <w:bookmarkEnd w:id="132"/>
      <w:r w:rsidR="00BE272D" w:rsidRPr="0060428F">
        <w:rPr>
          <w:lang w:val="fr-CH"/>
        </w:rPr>
        <w:t>: Sch</w:t>
      </w:r>
      <w:r w:rsidR="000837A4" w:rsidRPr="0060428F">
        <w:rPr>
          <w:lang w:val="fr-CH"/>
        </w:rPr>
        <w:t>é</w:t>
      </w:r>
      <w:r w:rsidR="00BE272D" w:rsidRPr="0060428F">
        <w:rPr>
          <w:lang w:val="fr-CH"/>
        </w:rPr>
        <w:t>ma</w:t>
      </w:r>
      <w:r w:rsidR="000837A4" w:rsidRPr="0060428F">
        <w:rPr>
          <w:lang w:val="fr-CH"/>
        </w:rPr>
        <w:t xml:space="preserve"> explicatif des notions et du champ d’application des principes </w:t>
      </w:r>
      <w:r w:rsidR="00BE272D" w:rsidRPr="0060428F">
        <w:rPr>
          <w:lang w:val="fr-CH"/>
        </w:rPr>
        <w:t>(</w:t>
      </w:r>
      <w:r w:rsidR="000837A4" w:rsidRPr="0060428F">
        <w:rPr>
          <w:lang w:val="fr-CH"/>
        </w:rPr>
        <w:t xml:space="preserve">source </w:t>
      </w:r>
      <w:r w:rsidR="00BE272D" w:rsidRPr="0060428F">
        <w:rPr>
          <w:lang w:val="fr-CH"/>
        </w:rPr>
        <w:t xml:space="preserve">: </w:t>
      </w:r>
      <w:r w:rsidR="000837A4" w:rsidRPr="0060428F">
        <w:rPr>
          <w:lang w:val="fr-CH"/>
        </w:rPr>
        <w:t>auteur</w:t>
      </w:r>
      <w:r w:rsidR="00BE272D" w:rsidRPr="0060428F">
        <w:rPr>
          <w:lang w:val="fr-CH"/>
        </w:rPr>
        <w:t>)</w:t>
      </w:r>
    </w:p>
    <w:p w14:paraId="0E8E7FD4" w14:textId="1B224D3F" w:rsidR="00BE272D" w:rsidRPr="000837A4" w:rsidRDefault="00BE272D" w:rsidP="00BE272D">
      <w:pPr>
        <w:rPr>
          <w:b/>
          <w:lang w:val="fr-CH"/>
        </w:rPr>
      </w:pPr>
      <w:r w:rsidRPr="000837A4">
        <w:rPr>
          <w:b/>
          <w:lang w:val="fr-CH"/>
        </w:rPr>
        <w:t>E</w:t>
      </w:r>
      <w:r w:rsidR="000837A4">
        <w:rPr>
          <w:b/>
          <w:lang w:val="fr-CH"/>
        </w:rPr>
        <w:t>xplications de l’illustration</w:t>
      </w:r>
    </w:p>
    <w:p w14:paraId="0BCAB26C" w14:textId="7E8BE035" w:rsidR="00BE272D" w:rsidRPr="000837A4" w:rsidRDefault="00BC1F1D" w:rsidP="00BE272D">
      <w:pPr>
        <w:rPr>
          <w:lang w:val="fr-CH"/>
        </w:rPr>
      </w:pPr>
      <w:r>
        <w:rPr>
          <w:lang w:val="fr-CH"/>
        </w:rPr>
        <w:t>La</w:t>
      </w:r>
      <w:r w:rsidR="002B1E06">
        <w:rPr>
          <w:lang w:val="fr-CH"/>
        </w:rPr>
        <w:t xml:space="preserve"> situation décrite au chapitre</w:t>
      </w:r>
      <w:r w:rsidR="00BE272D" w:rsidRPr="000837A4">
        <w:rPr>
          <w:lang w:val="fr-CH"/>
        </w:rPr>
        <w:t xml:space="preserve"> </w:t>
      </w:r>
      <w:r w:rsidR="00D56714">
        <w:rPr>
          <w:lang w:val="fr-CH"/>
        </w:rPr>
        <w:fldChar w:fldCharType="begin"/>
      </w:r>
      <w:r w:rsidR="00D56714">
        <w:rPr>
          <w:lang w:val="fr-CH"/>
        </w:rPr>
        <w:instrText xml:space="preserve"> REF _Ref532980875 \r \h </w:instrText>
      </w:r>
      <w:r w:rsidR="00D56714">
        <w:rPr>
          <w:lang w:val="fr-CH"/>
        </w:rPr>
      </w:r>
      <w:r w:rsidR="00D56714">
        <w:rPr>
          <w:lang w:val="fr-CH"/>
        </w:rPr>
        <w:fldChar w:fldCharType="separate"/>
      </w:r>
      <w:r w:rsidR="001971CC">
        <w:rPr>
          <w:lang w:val="fr-CH"/>
        </w:rPr>
        <w:t>1.3</w:t>
      </w:r>
      <w:r w:rsidR="00D56714">
        <w:rPr>
          <w:lang w:val="fr-CH"/>
        </w:rPr>
        <w:fldChar w:fldCharType="end"/>
      </w:r>
      <w:r>
        <w:rPr>
          <w:lang w:val="fr-CH"/>
        </w:rPr>
        <w:t xml:space="preserve"> est représentée ici</w:t>
      </w:r>
      <w:r w:rsidR="002B1E06">
        <w:rPr>
          <w:lang w:val="fr-CH"/>
        </w:rPr>
        <w:t xml:space="preserve"> : il n’existe pas de cartographie </w:t>
      </w:r>
      <w:r>
        <w:rPr>
          <w:lang w:val="fr-CH"/>
        </w:rPr>
        <w:t xml:space="preserve">actuelle </w:t>
      </w:r>
      <w:r w:rsidR="002B1E06">
        <w:rPr>
          <w:lang w:val="fr-CH"/>
        </w:rPr>
        <w:t>des sols couvrant l’ensemble du territoire et</w:t>
      </w:r>
      <w:r w:rsidR="00BE272D" w:rsidRPr="000837A4">
        <w:rPr>
          <w:lang w:val="fr-CH"/>
        </w:rPr>
        <w:t xml:space="preserve"> </w:t>
      </w:r>
      <w:r w:rsidR="002B1E06">
        <w:rPr>
          <w:lang w:val="fr-CH"/>
        </w:rPr>
        <w:t>les inventaires cantonaux (la somme de toutes les surfaces qualifiées de SDA dans un canton</w:t>
      </w:r>
      <w:r w:rsidR="00BE272D" w:rsidRPr="000837A4">
        <w:rPr>
          <w:lang w:val="fr-CH"/>
        </w:rPr>
        <w:t>) n</w:t>
      </w:r>
      <w:r w:rsidR="00266756">
        <w:rPr>
          <w:lang w:val="fr-CH"/>
        </w:rPr>
        <w:t>’ont pas été réexaminés</w:t>
      </w:r>
      <w:r w:rsidR="00BE272D" w:rsidRPr="000837A4">
        <w:rPr>
          <w:lang w:val="fr-CH"/>
        </w:rPr>
        <w:t xml:space="preserve">. </w:t>
      </w:r>
      <w:r w:rsidR="00D9234F">
        <w:rPr>
          <w:lang w:val="fr-CH"/>
        </w:rPr>
        <w:t>Il se peut que d’autres sols présentent la qualité SDA (bleu clair)</w:t>
      </w:r>
      <w:r>
        <w:rPr>
          <w:lang w:val="fr-CH"/>
        </w:rPr>
        <w:t xml:space="preserve"> existent</w:t>
      </w:r>
      <w:r w:rsidR="00D9234F">
        <w:rPr>
          <w:lang w:val="fr-CH"/>
        </w:rPr>
        <w:t xml:space="preserve"> en dehors des inventaires actuels de SDA </w:t>
      </w:r>
      <w:r w:rsidR="00BE272D" w:rsidRPr="000837A4">
        <w:rPr>
          <w:lang w:val="fr-CH"/>
        </w:rPr>
        <w:t>(</w:t>
      </w:r>
      <w:r w:rsidR="00D9234F">
        <w:rPr>
          <w:lang w:val="fr-CH"/>
        </w:rPr>
        <w:t>bleu foncé</w:t>
      </w:r>
      <w:r w:rsidR="00BE272D" w:rsidRPr="000837A4">
        <w:rPr>
          <w:lang w:val="fr-CH"/>
        </w:rPr>
        <w:t xml:space="preserve">). </w:t>
      </w:r>
      <w:r w:rsidR="00D9234F">
        <w:rPr>
          <w:lang w:val="fr-CH"/>
        </w:rPr>
        <w:t xml:space="preserve">Les cantons sont tenus de </w:t>
      </w:r>
      <w:r>
        <w:rPr>
          <w:lang w:val="fr-CH"/>
        </w:rPr>
        <w:t xml:space="preserve">les </w:t>
      </w:r>
      <w:r w:rsidR="00D9234F">
        <w:rPr>
          <w:lang w:val="fr-CH"/>
        </w:rPr>
        <w:t xml:space="preserve">répertorier </w:t>
      </w:r>
      <w:r>
        <w:rPr>
          <w:lang w:val="fr-CH"/>
        </w:rPr>
        <w:t>au fur et à mesure</w:t>
      </w:r>
      <w:r w:rsidR="00D9234F">
        <w:rPr>
          <w:lang w:val="fr-CH"/>
        </w:rPr>
        <w:t xml:space="preserve"> dans leurs inventaires de SDA </w:t>
      </w:r>
      <w:r w:rsidR="00BE272D" w:rsidRPr="000837A4">
        <w:rPr>
          <w:lang w:val="fr-CH"/>
        </w:rPr>
        <w:t>(</w:t>
      </w:r>
      <w:r w:rsidR="00BE272D" w:rsidRPr="000837A4">
        <w:rPr>
          <w:lang w:val="fr-CH"/>
        </w:rPr>
        <w:fldChar w:fldCharType="begin"/>
      </w:r>
      <w:r w:rsidR="00BE272D" w:rsidRPr="000837A4">
        <w:rPr>
          <w:lang w:val="fr-CH"/>
        </w:rPr>
        <w:instrText xml:space="preserve"> REF _Ref525227301 \r \h </w:instrText>
      </w:r>
      <w:r w:rsidR="00BE272D" w:rsidRPr="000837A4">
        <w:rPr>
          <w:lang w:val="fr-CH"/>
        </w:rPr>
      </w:r>
      <w:r w:rsidR="00BE272D" w:rsidRPr="000837A4">
        <w:rPr>
          <w:lang w:val="fr-CH"/>
        </w:rPr>
        <w:fldChar w:fldCharType="separate"/>
      </w:r>
      <w:r w:rsidR="001971CC">
        <w:rPr>
          <w:lang w:val="fr-CH"/>
        </w:rPr>
        <w:t>P4</w:t>
      </w:r>
      <w:r w:rsidR="00BE272D" w:rsidRPr="000837A4">
        <w:rPr>
          <w:lang w:val="fr-CH"/>
        </w:rPr>
        <w:fldChar w:fldCharType="end"/>
      </w:r>
      <w:r w:rsidR="00BE272D" w:rsidRPr="000837A4">
        <w:rPr>
          <w:lang w:val="fr-CH"/>
        </w:rPr>
        <w:t xml:space="preserve">). </w:t>
      </w:r>
      <w:r>
        <w:rPr>
          <w:lang w:val="fr-CH"/>
        </w:rPr>
        <w:t>Il</w:t>
      </w:r>
      <w:r w:rsidR="00D9234F">
        <w:rPr>
          <w:lang w:val="fr-CH"/>
        </w:rPr>
        <w:t xml:space="preserve"> se peut </w:t>
      </w:r>
      <w:r>
        <w:rPr>
          <w:lang w:val="fr-CH"/>
        </w:rPr>
        <w:t xml:space="preserve">aussi </w:t>
      </w:r>
      <w:r w:rsidR="00D9234F">
        <w:rPr>
          <w:lang w:val="fr-CH"/>
        </w:rPr>
        <w:t>que des sols actuellement inventoriés ne présentent plus la qualité SDA au sens de</w:t>
      </w:r>
      <w:r w:rsidR="00BE272D" w:rsidRPr="000837A4">
        <w:rPr>
          <w:lang w:val="fr-CH"/>
        </w:rPr>
        <w:t xml:space="preserve"> </w:t>
      </w:r>
      <w:r w:rsidR="00BE272D" w:rsidRPr="000837A4">
        <w:rPr>
          <w:lang w:val="fr-CH"/>
        </w:rPr>
        <w:fldChar w:fldCharType="begin"/>
      </w:r>
      <w:r w:rsidR="00BE272D" w:rsidRPr="000837A4">
        <w:rPr>
          <w:lang w:val="fr-CH"/>
        </w:rPr>
        <w:instrText xml:space="preserve"> REF _Ref520123456 \r \h </w:instrText>
      </w:r>
      <w:r w:rsidR="00BE272D" w:rsidRPr="000837A4">
        <w:rPr>
          <w:lang w:val="fr-CH"/>
        </w:rPr>
      </w:r>
      <w:r w:rsidR="00BE272D" w:rsidRPr="000837A4">
        <w:rPr>
          <w:lang w:val="fr-CH"/>
        </w:rPr>
        <w:fldChar w:fldCharType="separate"/>
      </w:r>
      <w:r w:rsidR="001971CC">
        <w:rPr>
          <w:lang w:val="fr-CH"/>
        </w:rPr>
        <w:t>P6</w:t>
      </w:r>
      <w:r w:rsidR="00BE272D" w:rsidRPr="000837A4">
        <w:rPr>
          <w:lang w:val="fr-CH"/>
        </w:rPr>
        <w:fldChar w:fldCharType="end"/>
      </w:r>
      <w:r w:rsidR="00BE272D" w:rsidRPr="000837A4">
        <w:rPr>
          <w:lang w:val="fr-CH"/>
        </w:rPr>
        <w:t xml:space="preserve">. </w:t>
      </w:r>
    </w:p>
    <w:p w14:paraId="7A2B9ADE" w14:textId="68DB6A59" w:rsidR="00BE272D" w:rsidRPr="000837A4" w:rsidRDefault="00D9234F" w:rsidP="00BE272D">
      <w:pPr>
        <w:rPr>
          <w:lang w:val="fr-CH"/>
        </w:rPr>
      </w:pPr>
      <w:r>
        <w:rPr>
          <w:lang w:val="fr-CH"/>
        </w:rPr>
        <w:t>Le contingent cantonal de SDA est une grandeur fixe (ligne rouge</w:t>
      </w:r>
      <w:r w:rsidR="00BE272D" w:rsidRPr="000837A4">
        <w:rPr>
          <w:lang w:val="fr-CH"/>
        </w:rPr>
        <w:t xml:space="preserve">). </w:t>
      </w:r>
      <w:r>
        <w:rPr>
          <w:lang w:val="fr-CH"/>
        </w:rPr>
        <w:t xml:space="preserve">Il désigne la surface de SDA (en </w:t>
      </w:r>
      <w:r w:rsidR="00BE272D" w:rsidRPr="000837A4">
        <w:rPr>
          <w:lang w:val="fr-CH"/>
        </w:rPr>
        <w:t>ha</w:t>
      </w:r>
      <w:r>
        <w:rPr>
          <w:lang w:val="fr-CH"/>
        </w:rPr>
        <w:t>)</w:t>
      </w:r>
      <w:r w:rsidR="00BE272D" w:rsidRPr="000837A4">
        <w:rPr>
          <w:lang w:val="fr-CH"/>
        </w:rPr>
        <w:t xml:space="preserve"> </w:t>
      </w:r>
      <w:r>
        <w:rPr>
          <w:lang w:val="fr-CH"/>
        </w:rPr>
        <w:t>que chaque canton doit garantir durablement</w:t>
      </w:r>
      <w:r w:rsidR="00BE272D" w:rsidRPr="000837A4">
        <w:rPr>
          <w:lang w:val="fr-CH"/>
        </w:rPr>
        <w:t xml:space="preserve"> (</w:t>
      </w:r>
      <w:r w:rsidR="009C0257">
        <w:rPr>
          <w:lang w:val="fr-CH"/>
        </w:rPr>
        <w:fldChar w:fldCharType="begin"/>
      </w:r>
      <w:r w:rsidR="009C0257" w:rsidRPr="002B147F">
        <w:rPr>
          <w:lang w:val="fr-CH"/>
        </w:rPr>
        <w:instrText xml:space="preserve"> REF _Ref532981070 \r \h </w:instrText>
      </w:r>
      <w:r w:rsidR="009C0257">
        <w:rPr>
          <w:lang w:val="fr-CH"/>
        </w:rPr>
      </w:r>
      <w:r w:rsidR="009C0257">
        <w:rPr>
          <w:lang w:val="fr-CH"/>
        </w:rPr>
        <w:fldChar w:fldCharType="separate"/>
      </w:r>
      <w:r w:rsidR="001971CC">
        <w:rPr>
          <w:lang w:val="fr-CH"/>
        </w:rPr>
        <w:t>I2</w:t>
      </w:r>
      <w:r w:rsidR="009C0257">
        <w:rPr>
          <w:lang w:val="fr-CH"/>
        </w:rPr>
        <w:fldChar w:fldCharType="end"/>
      </w:r>
      <w:r w:rsidR="009C0257" w:rsidRPr="002B147F">
        <w:rPr>
          <w:lang w:val="fr-CH"/>
        </w:rPr>
        <w:t xml:space="preserve"> </w:t>
      </w:r>
      <w:r w:rsidRPr="002B147F">
        <w:rPr>
          <w:lang w:val="fr-CH"/>
        </w:rPr>
        <w:t>et</w:t>
      </w:r>
      <w:r w:rsidR="00BE272D" w:rsidRPr="002B147F">
        <w:rPr>
          <w:lang w:val="fr-CH"/>
        </w:rPr>
        <w:t xml:space="preserve"> </w:t>
      </w:r>
      <w:r w:rsidR="009C0257">
        <w:rPr>
          <w:lang w:val="fr-CH"/>
        </w:rPr>
        <w:fldChar w:fldCharType="begin"/>
      </w:r>
      <w:r w:rsidR="009C0257" w:rsidRPr="002B147F">
        <w:rPr>
          <w:lang w:val="fr-CH"/>
        </w:rPr>
        <w:instrText xml:space="preserve"> REF _Ref532981089 \r \h </w:instrText>
      </w:r>
      <w:r w:rsidR="009C0257">
        <w:rPr>
          <w:lang w:val="fr-CH"/>
        </w:rPr>
      </w:r>
      <w:r w:rsidR="009C0257">
        <w:rPr>
          <w:lang w:val="fr-CH"/>
        </w:rPr>
        <w:fldChar w:fldCharType="separate"/>
      </w:r>
      <w:r w:rsidR="001971CC">
        <w:rPr>
          <w:lang w:val="fr-CH"/>
        </w:rPr>
        <w:t>P2</w:t>
      </w:r>
      <w:r w:rsidR="009C0257">
        <w:rPr>
          <w:lang w:val="fr-CH"/>
        </w:rPr>
        <w:fldChar w:fldCharType="end"/>
      </w:r>
      <w:r w:rsidR="002B147F">
        <w:rPr>
          <w:lang w:val="fr-CH"/>
        </w:rPr>
        <w:t>)</w:t>
      </w:r>
      <w:r w:rsidR="00BE272D" w:rsidRPr="002B147F">
        <w:rPr>
          <w:lang w:val="fr-CH"/>
        </w:rPr>
        <w:t xml:space="preserve">. </w:t>
      </w:r>
      <w:r w:rsidR="00266756">
        <w:rPr>
          <w:lang w:val="fr-CH"/>
        </w:rPr>
        <w:t xml:space="preserve">La marge de manœuvre </w:t>
      </w:r>
      <w:r w:rsidR="00D07C69">
        <w:rPr>
          <w:lang w:val="fr-CH"/>
        </w:rPr>
        <w:t xml:space="preserve">cantonale </w:t>
      </w:r>
      <w:r w:rsidR="00266756">
        <w:rPr>
          <w:lang w:val="fr-CH"/>
        </w:rPr>
        <w:t>résulte de la différence de superficie (en ha) entre l’inventaire</w:t>
      </w:r>
      <w:r w:rsidR="00BC1F1D">
        <w:rPr>
          <w:lang w:val="fr-CH"/>
        </w:rPr>
        <w:t xml:space="preserve"> cantonal</w:t>
      </w:r>
      <w:r w:rsidR="00266756">
        <w:rPr>
          <w:lang w:val="fr-CH"/>
        </w:rPr>
        <w:t xml:space="preserve"> et le contingent cantonal</w:t>
      </w:r>
      <w:r w:rsidR="00BE272D" w:rsidRPr="000837A4">
        <w:rPr>
          <w:lang w:val="fr-CH"/>
        </w:rPr>
        <w:t xml:space="preserve">. </w:t>
      </w:r>
      <w:r w:rsidR="00266756">
        <w:rPr>
          <w:lang w:val="fr-CH"/>
        </w:rPr>
        <w:t>L</w:t>
      </w:r>
      <w:r w:rsidR="00D07C69">
        <w:rPr>
          <w:lang w:val="fr-CH"/>
        </w:rPr>
        <w:t>a somme</w:t>
      </w:r>
      <w:r w:rsidR="00266756">
        <w:rPr>
          <w:lang w:val="fr-CH"/>
        </w:rPr>
        <w:t xml:space="preserve"> des contingents cantonaux </w:t>
      </w:r>
      <w:r w:rsidR="00BC1F1D">
        <w:rPr>
          <w:lang w:val="fr-CH"/>
        </w:rPr>
        <w:t xml:space="preserve">correspond à </w:t>
      </w:r>
      <w:r w:rsidR="00266756">
        <w:rPr>
          <w:lang w:val="fr-CH"/>
        </w:rPr>
        <w:t>la surface totale minimale d’assolement de</w:t>
      </w:r>
      <w:r w:rsidR="00BE272D" w:rsidRPr="000837A4">
        <w:rPr>
          <w:lang w:val="fr-CH"/>
        </w:rPr>
        <w:t xml:space="preserve"> 436'460 ha </w:t>
      </w:r>
      <w:r w:rsidR="00266756">
        <w:rPr>
          <w:lang w:val="fr-CH"/>
        </w:rPr>
        <w:t xml:space="preserve">à garantir dans l’ensemble du pays </w:t>
      </w:r>
      <w:r w:rsidR="00BE272D" w:rsidRPr="000837A4">
        <w:rPr>
          <w:lang w:val="fr-CH"/>
        </w:rPr>
        <w:t>(</w:t>
      </w:r>
      <w:r w:rsidR="009C0257">
        <w:rPr>
          <w:lang w:val="fr-CH"/>
        </w:rPr>
        <w:fldChar w:fldCharType="begin"/>
      </w:r>
      <w:r w:rsidR="009C0257">
        <w:rPr>
          <w:lang w:val="fr-CH"/>
        </w:rPr>
        <w:instrText xml:space="preserve"> REF _Ref532981101 \r \h </w:instrText>
      </w:r>
      <w:r w:rsidR="009C0257">
        <w:rPr>
          <w:lang w:val="fr-CH"/>
        </w:rPr>
      </w:r>
      <w:r w:rsidR="009C0257">
        <w:rPr>
          <w:lang w:val="fr-CH"/>
        </w:rPr>
        <w:fldChar w:fldCharType="separate"/>
      </w:r>
      <w:r w:rsidR="001971CC">
        <w:rPr>
          <w:lang w:val="fr-CH"/>
        </w:rPr>
        <w:t>I1</w:t>
      </w:r>
      <w:r w:rsidR="009C0257">
        <w:rPr>
          <w:lang w:val="fr-CH"/>
        </w:rPr>
        <w:fldChar w:fldCharType="end"/>
      </w:r>
      <w:r w:rsidR="00BE272D" w:rsidRPr="000837A4">
        <w:rPr>
          <w:lang w:val="fr-CH"/>
        </w:rPr>
        <w:t>).</w:t>
      </w:r>
    </w:p>
    <w:p w14:paraId="75E13B58" w14:textId="41F688D9" w:rsidR="00BE272D" w:rsidRPr="000837A4" w:rsidRDefault="00266756" w:rsidP="00BE272D">
      <w:pPr>
        <w:rPr>
          <w:lang w:val="fr-CH"/>
        </w:rPr>
      </w:pPr>
      <w:r>
        <w:rPr>
          <w:lang w:val="fr-CH"/>
        </w:rPr>
        <w:t>Toutes les SDA répertoriées dans l’inventaire sont localisées et présentées sur le géoportail national</w:t>
      </w:r>
      <w:r w:rsidR="00BE272D" w:rsidRPr="000837A4">
        <w:rPr>
          <w:lang w:val="fr-CH"/>
        </w:rPr>
        <w:t xml:space="preserve"> (</w:t>
      </w:r>
      <w:r>
        <w:rPr>
          <w:lang w:val="fr-CH"/>
        </w:rPr>
        <w:t>à partir de</w:t>
      </w:r>
      <w:r w:rsidR="00BE272D" w:rsidRPr="000837A4">
        <w:rPr>
          <w:lang w:val="fr-CH"/>
        </w:rPr>
        <w:t xml:space="preserve"> 2021) (</w:t>
      </w:r>
      <w:r w:rsidR="009C0257">
        <w:rPr>
          <w:lang w:val="fr-CH"/>
        </w:rPr>
        <w:fldChar w:fldCharType="begin"/>
      </w:r>
      <w:r w:rsidR="009C0257">
        <w:rPr>
          <w:lang w:val="fr-CH"/>
        </w:rPr>
        <w:instrText xml:space="preserve"> REF _Ref532981113 \r \h </w:instrText>
      </w:r>
      <w:r w:rsidR="009C0257">
        <w:rPr>
          <w:lang w:val="fr-CH"/>
        </w:rPr>
      </w:r>
      <w:r w:rsidR="009C0257">
        <w:rPr>
          <w:lang w:val="fr-CH"/>
        </w:rPr>
        <w:fldChar w:fldCharType="separate"/>
      </w:r>
      <w:r w:rsidR="001971CC">
        <w:rPr>
          <w:lang w:val="fr-CH"/>
        </w:rPr>
        <w:t>P13</w:t>
      </w:r>
      <w:r w:rsidR="009C0257">
        <w:rPr>
          <w:lang w:val="fr-CH"/>
        </w:rPr>
        <w:fldChar w:fldCharType="end"/>
      </w:r>
      <w:r w:rsidR="00BE272D" w:rsidRPr="000837A4">
        <w:rPr>
          <w:lang w:val="fr-CH"/>
        </w:rPr>
        <w:t xml:space="preserve">). </w:t>
      </w:r>
      <w:r w:rsidR="00BC1F1D">
        <w:rPr>
          <w:lang w:val="fr-CH"/>
        </w:rPr>
        <w:t>Aucune distinction n’est faite</w:t>
      </w:r>
      <w:r>
        <w:rPr>
          <w:lang w:val="fr-CH"/>
        </w:rPr>
        <w:t xml:space="preserve"> entre les surfaces faisant partie du contingent et celles qui </w:t>
      </w:r>
      <w:r w:rsidR="00BC1F1D">
        <w:rPr>
          <w:lang w:val="fr-CH"/>
        </w:rPr>
        <w:t>représentent</w:t>
      </w:r>
      <w:r>
        <w:rPr>
          <w:lang w:val="fr-CH"/>
        </w:rPr>
        <w:t xml:space="preserve"> la marge de manœuvre ca</w:t>
      </w:r>
      <w:r w:rsidR="00BE272D" w:rsidRPr="000837A4">
        <w:rPr>
          <w:lang w:val="fr-CH"/>
        </w:rPr>
        <w:t>n</w:t>
      </w:r>
      <w:r>
        <w:rPr>
          <w:lang w:val="fr-CH"/>
        </w:rPr>
        <w:t>tonale</w:t>
      </w:r>
      <w:r w:rsidR="00BE272D" w:rsidRPr="000837A4">
        <w:rPr>
          <w:lang w:val="fr-CH"/>
        </w:rPr>
        <w:t xml:space="preserve">. </w:t>
      </w:r>
    </w:p>
    <w:p w14:paraId="5CAE932E" w14:textId="4BA8B9EC" w:rsidR="00BE272D" w:rsidRPr="000837A4" w:rsidRDefault="00DF7A47" w:rsidP="00BE272D">
      <w:pPr>
        <w:rPr>
          <w:lang w:val="fr-CH"/>
        </w:rPr>
      </w:pPr>
      <w:r>
        <w:rPr>
          <w:lang w:val="fr-CH"/>
        </w:rPr>
        <w:t>Les principes du P</w:t>
      </w:r>
      <w:r w:rsidR="00D07C69">
        <w:rPr>
          <w:lang w:val="fr-CH"/>
        </w:rPr>
        <w:t>lan sectoriel relatifs au traitement des SDA</w:t>
      </w:r>
      <w:r w:rsidR="00BE272D" w:rsidRPr="000837A4">
        <w:rPr>
          <w:lang w:val="fr-CH"/>
        </w:rPr>
        <w:t xml:space="preserve"> </w:t>
      </w:r>
      <w:r w:rsidR="00D07C69">
        <w:rPr>
          <w:lang w:val="fr-CH"/>
        </w:rPr>
        <w:t>sont applicables aux SDA actuellement répertoriées dans les inventaires cantonaux de SDA et publiées</w:t>
      </w:r>
      <w:r w:rsidR="00BE272D" w:rsidRPr="000837A4">
        <w:rPr>
          <w:lang w:val="fr-CH"/>
        </w:rPr>
        <w:t xml:space="preserve"> (</w:t>
      </w:r>
      <w:r w:rsidR="00D07C69">
        <w:rPr>
          <w:lang w:val="fr-CH"/>
        </w:rPr>
        <w:t>dès</w:t>
      </w:r>
      <w:r w:rsidR="00BE272D" w:rsidRPr="000837A4">
        <w:rPr>
          <w:lang w:val="fr-CH"/>
        </w:rPr>
        <w:t xml:space="preserve"> 2021) </w:t>
      </w:r>
      <w:r w:rsidR="00D07C69">
        <w:rPr>
          <w:lang w:val="fr-CH"/>
        </w:rPr>
        <w:t>sur le géoportail national</w:t>
      </w:r>
      <w:r w:rsidR="00BE272D" w:rsidRPr="000837A4">
        <w:rPr>
          <w:lang w:val="fr-CH"/>
        </w:rPr>
        <w:t xml:space="preserve">. </w:t>
      </w:r>
      <w:r w:rsidR="00D07C69">
        <w:rPr>
          <w:lang w:val="fr-CH"/>
        </w:rPr>
        <w:t xml:space="preserve">Font exception les principes relatifs au traitement des autres sols de qualité SDA </w:t>
      </w:r>
      <w:r w:rsidR="00BE272D" w:rsidRPr="000837A4">
        <w:rPr>
          <w:lang w:val="fr-CH"/>
        </w:rPr>
        <w:t>(</w:t>
      </w:r>
      <w:r w:rsidR="00BE272D" w:rsidRPr="000837A4">
        <w:rPr>
          <w:lang w:val="fr-CH"/>
        </w:rPr>
        <w:fldChar w:fldCharType="begin"/>
      </w:r>
      <w:r w:rsidR="00BE272D" w:rsidRPr="000837A4">
        <w:rPr>
          <w:lang w:val="fr-CH"/>
        </w:rPr>
        <w:instrText xml:space="preserve"> REF _Ref525227301 \r \h </w:instrText>
      </w:r>
      <w:r w:rsidR="00BE272D" w:rsidRPr="000837A4">
        <w:rPr>
          <w:lang w:val="fr-CH"/>
        </w:rPr>
      </w:r>
      <w:r w:rsidR="00BE272D" w:rsidRPr="000837A4">
        <w:rPr>
          <w:lang w:val="fr-CH"/>
        </w:rPr>
        <w:fldChar w:fldCharType="separate"/>
      </w:r>
      <w:r w:rsidR="001971CC">
        <w:rPr>
          <w:lang w:val="fr-CH"/>
        </w:rPr>
        <w:t>P4</w:t>
      </w:r>
      <w:r w:rsidR="00BE272D" w:rsidRPr="000837A4">
        <w:rPr>
          <w:lang w:val="fr-CH"/>
        </w:rPr>
        <w:fldChar w:fldCharType="end"/>
      </w:r>
      <w:r w:rsidR="00BE272D" w:rsidRPr="000837A4">
        <w:rPr>
          <w:lang w:val="fr-CH"/>
        </w:rPr>
        <w:t xml:space="preserve">) </w:t>
      </w:r>
      <w:r w:rsidR="00D07C69">
        <w:rPr>
          <w:lang w:val="fr-CH"/>
        </w:rPr>
        <w:t>et des sols présentant un potentiel de revalorisation</w:t>
      </w:r>
      <w:r w:rsidR="00BE272D" w:rsidRPr="000837A4">
        <w:rPr>
          <w:lang w:val="fr-CH"/>
        </w:rPr>
        <w:t xml:space="preserve"> (</w:t>
      </w:r>
      <w:r w:rsidR="009C0257">
        <w:rPr>
          <w:lang w:val="fr-CH"/>
        </w:rPr>
        <w:fldChar w:fldCharType="begin"/>
      </w:r>
      <w:r w:rsidR="009C0257">
        <w:rPr>
          <w:lang w:val="fr-CH"/>
        </w:rPr>
        <w:instrText xml:space="preserve"> REF _Ref532981133 \r \h </w:instrText>
      </w:r>
      <w:r w:rsidR="009C0257">
        <w:rPr>
          <w:lang w:val="fr-CH"/>
        </w:rPr>
      </w:r>
      <w:r w:rsidR="009C0257">
        <w:rPr>
          <w:lang w:val="fr-CH"/>
        </w:rPr>
        <w:fldChar w:fldCharType="separate"/>
      </w:r>
      <w:r w:rsidR="001971CC">
        <w:rPr>
          <w:lang w:val="fr-CH"/>
        </w:rPr>
        <w:t>P7</w:t>
      </w:r>
      <w:r w:rsidR="009C0257">
        <w:rPr>
          <w:lang w:val="fr-CH"/>
        </w:rPr>
        <w:fldChar w:fldCharType="end"/>
      </w:r>
      <w:r w:rsidR="00BE272D" w:rsidRPr="000837A4">
        <w:rPr>
          <w:lang w:val="fr-CH"/>
        </w:rPr>
        <w:t>).</w:t>
      </w:r>
    </w:p>
    <w:p w14:paraId="3051416D" w14:textId="17758443" w:rsidR="00BE272D" w:rsidRPr="000837A4" w:rsidRDefault="00D07C69" w:rsidP="00BE272D">
      <w:pPr>
        <w:rPr>
          <w:lang w:val="fr-CH"/>
        </w:rPr>
      </w:pPr>
      <w:r>
        <w:rPr>
          <w:lang w:val="fr-CH"/>
        </w:rPr>
        <w:t xml:space="preserve">Les flèches blanches représentent les modifications des inventaires de SDA au cours du temps </w:t>
      </w:r>
      <w:r w:rsidR="00BE272D" w:rsidRPr="000837A4">
        <w:rPr>
          <w:lang w:val="fr-CH"/>
        </w:rPr>
        <w:t xml:space="preserve">: </w:t>
      </w:r>
      <w:r>
        <w:rPr>
          <w:lang w:val="fr-CH"/>
        </w:rPr>
        <w:t>des SDA sont perdues</w:t>
      </w:r>
      <w:r w:rsidR="007272D5">
        <w:rPr>
          <w:lang w:val="fr-CH"/>
        </w:rPr>
        <w:t>,</w:t>
      </w:r>
      <w:r>
        <w:rPr>
          <w:lang w:val="fr-CH"/>
        </w:rPr>
        <w:t xml:space="preserve"> </w:t>
      </w:r>
      <w:r w:rsidR="007272D5">
        <w:rPr>
          <w:lang w:val="fr-CH"/>
        </w:rPr>
        <w:t>pendant que</w:t>
      </w:r>
      <w:r>
        <w:rPr>
          <w:lang w:val="fr-CH"/>
        </w:rPr>
        <w:t xml:space="preserve"> de nouvelles SDA </w:t>
      </w:r>
      <w:r w:rsidR="00051EB9">
        <w:rPr>
          <w:lang w:val="fr-CH"/>
        </w:rPr>
        <w:t>sont créées après la réhabilitation ou la remise en culture de sols ou à la faveur de nouveaux relevés de SDA</w:t>
      </w:r>
      <w:r w:rsidR="00BE272D" w:rsidRPr="000837A4">
        <w:rPr>
          <w:lang w:val="fr-CH"/>
        </w:rPr>
        <w:t xml:space="preserve">. </w:t>
      </w:r>
      <w:r w:rsidR="00DF7A47">
        <w:rPr>
          <w:lang w:val="fr-CH"/>
        </w:rPr>
        <w:t>Le P</w:t>
      </w:r>
      <w:r w:rsidR="00051EB9">
        <w:rPr>
          <w:lang w:val="fr-CH"/>
        </w:rPr>
        <w:t xml:space="preserve">lan sectoriel définit les exigences </w:t>
      </w:r>
      <w:r w:rsidR="007F33F8">
        <w:rPr>
          <w:lang w:val="fr-CH"/>
        </w:rPr>
        <w:t>concernant</w:t>
      </w:r>
      <w:r w:rsidR="00051EB9">
        <w:rPr>
          <w:lang w:val="fr-CH"/>
        </w:rPr>
        <w:t xml:space="preserve"> </w:t>
      </w:r>
      <w:r w:rsidR="007272D5">
        <w:rPr>
          <w:lang w:val="fr-CH"/>
        </w:rPr>
        <w:t>les données pédologiques qui servent</w:t>
      </w:r>
      <w:r w:rsidR="00051EB9">
        <w:rPr>
          <w:lang w:val="fr-CH"/>
        </w:rPr>
        <w:t xml:space="preserve"> de base et </w:t>
      </w:r>
      <w:r w:rsidR="007F33F8">
        <w:rPr>
          <w:lang w:val="fr-CH"/>
        </w:rPr>
        <w:t>les</w:t>
      </w:r>
      <w:r w:rsidR="00051EB9">
        <w:rPr>
          <w:lang w:val="fr-CH"/>
        </w:rPr>
        <w:t xml:space="preserve"> critères de qualité</w:t>
      </w:r>
      <w:r w:rsidR="00BE272D" w:rsidRPr="000837A4">
        <w:rPr>
          <w:lang w:val="fr-CH"/>
        </w:rPr>
        <w:t xml:space="preserve"> (</w:t>
      </w:r>
      <w:r w:rsidR="00BE272D" w:rsidRPr="000837A4">
        <w:rPr>
          <w:lang w:val="fr-CH"/>
        </w:rPr>
        <w:fldChar w:fldCharType="begin"/>
      </w:r>
      <w:r w:rsidR="00BE272D" w:rsidRPr="000837A4">
        <w:rPr>
          <w:lang w:val="fr-CH"/>
        </w:rPr>
        <w:instrText xml:space="preserve"> REF _Ref525658814 \r \h </w:instrText>
      </w:r>
      <w:r w:rsidR="00BE272D" w:rsidRPr="000837A4">
        <w:rPr>
          <w:lang w:val="fr-CH"/>
        </w:rPr>
      </w:r>
      <w:r w:rsidR="00BE272D" w:rsidRPr="000837A4">
        <w:rPr>
          <w:lang w:val="fr-CH"/>
        </w:rPr>
        <w:fldChar w:fldCharType="separate"/>
      </w:r>
      <w:r w:rsidR="001971CC">
        <w:rPr>
          <w:lang w:val="fr-CH"/>
        </w:rPr>
        <w:t>P5</w:t>
      </w:r>
      <w:r w:rsidR="00BE272D" w:rsidRPr="000837A4">
        <w:rPr>
          <w:lang w:val="fr-CH"/>
        </w:rPr>
        <w:fldChar w:fldCharType="end"/>
      </w:r>
      <w:r w:rsidR="00BE272D" w:rsidRPr="000837A4">
        <w:rPr>
          <w:lang w:val="fr-CH"/>
        </w:rPr>
        <w:t xml:space="preserve"> </w:t>
      </w:r>
      <w:r w:rsidR="00051EB9">
        <w:rPr>
          <w:lang w:val="fr-CH"/>
        </w:rPr>
        <w:t>et</w:t>
      </w:r>
      <w:r w:rsidR="00BE272D" w:rsidRPr="000837A4">
        <w:rPr>
          <w:lang w:val="fr-CH"/>
        </w:rPr>
        <w:t xml:space="preserve"> </w:t>
      </w:r>
      <w:r w:rsidR="00BE272D" w:rsidRPr="000837A4">
        <w:rPr>
          <w:lang w:val="fr-CH"/>
        </w:rPr>
        <w:fldChar w:fldCharType="begin"/>
      </w:r>
      <w:r w:rsidR="00BE272D" w:rsidRPr="000837A4">
        <w:rPr>
          <w:lang w:val="fr-CH"/>
        </w:rPr>
        <w:instrText xml:space="preserve"> REF _Ref520123456 \r \h </w:instrText>
      </w:r>
      <w:r w:rsidR="00BE272D" w:rsidRPr="000837A4">
        <w:rPr>
          <w:lang w:val="fr-CH"/>
        </w:rPr>
      </w:r>
      <w:r w:rsidR="00BE272D" w:rsidRPr="000837A4">
        <w:rPr>
          <w:lang w:val="fr-CH"/>
        </w:rPr>
        <w:fldChar w:fldCharType="separate"/>
      </w:r>
      <w:r w:rsidR="001971CC">
        <w:rPr>
          <w:lang w:val="fr-CH"/>
        </w:rPr>
        <w:t>P6</w:t>
      </w:r>
      <w:r w:rsidR="00BE272D" w:rsidRPr="000837A4">
        <w:rPr>
          <w:lang w:val="fr-CH"/>
        </w:rPr>
        <w:fldChar w:fldCharType="end"/>
      </w:r>
      <w:r w:rsidR="00BE272D" w:rsidRPr="000837A4">
        <w:rPr>
          <w:lang w:val="fr-CH"/>
        </w:rPr>
        <w:t xml:space="preserve">). </w:t>
      </w:r>
    </w:p>
    <w:p w14:paraId="3847B3C9" w14:textId="0B1A9D9F" w:rsidR="00BE272D" w:rsidRPr="000837A4" w:rsidRDefault="00051EB9" w:rsidP="00BE272D">
      <w:pPr>
        <w:rPr>
          <w:lang w:val="fr-CH"/>
        </w:rPr>
      </w:pPr>
      <w:r>
        <w:rPr>
          <w:lang w:val="fr-CH"/>
        </w:rPr>
        <w:lastRenderedPageBreak/>
        <w:t>Toute utilisation de SDA répertoriée dans un inventaire doit dans la mesure du possible être compensée</w:t>
      </w:r>
      <w:r w:rsidR="00BE272D" w:rsidRPr="000837A4">
        <w:rPr>
          <w:lang w:val="fr-CH"/>
        </w:rPr>
        <w:t xml:space="preserve"> (</w:t>
      </w:r>
      <w:r w:rsidR="009C0257">
        <w:rPr>
          <w:lang w:val="fr-CH"/>
        </w:rPr>
        <w:fldChar w:fldCharType="begin"/>
      </w:r>
      <w:r w:rsidR="009C0257">
        <w:rPr>
          <w:lang w:val="fr-CH"/>
        </w:rPr>
        <w:instrText xml:space="preserve"> REF _Ref532981151 \r \h </w:instrText>
      </w:r>
      <w:r w:rsidR="009C0257">
        <w:rPr>
          <w:lang w:val="fr-CH"/>
        </w:rPr>
      </w:r>
      <w:r w:rsidR="009C0257">
        <w:rPr>
          <w:lang w:val="fr-CH"/>
        </w:rPr>
        <w:fldChar w:fldCharType="separate"/>
      </w:r>
      <w:r w:rsidR="001971CC">
        <w:rPr>
          <w:lang w:val="fr-CH"/>
        </w:rPr>
        <w:t>P8</w:t>
      </w:r>
      <w:r w:rsidR="009C0257">
        <w:rPr>
          <w:lang w:val="fr-CH"/>
        </w:rPr>
        <w:fldChar w:fldCharType="end"/>
      </w:r>
      <w:r w:rsidR="00BE272D" w:rsidRPr="000837A4">
        <w:rPr>
          <w:lang w:val="fr-CH"/>
        </w:rPr>
        <w:t xml:space="preserve">). </w:t>
      </w:r>
      <w:r>
        <w:rPr>
          <w:lang w:val="fr-CH"/>
        </w:rPr>
        <w:t>Pour les projets fédéraux, cette compensation doit se faire en étroite collaboration avec les cantons</w:t>
      </w:r>
      <w:r w:rsidR="00BE272D" w:rsidRPr="000837A4">
        <w:rPr>
          <w:lang w:val="fr-CH"/>
        </w:rPr>
        <w:t xml:space="preserve"> (</w:t>
      </w:r>
      <w:r w:rsidR="009C0257">
        <w:rPr>
          <w:lang w:val="fr-CH"/>
        </w:rPr>
        <w:fldChar w:fldCharType="begin"/>
      </w:r>
      <w:r w:rsidR="009C0257">
        <w:rPr>
          <w:lang w:val="fr-CH"/>
        </w:rPr>
        <w:instrText xml:space="preserve"> REF _Ref532981165 \r \h </w:instrText>
      </w:r>
      <w:r w:rsidR="009C0257">
        <w:rPr>
          <w:lang w:val="fr-CH"/>
        </w:rPr>
      </w:r>
      <w:r w:rsidR="009C0257">
        <w:rPr>
          <w:lang w:val="fr-CH"/>
        </w:rPr>
        <w:fldChar w:fldCharType="separate"/>
      </w:r>
      <w:r w:rsidR="001971CC">
        <w:rPr>
          <w:lang w:val="fr-CH"/>
        </w:rPr>
        <w:t>P12</w:t>
      </w:r>
      <w:r w:rsidR="009C0257">
        <w:rPr>
          <w:lang w:val="fr-CH"/>
        </w:rPr>
        <w:fldChar w:fldCharType="end"/>
      </w:r>
      <w:r w:rsidR="002B147F">
        <w:rPr>
          <w:lang w:val="fr-CH"/>
        </w:rPr>
        <w:t>)</w:t>
      </w:r>
      <w:r w:rsidR="00BE272D" w:rsidRPr="000837A4">
        <w:rPr>
          <w:lang w:val="fr-CH"/>
        </w:rPr>
        <w:t xml:space="preserve">. </w:t>
      </w:r>
      <w:r>
        <w:rPr>
          <w:lang w:val="fr-CH"/>
        </w:rPr>
        <w:t>Lorsque le contingent cantonal risque de ne plus être respecté, toute utilisation de SDA doit obligatoirement être compensée</w:t>
      </w:r>
      <w:r w:rsidR="00BE272D" w:rsidRPr="000837A4">
        <w:rPr>
          <w:lang w:val="fr-CH"/>
        </w:rPr>
        <w:t xml:space="preserve"> (</w:t>
      </w:r>
      <w:r w:rsidR="009C0257">
        <w:rPr>
          <w:lang w:val="fr-CH"/>
        </w:rPr>
        <w:fldChar w:fldCharType="begin"/>
      </w:r>
      <w:r w:rsidR="009C0257">
        <w:rPr>
          <w:lang w:val="fr-CH"/>
        </w:rPr>
        <w:instrText xml:space="preserve"> REF _Ref532981089 \r \h </w:instrText>
      </w:r>
      <w:r w:rsidR="009C0257">
        <w:rPr>
          <w:lang w:val="fr-CH"/>
        </w:rPr>
      </w:r>
      <w:r w:rsidR="009C0257">
        <w:rPr>
          <w:lang w:val="fr-CH"/>
        </w:rPr>
        <w:fldChar w:fldCharType="separate"/>
      </w:r>
      <w:r w:rsidR="001971CC">
        <w:rPr>
          <w:lang w:val="fr-CH"/>
        </w:rPr>
        <w:t>P2</w:t>
      </w:r>
      <w:r w:rsidR="009C0257">
        <w:rPr>
          <w:lang w:val="fr-CH"/>
        </w:rPr>
        <w:fldChar w:fldCharType="end"/>
      </w:r>
      <w:r w:rsidR="00BE272D" w:rsidRPr="000837A4">
        <w:rPr>
          <w:lang w:val="fr-CH"/>
        </w:rPr>
        <w:t>).</w:t>
      </w:r>
    </w:p>
    <w:p w14:paraId="5545D0FE" w14:textId="6C269F4A" w:rsidR="00BE272D" w:rsidRPr="00376500" w:rsidRDefault="002C5608" w:rsidP="00BE272D">
      <w:pPr>
        <w:pStyle w:val="berschrift2"/>
        <w:rPr>
          <w:lang w:val="fr-CH"/>
        </w:rPr>
      </w:pPr>
      <w:bookmarkStart w:id="133" w:name="_Toc532996382"/>
      <w:r>
        <w:rPr>
          <w:lang w:val="fr-CH"/>
        </w:rPr>
        <w:t>Terminologie</w:t>
      </w:r>
      <w:bookmarkEnd w:id="133"/>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7451"/>
      </w:tblGrid>
      <w:tr w:rsidR="00376500" w:rsidRPr="00F0226F" w14:paraId="51A382E4" w14:textId="77777777" w:rsidTr="005728FB">
        <w:trPr>
          <w:trHeight w:val="20"/>
        </w:trPr>
        <w:tc>
          <w:tcPr>
            <w:tcW w:w="2074" w:type="dxa"/>
          </w:tcPr>
          <w:p w14:paraId="58AF87B3" w14:textId="77777777" w:rsidR="00376500" w:rsidRPr="00F0226F" w:rsidRDefault="00376500" w:rsidP="005728FB">
            <w:pPr>
              <w:spacing w:after="0"/>
              <w:rPr>
                <w:b/>
                <w:lang w:val="fr-CH"/>
              </w:rPr>
            </w:pPr>
          </w:p>
        </w:tc>
        <w:tc>
          <w:tcPr>
            <w:tcW w:w="7451" w:type="dxa"/>
          </w:tcPr>
          <w:p w14:paraId="60F5D2C4" w14:textId="77777777" w:rsidR="00376500" w:rsidRPr="00F0226F" w:rsidRDefault="00376500" w:rsidP="00376500">
            <w:pPr>
              <w:spacing w:after="0"/>
              <w:rPr>
                <w:lang w:val="fr-CH"/>
              </w:rPr>
            </w:pPr>
          </w:p>
        </w:tc>
      </w:tr>
      <w:tr w:rsidR="00376500" w:rsidRPr="00B94A10" w14:paraId="35C54019" w14:textId="77777777" w:rsidTr="005728FB">
        <w:trPr>
          <w:trHeight w:val="20"/>
        </w:trPr>
        <w:tc>
          <w:tcPr>
            <w:tcW w:w="2074" w:type="dxa"/>
          </w:tcPr>
          <w:p w14:paraId="08E14EEE" w14:textId="77777777" w:rsidR="00376500" w:rsidRPr="00F0226F" w:rsidRDefault="00376500" w:rsidP="005728FB">
            <w:pPr>
              <w:rPr>
                <w:b/>
                <w:bCs/>
                <w:lang w:val="fr-CH"/>
              </w:rPr>
            </w:pPr>
            <w:r>
              <w:rPr>
                <w:b/>
                <w:bCs/>
                <w:lang w:val="fr-CH"/>
              </w:rPr>
              <w:t>Cas spéciaux/particuli</w:t>
            </w:r>
            <w:r w:rsidRPr="00F0226F">
              <w:rPr>
                <w:b/>
                <w:bCs/>
                <w:lang w:val="fr-CH"/>
              </w:rPr>
              <w:t>e</w:t>
            </w:r>
            <w:r>
              <w:rPr>
                <w:b/>
                <w:bCs/>
                <w:lang w:val="fr-CH"/>
              </w:rPr>
              <w:t>rs</w:t>
            </w:r>
          </w:p>
          <w:p w14:paraId="469DBBBB" w14:textId="77777777" w:rsidR="00376500" w:rsidRPr="00F0226F" w:rsidRDefault="00376500" w:rsidP="005728FB">
            <w:pPr>
              <w:rPr>
                <w:b/>
                <w:lang w:val="fr-CH"/>
              </w:rPr>
            </w:pPr>
          </w:p>
        </w:tc>
        <w:tc>
          <w:tcPr>
            <w:tcW w:w="7451" w:type="dxa"/>
          </w:tcPr>
          <w:p w14:paraId="2C37C269" w14:textId="77777777" w:rsidR="00376500" w:rsidRPr="00F0226F" w:rsidRDefault="00376500" w:rsidP="00376500">
            <w:pPr>
              <w:rPr>
                <w:bCs/>
                <w:lang w:val="fr-CH"/>
              </w:rPr>
            </w:pPr>
            <w:r>
              <w:rPr>
                <w:lang w:val="fr-CH"/>
              </w:rPr>
              <w:t>Les cas spéciaux/particuliers désig</w:t>
            </w:r>
            <w:r w:rsidRPr="00F0226F">
              <w:rPr>
                <w:lang w:val="fr-CH"/>
              </w:rPr>
              <w:t>n</w:t>
            </w:r>
            <w:r>
              <w:rPr>
                <w:lang w:val="fr-CH"/>
              </w:rPr>
              <w:t>ent des surfaces vouées à une utilisation spéciale dont les sols sont de qualité SDA.</w:t>
            </w:r>
            <w:r w:rsidRPr="00F0226F">
              <w:rPr>
                <w:lang w:val="fr-CH"/>
              </w:rPr>
              <w:t xml:space="preserve"> </w:t>
            </w:r>
            <w:r>
              <w:rPr>
                <w:lang w:val="fr-CH"/>
              </w:rPr>
              <w:t>Il peut s’agir par exemple de surfaces:</w:t>
            </w:r>
            <w:r w:rsidRPr="00F0226F">
              <w:rPr>
                <w:lang w:val="fr-CH"/>
              </w:rPr>
              <w:t xml:space="preserve"> </w:t>
            </w:r>
          </w:p>
          <w:p w14:paraId="722A08F0" w14:textId="77777777" w:rsidR="00376500" w:rsidRPr="00F0226F" w:rsidRDefault="00376500" w:rsidP="00376500">
            <w:pPr>
              <w:pStyle w:val="Listenabsatz"/>
              <w:numPr>
                <w:ilvl w:val="0"/>
                <w:numId w:val="24"/>
              </w:numPr>
              <w:rPr>
                <w:lang w:val="fr-CH"/>
              </w:rPr>
            </w:pPr>
            <w:r>
              <w:rPr>
                <w:lang w:val="fr-CH"/>
              </w:rPr>
              <w:t>qui ne sont pas utilisées par l’agriculture</w:t>
            </w:r>
            <w:r w:rsidRPr="00F0226F">
              <w:rPr>
                <w:lang w:val="fr-CH"/>
              </w:rPr>
              <w:t xml:space="preserve"> (</w:t>
            </w:r>
            <w:r>
              <w:rPr>
                <w:lang w:val="fr-CH"/>
              </w:rPr>
              <w:t>par ex. les terrains de golf</w:t>
            </w:r>
            <w:r w:rsidRPr="00F0226F">
              <w:rPr>
                <w:lang w:val="fr-CH"/>
              </w:rPr>
              <w:t>)</w:t>
            </w:r>
            <w:r>
              <w:rPr>
                <w:lang w:val="fr-CH"/>
              </w:rPr>
              <w:t>,</w:t>
            </w:r>
          </w:p>
          <w:p w14:paraId="51A5D460" w14:textId="77777777" w:rsidR="00376500" w:rsidRPr="00F0226F" w:rsidRDefault="00376500" w:rsidP="00376500">
            <w:pPr>
              <w:pStyle w:val="Listenabsatz"/>
              <w:numPr>
                <w:ilvl w:val="0"/>
                <w:numId w:val="24"/>
              </w:numPr>
              <w:rPr>
                <w:lang w:val="fr-CH"/>
              </w:rPr>
            </w:pPr>
            <w:r>
              <w:rPr>
                <w:lang w:val="fr-CH"/>
              </w:rPr>
              <w:t>qui servent à des cultures permanentes</w:t>
            </w:r>
            <w:r w:rsidRPr="00F0226F">
              <w:rPr>
                <w:lang w:val="fr-CH"/>
              </w:rPr>
              <w:t xml:space="preserve"> (</w:t>
            </w:r>
            <w:r>
              <w:rPr>
                <w:lang w:val="fr-CH"/>
              </w:rPr>
              <w:t>par ex. fruits, vignes, baies, pépinières</w:t>
            </w:r>
            <w:r w:rsidRPr="00F0226F">
              <w:rPr>
                <w:rStyle w:val="Funotenzeichen"/>
                <w:lang w:val="fr-CH"/>
              </w:rPr>
              <w:footnoteReference w:id="20"/>
            </w:r>
            <w:r w:rsidRPr="00F0226F">
              <w:rPr>
                <w:lang w:val="fr-CH"/>
              </w:rPr>
              <w:t>),</w:t>
            </w:r>
          </w:p>
          <w:p w14:paraId="61D14402" w14:textId="77777777" w:rsidR="00376500" w:rsidRPr="00F0226F" w:rsidRDefault="00376500" w:rsidP="00376500">
            <w:pPr>
              <w:pStyle w:val="Listenabsatz"/>
              <w:numPr>
                <w:ilvl w:val="0"/>
                <w:numId w:val="24"/>
              </w:numPr>
              <w:rPr>
                <w:lang w:val="fr-CH"/>
              </w:rPr>
            </w:pPr>
            <w:r>
              <w:rPr>
                <w:lang w:val="fr-CH"/>
              </w:rPr>
              <w:t>qui servent à la production de cultures sous abri</w:t>
            </w:r>
            <w:r w:rsidRPr="00F0226F">
              <w:rPr>
                <w:lang w:val="fr-CH"/>
              </w:rPr>
              <w:t xml:space="preserve"> (</w:t>
            </w:r>
            <w:r>
              <w:rPr>
                <w:lang w:val="fr-CH"/>
              </w:rPr>
              <w:t>par ex. serres, tunnels</w:t>
            </w:r>
            <w:r w:rsidRPr="00F0226F">
              <w:rPr>
                <w:lang w:val="fr-CH"/>
              </w:rPr>
              <w:t>)</w:t>
            </w:r>
            <w:r>
              <w:rPr>
                <w:lang w:val="fr-CH"/>
              </w:rPr>
              <w:t xml:space="preserve"> ou</w:t>
            </w:r>
            <w:r w:rsidRPr="00F0226F">
              <w:rPr>
                <w:lang w:val="fr-CH"/>
              </w:rPr>
              <w:t xml:space="preserve"> </w:t>
            </w:r>
          </w:p>
          <w:p w14:paraId="342AF877" w14:textId="77777777" w:rsidR="00376500" w:rsidRPr="00F0226F" w:rsidRDefault="00376500" w:rsidP="00376500">
            <w:pPr>
              <w:pStyle w:val="Listenabsatz"/>
              <w:numPr>
                <w:ilvl w:val="0"/>
                <w:numId w:val="24"/>
              </w:numPr>
              <w:rPr>
                <w:lang w:val="fr-CH"/>
              </w:rPr>
            </w:pPr>
            <w:r w:rsidRPr="00F0226F">
              <w:rPr>
                <w:lang w:val="fr-CH"/>
              </w:rPr>
              <w:t>d</w:t>
            </w:r>
            <w:r>
              <w:rPr>
                <w:lang w:val="fr-CH"/>
              </w:rPr>
              <w:t>ont l’utilisation est soumise à des restrictions</w:t>
            </w:r>
            <w:r w:rsidRPr="00F0226F">
              <w:rPr>
                <w:lang w:val="fr-CH"/>
              </w:rPr>
              <w:t xml:space="preserve"> (</w:t>
            </w:r>
            <w:r>
              <w:rPr>
                <w:lang w:val="fr-CH"/>
              </w:rPr>
              <w:t>par ex</w:t>
            </w:r>
            <w:r w:rsidRPr="00F0226F">
              <w:rPr>
                <w:lang w:val="fr-CH"/>
              </w:rPr>
              <w:t xml:space="preserve">. </w:t>
            </w:r>
            <w:r>
              <w:rPr>
                <w:lang w:val="fr-CH"/>
              </w:rPr>
              <w:t>espace réservé aux eaux</w:t>
            </w:r>
            <w:r w:rsidRPr="00F0226F">
              <w:rPr>
                <w:lang w:val="fr-CH"/>
              </w:rPr>
              <w:t xml:space="preserve">, </w:t>
            </w:r>
            <w:r>
              <w:rPr>
                <w:lang w:val="fr-CH"/>
              </w:rPr>
              <w:t>surfaces de promotion de la biodiversité</w:t>
            </w:r>
            <w:r w:rsidRPr="00F0226F">
              <w:rPr>
                <w:lang w:val="fr-CH"/>
              </w:rPr>
              <w:t>)</w:t>
            </w:r>
            <w:r>
              <w:rPr>
                <w:lang w:val="fr-CH"/>
              </w:rPr>
              <w:t>.</w:t>
            </w:r>
          </w:p>
          <w:p w14:paraId="33D906E1" w14:textId="77777777" w:rsidR="00376500" w:rsidRDefault="00376500" w:rsidP="00376500">
            <w:pPr>
              <w:rPr>
                <w:bCs/>
                <w:lang w:val="fr-CH"/>
              </w:rPr>
            </w:pPr>
            <w:r>
              <w:rPr>
                <w:lang w:val="fr-CH"/>
              </w:rPr>
              <w:t>Ces surfaces peuvent être comptabilisées dans l’inventaire des SDA pour autant qu’il ne soit pas porté atteinte à leur qualité SDA et qu’elles puissent, en cas de pénurie grave, être remises en culture dans un délai de 12 mois</w:t>
            </w:r>
            <w:r w:rsidRPr="00F0226F">
              <w:rPr>
                <w:bCs/>
                <w:lang w:val="fr-CH"/>
              </w:rPr>
              <w:t>.</w:t>
            </w:r>
          </w:p>
          <w:p w14:paraId="6F8AAABE" w14:textId="2C041652" w:rsidR="00376500" w:rsidRPr="00F0226F" w:rsidRDefault="00376500" w:rsidP="00376500">
            <w:pPr>
              <w:rPr>
                <w:lang w:val="fr-CH"/>
              </w:rPr>
            </w:pPr>
          </w:p>
        </w:tc>
      </w:tr>
      <w:tr w:rsidR="00376500" w:rsidRPr="00B94A10" w14:paraId="044A6DDB" w14:textId="77777777" w:rsidTr="005728FB">
        <w:trPr>
          <w:trHeight w:val="20"/>
        </w:trPr>
        <w:tc>
          <w:tcPr>
            <w:tcW w:w="2074" w:type="dxa"/>
          </w:tcPr>
          <w:p w14:paraId="6B38C955" w14:textId="77777777" w:rsidR="00376500" w:rsidRPr="00F0226F" w:rsidRDefault="00376500" w:rsidP="005728FB">
            <w:pPr>
              <w:rPr>
                <w:b/>
                <w:bCs/>
                <w:lang w:val="fr-CH"/>
              </w:rPr>
            </w:pPr>
            <w:r>
              <w:rPr>
                <w:rFonts w:eastAsiaTheme="minorEastAsia"/>
                <w:b/>
                <w:bCs/>
                <w:lang w:val="fr-CH" w:eastAsia="en-US"/>
              </w:rPr>
              <w:t>C</w:t>
            </w:r>
            <w:r w:rsidRPr="00F0226F">
              <w:rPr>
                <w:rFonts w:eastAsiaTheme="minorEastAsia"/>
                <w:b/>
                <w:bCs/>
                <w:lang w:val="fr-CH" w:eastAsia="en-US"/>
              </w:rPr>
              <w:t>ontingent</w:t>
            </w:r>
            <w:r>
              <w:rPr>
                <w:rFonts w:eastAsiaTheme="minorEastAsia"/>
                <w:b/>
                <w:bCs/>
                <w:lang w:val="fr-CH" w:eastAsia="en-US"/>
              </w:rPr>
              <w:t xml:space="preserve"> cantonal de SDA</w:t>
            </w:r>
          </w:p>
        </w:tc>
        <w:tc>
          <w:tcPr>
            <w:tcW w:w="7451" w:type="dxa"/>
          </w:tcPr>
          <w:p w14:paraId="7C90C24D" w14:textId="63E88931" w:rsidR="00376500" w:rsidRPr="00F0226F" w:rsidRDefault="00376500" w:rsidP="00376500">
            <w:pPr>
              <w:rPr>
                <w:rFonts w:eastAsiaTheme="minorEastAsia"/>
                <w:lang w:val="fr-CH" w:eastAsia="en-US"/>
              </w:rPr>
            </w:pPr>
            <w:r>
              <w:rPr>
                <w:rFonts w:eastAsiaTheme="minorEastAsia"/>
                <w:lang w:val="fr-CH" w:eastAsia="en-US"/>
              </w:rPr>
              <w:t>Il s’agit de la part de la surface minimale d’assolement à garantir par chaque canton. Les contingents cantonaux sont indiqués sous</w:t>
            </w:r>
            <w:r>
              <w:rPr>
                <w:lang w:val="fr-CH"/>
              </w:rPr>
              <w:t xml:space="preserve"> </w:t>
            </w:r>
            <w:r>
              <w:rPr>
                <w:lang w:val="fr-CH"/>
              </w:rPr>
              <w:fldChar w:fldCharType="begin"/>
            </w:r>
            <w:r>
              <w:rPr>
                <w:lang w:val="fr-CH"/>
              </w:rPr>
              <w:instrText xml:space="preserve"> REF _Ref532981070 \r \h </w:instrText>
            </w:r>
            <w:r>
              <w:rPr>
                <w:lang w:val="fr-CH"/>
              </w:rPr>
            </w:r>
            <w:r>
              <w:rPr>
                <w:lang w:val="fr-CH"/>
              </w:rPr>
              <w:fldChar w:fldCharType="separate"/>
            </w:r>
            <w:r w:rsidR="001971CC">
              <w:rPr>
                <w:lang w:val="fr-CH"/>
              </w:rPr>
              <w:t>I2</w:t>
            </w:r>
            <w:r>
              <w:rPr>
                <w:lang w:val="fr-CH"/>
              </w:rPr>
              <w:fldChar w:fldCharType="end"/>
            </w:r>
            <w:r w:rsidRPr="00F0226F">
              <w:rPr>
                <w:rFonts w:eastAsiaTheme="minorEastAsia"/>
                <w:lang w:val="fr-CH" w:eastAsia="en-US"/>
              </w:rPr>
              <w:t xml:space="preserve"> </w:t>
            </w:r>
            <w:r w:rsidRPr="00F0226F">
              <w:rPr>
                <w:lang w:val="fr-CH"/>
              </w:rPr>
              <w:t>(</w:t>
            </w:r>
            <w:r>
              <w:rPr>
                <w:lang w:val="fr-CH"/>
              </w:rPr>
              <w:t>voir également figure 1</w:t>
            </w:r>
            <w:r w:rsidRPr="00F0226F">
              <w:rPr>
                <w:lang w:val="fr-CH"/>
              </w:rPr>
              <w:t>)</w:t>
            </w:r>
            <w:r w:rsidRPr="00F0226F">
              <w:rPr>
                <w:rFonts w:eastAsiaTheme="minorEastAsia"/>
                <w:lang w:val="fr-CH" w:eastAsia="en-US"/>
              </w:rPr>
              <w:t>.</w:t>
            </w:r>
          </w:p>
          <w:p w14:paraId="587B1110" w14:textId="77777777" w:rsidR="00376500" w:rsidRPr="00F0226F" w:rsidRDefault="00376500" w:rsidP="00376500">
            <w:pPr>
              <w:rPr>
                <w:rFonts w:eastAsiaTheme="minorEastAsia"/>
                <w:lang w:val="fr-CH" w:eastAsia="en-US"/>
              </w:rPr>
            </w:pPr>
          </w:p>
        </w:tc>
      </w:tr>
      <w:tr w:rsidR="00376500" w:rsidRPr="00B94A10" w14:paraId="1BACD061" w14:textId="77777777" w:rsidTr="005728FB">
        <w:trPr>
          <w:trHeight w:val="20"/>
        </w:trPr>
        <w:tc>
          <w:tcPr>
            <w:tcW w:w="2074" w:type="dxa"/>
          </w:tcPr>
          <w:p w14:paraId="36651246" w14:textId="77777777" w:rsidR="00376500" w:rsidRPr="00F0226F" w:rsidRDefault="00376500" w:rsidP="005728FB">
            <w:pPr>
              <w:rPr>
                <w:b/>
                <w:bCs/>
                <w:lang w:val="fr-CH"/>
              </w:rPr>
            </w:pPr>
            <w:r>
              <w:rPr>
                <w:b/>
                <w:bCs/>
                <w:lang w:val="fr-CH"/>
              </w:rPr>
              <w:t>Fonctions du sol</w:t>
            </w:r>
          </w:p>
        </w:tc>
        <w:tc>
          <w:tcPr>
            <w:tcW w:w="7451" w:type="dxa"/>
          </w:tcPr>
          <w:p w14:paraId="5E7AC53E" w14:textId="77777777" w:rsidR="00376500" w:rsidRPr="00F0226F" w:rsidRDefault="00376500" w:rsidP="00376500">
            <w:pPr>
              <w:rPr>
                <w:rFonts w:eastAsiaTheme="minorEastAsia"/>
                <w:lang w:val="fr-CH" w:eastAsia="en-US"/>
              </w:rPr>
            </w:pPr>
            <w:r>
              <w:rPr>
                <w:rFonts w:eastAsiaTheme="minorEastAsia"/>
                <w:lang w:val="fr-CH" w:eastAsia="en-US"/>
              </w:rPr>
              <w:t>La capacité du sol à fournir des prestations. Une distinction est faite entre les fo</w:t>
            </w:r>
            <w:r w:rsidRPr="00F0226F">
              <w:rPr>
                <w:rFonts w:eastAsiaTheme="minorEastAsia"/>
                <w:lang w:val="fr-CH" w:eastAsia="en-US"/>
              </w:rPr>
              <w:t>n</w:t>
            </w:r>
            <w:r>
              <w:rPr>
                <w:rFonts w:eastAsiaTheme="minorEastAsia"/>
                <w:lang w:val="fr-CH" w:eastAsia="en-US"/>
              </w:rPr>
              <w:t xml:space="preserve">ctions suivantes </w:t>
            </w:r>
            <w:r w:rsidRPr="00F0226F">
              <w:rPr>
                <w:rFonts w:eastAsiaTheme="minorEastAsia"/>
                <w:lang w:val="fr-CH" w:eastAsia="en-US"/>
              </w:rPr>
              <w:t xml:space="preserve">: </w:t>
            </w:r>
          </w:p>
          <w:p w14:paraId="26EDD61C" w14:textId="77777777" w:rsidR="00376500" w:rsidRPr="00F0226F" w:rsidRDefault="00376500" w:rsidP="00376500">
            <w:pPr>
              <w:pStyle w:val="Listenabsatz"/>
              <w:numPr>
                <w:ilvl w:val="0"/>
                <w:numId w:val="31"/>
              </w:numPr>
              <w:ind w:left="360" w:hanging="425"/>
              <w:rPr>
                <w:rFonts w:eastAsiaTheme="minorEastAsia"/>
                <w:lang w:val="fr-CH" w:eastAsia="en-US"/>
              </w:rPr>
            </w:pPr>
            <w:r>
              <w:rPr>
                <w:rFonts w:eastAsiaTheme="minorEastAsia"/>
                <w:i/>
                <w:iCs/>
                <w:lang w:val="fr-CH" w:eastAsia="en-US"/>
              </w:rPr>
              <w:t>Fonc</w:t>
            </w:r>
            <w:r w:rsidRPr="00F0226F">
              <w:rPr>
                <w:rFonts w:eastAsiaTheme="minorEastAsia"/>
                <w:i/>
                <w:iCs/>
                <w:lang w:val="fr-CH" w:eastAsia="en-US"/>
              </w:rPr>
              <w:t>tion</w:t>
            </w:r>
            <w:r>
              <w:rPr>
                <w:rFonts w:eastAsiaTheme="minorEastAsia"/>
                <w:i/>
                <w:iCs/>
                <w:lang w:val="fr-CH" w:eastAsia="en-US"/>
              </w:rPr>
              <w:t xml:space="preserve"> de biotope </w:t>
            </w:r>
            <w:r w:rsidRPr="00F0226F">
              <w:rPr>
                <w:rFonts w:eastAsiaTheme="minorEastAsia"/>
                <w:lang w:val="fr-CH" w:eastAsia="en-US"/>
              </w:rPr>
              <w:t xml:space="preserve">: </w:t>
            </w:r>
            <w:r>
              <w:rPr>
                <w:rFonts w:eastAsiaTheme="minorEastAsia"/>
                <w:lang w:val="fr-CH" w:eastAsia="en-US"/>
              </w:rPr>
              <w:t>capacité du sol à servir de lieu de vie à des organismes et à contribu</w:t>
            </w:r>
            <w:r w:rsidRPr="00F0226F">
              <w:rPr>
                <w:rFonts w:eastAsiaTheme="minorEastAsia"/>
                <w:lang w:val="fr-CH" w:eastAsia="en-US"/>
              </w:rPr>
              <w:t xml:space="preserve">er </w:t>
            </w:r>
            <w:r>
              <w:rPr>
                <w:rFonts w:eastAsiaTheme="minorEastAsia"/>
                <w:lang w:val="fr-CH" w:eastAsia="en-US"/>
              </w:rPr>
              <w:t>à la conservation de la diversité des écosystèmes ainsi que des espèces et de leur diversité génétique</w:t>
            </w:r>
            <w:r w:rsidRPr="00F0226F">
              <w:rPr>
                <w:rFonts w:eastAsiaTheme="minorEastAsia"/>
                <w:lang w:val="fr-CH" w:eastAsia="en-US"/>
              </w:rPr>
              <w:t xml:space="preserve">. </w:t>
            </w:r>
          </w:p>
          <w:p w14:paraId="0D3BA9F2" w14:textId="77777777" w:rsidR="00376500" w:rsidRPr="00F0226F" w:rsidRDefault="00376500" w:rsidP="00376500">
            <w:pPr>
              <w:pStyle w:val="Listenabsatz"/>
              <w:numPr>
                <w:ilvl w:val="0"/>
                <w:numId w:val="31"/>
              </w:numPr>
              <w:ind w:left="360" w:hanging="425"/>
              <w:rPr>
                <w:rFonts w:eastAsiaTheme="minorEastAsia"/>
                <w:lang w:val="fr-CH" w:eastAsia="en-US"/>
              </w:rPr>
            </w:pPr>
            <w:r>
              <w:rPr>
                <w:rFonts w:eastAsiaTheme="minorEastAsia"/>
                <w:i/>
                <w:iCs/>
                <w:lang w:val="fr-CH" w:eastAsia="en-US"/>
              </w:rPr>
              <w:t>Fonctio</w:t>
            </w:r>
            <w:r w:rsidRPr="00F0226F">
              <w:rPr>
                <w:rFonts w:eastAsiaTheme="minorEastAsia"/>
                <w:i/>
                <w:iCs/>
                <w:lang w:val="fr-CH" w:eastAsia="en-US"/>
              </w:rPr>
              <w:t>n</w:t>
            </w:r>
            <w:r>
              <w:rPr>
                <w:rFonts w:eastAsiaTheme="minorEastAsia"/>
                <w:i/>
                <w:iCs/>
                <w:lang w:val="fr-CH" w:eastAsia="en-US"/>
              </w:rPr>
              <w:t xml:space="preserve"> régulatrice </w:t>
            </w:r>
            <w:r w:rsidRPr="00F0226F">
              <w:rPr>
                <w:rFonts w:eastAsiaTheme="minorEastAsia"/>
                <w:lang w:val="fr-CH" w:eastAsia="en-US"/>
              </w:rPr>
              <w:t xml:space="preserve">: </w:t>
            </w:r>
            <w:r>
              <w:rPr>
                <w:rFonts w:eastAsiaTheme="minorEastAsia"/>
                <w:lang w:val="fr-CH" w:eastAsia="en-US"/>
              </w:rPr>
              <w:t>capacité du sol à réguler les cycles des substances et de l’énergie, à assumer une fonction de filtre, de tampon ou de réservoir, et à transformer des substa</w:t>
            </w:r>
            <w:r w:rsidRPr="00F0226F">
              <w:rPr>
                <w:rFonts w:eastAsiaTheme="minorEastAsia"/>
                <w:lang w:val="fr-CH" w:eastAsia="en-US"/>
              </w:rPr>
              <w:t>n</w:t>
            </w:r>
            <w:r>
              <w:rPr>
                <w:rFonts w:eastAsiaTheme="minorEastAsia"/>
                <w:lang w:val="fr-CH" w:eastAsia="en-US"/>
              </w:rPr>
              <w:t>ces</w:t>
            </w:r>
            <w:r w:rsidRPr="00F0226F">
              <w:rPr>
                <w:rFonts w:eastAsiaTheme="minorEastAsia"/>
                <w:lang w:val="fr-CH" w:eastAsia="en-US"/>
              </w:rPr>
              <w:t xml:space="preserve">. </w:t>
            </w:r>
          </w:p>
          <w:p w14:paraId="44F35E1D" w14:textId="77777777" w:rsidR="00376500" w:rsidRPr="00F0226F" w:rsidRDefault="00376500" w:rsidP="00376500">
            <w:pPr>
              <w:pStyle w:val="Listenabsatz"/>
              <w:numPr>
                <w:ilvl w:val="0"/>
                <w:numId w:val="31"/>
              </w:numPr>
              <w:ind w:left="360" w:hanging="425"/>
              <w:rPr>
                <w:rFonts w:eastAsiaTheme="minorEastAsia"/>
                <w:lang w:val="fr-CH" w:eastAsia="en-US"/>
              </w:rPr>
            </w:pPr>
            <w:r>
              <w:rPr>
                <w:rFonts w:eastAsiaTheme="minorEastAsia"/>
                <w:i/>
                <w:iCs/>
                <w:lang w:val="fr-CH" w:eastAsia="en-US"/>
              </w:rPr>
              <w:t xml:space="preserve">Fonction de production </w:t>
            </w:r>
            <w:r w:rsidRPr="00F0226F">
              <w:rPr>
                <w:rFonts w:eastAsiaTheme="minorEastAsia"/>
                <w:lang w:val="fr-CH" w:eastAsia="en-US"/>
              </w:rPr>
              <w:t xml:space="preserve">: </w:t>
            </w:r>
            <w:r>
              <w:rPr>
                <w:rFonts w:eastAsiaTheme="minorEastAsia"/>
                <w:lang w:val="fr-CH" w:eastAsia="en-US"/>
              </w:rPr>
              <w:t>capacité du sol à produire de la biomasse sous forme de denrées alimentaires et fourragères, de bois et de fibres</w:t>
            </w:r>
            <w:r w:rsidRPr="00F0226F">
              <w:rPr>
                <w:rFonts w:eastAsiaTheme="minorEastAsia"/>
                <w:lang w:val="fr-CH" w:eastAsia="en-US"/>
              </w:rPr>
              <w:t xml:space="preserve">. </w:t>
            </w:r>
          </w:p>
          <w:p w14:paraId="476E5706" w14:textId="77777777" w:rsidR="00376500" w:rsidRPr="00F0226F" w:rsidRDefault="00376500" w:rsidP="00376500">
            <w:pPr>
              <w:pStyle w:val="Listenabsatz"/>
              <w:numPr>
                <w:ilvl w:val="0"/>
                <w:numId w:val="31"/>
              </w:numPr>
              <w:ind w:left="360" w:hanging="425"/>
              <w:rPr>
                <w:rFonts w:eastAsiaTheme="minorEastAsia"/>
                <w:lang w:val="fr-CH" w:eastAsia="en-US"/>
              </w:rPr>
            </w:pPr>
            <w:r>
              <w:rPr>
                <w:rFonts w:eastAsiaTheme="minorEastAsia"/>
                <w:i/>
                <w:iCs/>
                <w:lang w:val="fr-CH" w:eastAsia="en-US"/>
              </w:rPr>
              <w:t xml:space="preserve">Fonction de support </w:t>
            </w:r>
            <w:r w:rsidRPr="00F0226F">
              <w:rPr>
                <w:rFonts w:eastAsiaTheme="minorEastAsia"/>
                <w:lang w:val="fr-CH" w:eastAsia="en-US"/>
              </w:rPr>
              <w:t xml:space="preserve">: </w:t>
            </w:r>
            <w:r>
              <w:rPr>
                <w:rFonts w:eastAsiaTheme="minorEastAsia"/>
                <w:lang w:val="fr-CH" w:eastAsia="en-US"/>
              </w:rPr>
              <w:t>capacité du sol à servir de fondement à des constructions</w:t>
            </w:r>
            <w:r w:rsidRPr="00F0226F">
              <w:rPr>
                <w:rFonts w:eastAsiaTheme="minorEastAsia"/>
                <w:lang w:val="fr-CH" w:eastAsia="en-US"/>
              </w:rPr>
              <w:t xml:space="preserve">. </w:t>
            </w:r>
          </w:p>
          <w:p w14:paraId="6F0D6EDF" w14:textId="77777777" w:rsidR="00376500" w:rsidRPr="00F0226F" w:rsidRDefault="00376500" w:rsidP="00376500">
            <w:pPr>
              <w:pStyle w:val="Listenabsatz"/>
              <w:numPr>
                <w:ilvl w:val="0"/>
                <w:numId w:val="31"/>
              </w:numPr>
              <w:ind w:left="360" w:hanging="425"/>
              <w:rPr>
                <w:rFonts w:eastAsiaTheme="minorEastAsia"/>
                <w:lang w:val="fr-CH" w:eastAsia="en-US"/>
              </w:rPr>
            </w:pPr>
            <w:r>
              <w:rPr>
                <w:rFonts w:eastAsiaTheme="minorEastAsia"/>
                <w:i/>
                <w:iCs/>
                <w:lang w:val="fr-CH" w:eastAsia="en-US"/>
              </w:rPr>
              <w:lastRenderedPageBreak/>
              <w:t xml:space="preserve">Source de matières premières </w:t>
            </w:r>
            <w:r w:rsidRPr="00F0226F">
              <w:rPr>
                <w:rFonts w:eastAsiaTheme="minorEastAsia"/>
                <w:lang w:val="fr-CH" w:eastAsia="en-US"/>
              </w:rPr>
              <w:t xml:space="preserve">: </w:t>
            </w:r>
            <w:r>
              <w:rPr>
                <w:rFonts w:eastAsiaTheme="minorEastAsia"/>
                <w:lang w:val="fr-CH" w:eastAsia="en-US"/>
              </w:rPr>
              <w:t>capacité du sol à stocker des matières premières, de l’eau et de l’énergie géothermique</w:t>
            </w:r>
            <w:r w:rsidRPr="00F0226F">
              <w:rPr>
                <w:rFonts w:eastAsiaTheme="minorEastAsia"/>
                <w:lang w:val="fr-CH" w:eastAsia="en-US"/>
              </w:rPr>
              <w:t xml:space="preserve">. </w:t>
            </w:r>
          </w:p>
          <w:p w14:paraId="71635E37" w14:textId="77777777" w:rsidR="00376500" w:rsidRPr="00F0226F" w:rsidRDefault="00376500" w:rsidP="00376500">
            <w:pPr>
              <w:pStyle w:val="Listenabsatz"/>
              <w:numPr>
                <w:ilvl w:val="0"/>
                <w:numId w:val="31"/>
              </w:numPr>
              <w:ind w:left="360" w:hanging="425"/>
              <w:rPr>
                <w:rFonts w:eastAsiaTheme="minorEastAsia"/>
                <w:lang w:val="fr-CH" w:eastAsia="en-US"/>
              </w:rPr>
            </w:pPr>
            <w:r>
              <w:rPr>
                <w:rFonts w:eastAsiaTheme="minorEastAsia"/>
                <w:i/>
                <w:iCs/>
                <w:lang w:val="fr-CH" w:eastAsia="en-US"/>
              </w:rPr>
              <w:t xml:space="preserve">Fonction d’archivage </w:t>
            </w:r>
            <w:r w:rsidRPr="00F0226F">
              <w:rPr>
                <w:rFonts w:eastAsiaTheme="minorEastAsia"/>
                <w:lang w:val="fr-CH" w:eastAsia="en-US"/>
              </w:rPr>
              <w:t xml:space="preserve">: </w:t>
            </w:r>
            <w:r>
              <w:rPr>
                <w:rFonts w:eastAsiaTheme="minorEastAsia"/>
                <w:lang w:val="fr-CH" w:eastAsia="en-US"/>
              </w:rPr>
              <w:t>capacité du sol à conserver des informations sur l’histoire naturelle et culturelle</w:t>
            </w:r>
            <w:r w:rsidRPr="00F0226F">
              <w:rPr>
                <w:rFonts w:eastAsiaTheme="minorEastAsia"/>
                <w:lang w:val="fr-CH" w:eastAsia="en-US"/>
              </w:rPr>
              <w:t xml:space="preserve">. </w:t>
            </w:r>
          </w:p>
          <w:p w14:paraId="0C2251E7" w14:textId="77777777" w:rsidR="00376500" w:rsidRPr="00F0226F" w:rsidRDefault="00376500" w:rsidP="00376500">
            <w:pPr>
              <w:rPr>
                <w:lang w:val="fr-CH"/>
              </w:rPr>
            </w:pPr>
          </w:p>
        </w:tc>
      </w:tr>
      <w:tr w:rsidR="00376500" w:rsidRPr="00B94A10" w14:paraId="459F298E" w14:textId="77777777" w:rsidTr="005728FB">
        <w:trPr>
          <w:trHeight w:val="20"/>
        </w:trPr>
        <w:tc>
          <w:tcPr>
            <w:tcW w:w="2074" w:type="dxa"/>
          </w:tcPr>
          <w:p w14:paraId="4FC2DB53" w14:textId="77777777" w:rsidR="00376500" w:rsidRPr="00F0226F" w:rsidRDefault="00376500" w:rsidP="005728FB">
            <w:pPr>
              <w:rPr>
                <w:b/>
                <w:bCs/>
                <w:lang w:val="fr-CH"/>
              </w:rPr>
            </w:pPr>
            <w:r>
              <w:rPr>
                <w:b/>
                <w:bCs/>
                <w:lang w:val="fr-CH"/>
              </w:rPr>
              <w:lastRenderedPageBreak/>
              <w:t>Information/renseignements</w:t>
            </w:r>
          </w:p>
        </w:tc>
        <w:tc>
          <w:tcPr>
            <w:tcW w:w="7451" w:type="dxa"/>
          </w:tcPr>
          <w:p w14:paraId="0164E0F0" w14:textId="77777777" w:rsidR="00376500" w:rsidRPr="00F0226F" w:rsidRDefault="00376500" w:rsidP="00376500">
            <w:pPr>
              <w:rPr>
                <w:bCs/>
                <w:lang w:val="fr-CH"/>
              </w:rPr>
            </w:pPr>
            <w:r>
              <w:rPr>
                <w:lang w:val="fr-CH"/>
              </w:rPr>
              <w:t>Les renseignements à fournir correspondent aux informations que les cantons donnent tous les quatre ans sur l’emplacement, l’étendue et la qualité des SDA répertoriées dans les inventaires. Ce devoir d’information est ancré dans l’OAT</w:t>
            </w:r>
            <w:r w:rsidRPr="00F0226F">
              <w:rPr>
                <w:lang w:val="fr-CH"/>
              </w:rPr>
              <w:t xml:space="preserve"> (</w:t>
            </w:r>
            <w:r>
              <w:rPr>
                <w:lang w:val="fr-CH"/>
              </w:rPr>
              <w:t>a</w:t>
            </w:r>
            <w:r w:rsidRPr="00F0226F">
              <w:rPr>
                <w:lang w:val="fr-CH"/>
              </w:rPr>
              <w:t>rt. 28</w:t>
            </w:r>
            <w:r>
              <w:rPr>
                <w:lang w:val="fr-CH"/>
              </w:rPr>
              <w:t>,</w:t>
            </w:r>
            <w:r w:rsidRPr="00F0226F">
              <w:rPr>
                <w:lang w:val="fr-CH"/>
              </w:rPr>
              <w:t xml:space="preserve"> </w:t>
            </w:r>
            <w:r>
              <w:rPr>
                <w:lang w:val="fr-CH"/>
              </w:rPr>
              <w:t>al</w:t>
            </w:r>
            <w:r w:rsidRPr="00F0226F">
              <w:rPr>
                <w:lang w:val="fr-CH"/>
              </w:rPr>
              <w:t xml:space="preserve">. 2) </w:t>
            </w:r>
            <w:r>
              <w:rPr>
                <w:lang w:val="fr-CH"/>
              </w:rPr>
              <w:t>et peut avoir lieu dans le cadre de l’information sur l’état de la planification directrice au sens de l’a</w:t>
            </w:r>
            <w:r w:rsidRPr="00F0226F">
              <w:rPr>
                <w:lang w:val="fr-CH"/>
              </w:rPr>
              <w:t>rt</w:t>
            </w:r>
            <w:r>
              <w:rPr>
                <w:lang w:val="fr-CH"/>
              </w:rPr>
              <w:t>icle</w:t>
            </w:r>
            <w:r w:rsidRPr="00F0226F">
              <w:rPr>
                <w:lang w:val="fr-CH"/>
              </w:rPr>
              <w:t xml:space="preserve"> 9</w:t>
            </w:r>
            <w:r>
              <w:rPr>
                <w:lang w:val="fr-CH"/>
              </w:rPr>
              <w:t xml:space="preserve"> OAT</w:t>
            </w:r>
            <w:r w:rsidRPr="00F0226F">
              <w:rPr>
                <w:lang w:val="fr-CH"/>
              </w:rPr>
              <w:t>.</w:t>
            </w:r>
          </w:p>
          <w:p w14:paraId="16160C3D" w14:textId="77777777" w:rsidR="00376500" w:rsidRPr="00F0226F" w:rsidRDefault="00376500" w:rsidP="00376500">
            <w:pPr>
              <w:rPr>
                <w:bCs/>
                <w:lang w:val="fr-CH"/>
              </w:rPr>
            </w:pPr>
            <w:r>
              <w:rPr>
                <w:rFonts w:cs="Arial"/>
                <w:lang w:val="fr-CH"/>
              </w:rPr>
              <w:t>À</w:t>
            </w:r>
            <w:r>
              <w:rPr>
                <w:lang w:val="fr-CH"/>
              </w:rPr>
              <w:t xml:space="preserve"> la différence de l’observation des inventaires SDA</w:t>
            </w:r>
            <w:r w:rsidRPr="00F0226F">
              <w:rPr>
                <w:lang w:val="fr-CH"/>
              </w:rPr>
              <w:t xml:space="preserve"> (</w:t>
            </w:r>
            <w:r>
              <w:rPr>
                <w:lang w:val="fr-CH"/>
              </w:rPr>
              <w:t>cf. ci-dessus</w:t>
            </w:r>
            <w:r w:rsidRPr="00F0226F">
              <w:rPr>
                <w:lang w:val="fr-CH"/>
              </w:rPr>
              <w:t>)</w:t>
            </w:r>
            <w:r>
              <w:rPr>
                <w:lang w:val="fr-CH"/>
              </w:rPr>
              <w:t>, le respect du contingent cantonal, les modifications de l’inventaire des SDA, la teneur des documents transmis et le respect du présent Plan sectoriel, etc. sont examinés par l’ARE.</w:t>
            </w:r>
          </w:p>
          <w:p w14:paraId="66E04AB7" w14:textId="77777777" w:rsidR="00376500" w:rsidRPr="00F0226F" w:rsidRDefault="00376500" w:rsidP="00376500">
            <w:pPr>
              <w:rPr>
                <w:lang w:val="fr-CH"/>
              </w:rPr>
            </w:pPr>
          </w:p>
        </w:tc>
      </w:tr>
      <w:tr w:rsidR="00376500" w:rsidRPr="00B94A10" w14:paraId="5CA70B9A" w14:textId="77777777" w:rsidTr="005728FB">
        <w:trPr>
          <w:trHeight w:val="20"/>
        </w:trPr>
        <w:tc>
          <w:tcPr>
            <w:tcW w:w="2074" w:type="dxa"/>
          </w:tcPr>
          <w:p w14:paraId="060A114B" w14:textId="77777777" w:rsidR="00376500" w:rsidRPr="00F0226F" w:rsidRDefault="00376500" w:rsidP="005728FB">
            <w:pPr>
              <w:rPr>
                <w:b/>
                <w:bCs/>
                <w:lang w:val="fr-CH"/>
              </w:rPr>
            </w:pPr>
            <w:r>
              <w:rPr>
                <w:b/>
                <w:bCs/>
                <w:lang w:val="fr-CH"/>
              </w:rPr>
              <w:t>Inventaire des SDA</w:t>
            </w:r>
          </w:p>
        </w:tc>
        <w:tc>
          <w:tcPr>
            <w:tcW w:w="7451" w:type="dxa"/>
          </w:tcPr>
          <w:p w14:paraId="4B462284" w14:textId="77777777" w:rsidR="00376500" w:rsidRPr="00F0226F" w:rsidRDefault="00376500" w:rsidP="00376500">
            <w:pPr>
              <w:spacing w:after="360"/>
              <w:rPr>
                <w:lang w:val="fr-CH"/>
              </w:rPr>
            </w:pPr>
            <w:r>
              <w:rPr>
                <w:lang w:val="fr-CH"/>
              </w:rPr>
              <w:t>L’inventaire des SDA représente la somme de toutes les surfaces inventoriées dans un canton et remplissant les critères SDA</w:t>
            </w:r>
            <w:r w:rsidRPr="00F0226F">
              <w:rPr>
                <w:lang w:val="fr-CH"/>
              </w:rPr>
              <w:t xml:space="preserve"> (</w:t>
            </w:r>
            <w:r>
              <w:rPr>
                <w:lang w:val="fr-CH"/>
              </w:rPr>
              <w:t>ou qui les remplissaient au moment du relevé</w:t>
            </w:r>
            <w:r w:rsidRPr="00F0226F">
              <w:rPr>
                <w:lang w:val="fr-CH"/>
              </w:rPr>
              <w:t xml:space="preserve">). </w:t>
            </w:r>
            <w:r>
              <w:rPr>
                <w:lang w:val="fr-CH"/>
              </w:rPr>
              <w:t xml:space="preserve">La surface totale mentionnée dans l’inventaire peut être supérieure au contingent cantonal </w:t>
            </w:r>
            <w:r w:rsidRPr="00F0226F">
              <w:rPr>
                <w:lang w:val="fr-CH"/>
              </w:rPr>
              <w:t>(</w:t>
            </w:r>
            <w:r>
              <w:rPr>
                <w:lang w:val="fr-CH"/>
              </w:rPr>
              <w:t>cf. également figure 1</w:t>
            </w:r>
            <w:r w:rsidRPr="00F0226F">
              <w:rPr>
                <w:lang w:val="fr-CH"/>
              </w:rPr>
              <w:t>).</w:t>
            </w:r>
          </w:p>
        </w:tc>
      </w:tr>
      <w:tr w:rsidR="00376500" w:rsidRPr="00B94A10" w14:paraId="51680F49" w14:textId="77777777" w:rsidTr="005728FB">
        <w:trPr>
          <w:trHeight w:val="20"/>
        </w:trPr>
        <w:tc>
          <w:tcPr>
            <w:tcW w:w="2074" w:type="dxa"/>
          </w:tcPr>
          <w:p w14:paraId="0F74F122" w14:textId="77777777" w:rsidR="00376500" w:rsidRPr="00F0226F" w:rsidRDefault="00376500" w:rsidP="005728FB">
            <w:pPr>
              <w:rPr>
                <w:b/>
                <w:bCs/>
                <w:lang w:val="fr-CH"/>
              </w:rPr>
            </w:pPr>
            <w:r>
              <w:rPr>
                <w:b/>
                <w:bCs/>
                <w:lang w:val="fr-CH"/>
              </w:rPr>
              <w:t>Marge de manœuvre cantonale pour les SDA</w:t>
            </w:r>
          </w:p>
        </w:tc>
        <w:tc>
          <w:tcPr>
            <w:tcW w:w="7451" w:type="dxa"/>
          </w:tcPr>
          <w:p w14:paraId="14536532" w14:textId="77777777" w:rsidR="00376500" w:rsidRPr="00F0226F" w:rsidRDefault="00376500" w:rsidP="00376500">
            <w:pPr>
              <w:rPr>
                <w:lang w:val="fr-CH"/>
              </w:rPr>
            </w:pPr>
            <w:r>
              <w:rPr>
                <w:lang w:val="fr-CH"/>
              </w:rPr>
              <w:t xml:space="preserve">La marge de manœuvre correspond au nombre d’hectares de SDA restant après soustraction du contingent cantonal de l’inventaire cantonal des SDA </w:t>
            </w:r>
            <w:r w:rsidRPr="00F0226F">
              <w:rPr>
                <w:lang w:val="fr-CH"/>
              </w:rPr>
              <w:t>(</w:t>
            </w:r>
            <w:r>
              <w:rPr>
                <w:lang w:val="fr-CH"/>
              </w:rPr>
              <w:t>voir également figure 1</w:t>
            </w:r>
            <w:r w:rsidRPr="00F0226F">
              <w:rPr>
                <w:lang w:val="fr-CH"/>
              </w:rPr>
              <w:t xml:space="preserve">). </w:t>
            </w:r>
          </w:p>
          <w:p w14:paraId="5E5DD959" w14:textId="77777777" w:rsidR="00376500" w:rsidRPr="00F0226F" w:rsidRDefault="00376500" w:rsidP="00376500">
            <w:pPr>
              <w:rPr>
                <w:lang w:val="fr-CH"/>
              </w:rPr>
            </w:pPr>
          </w:p>
        </w:tc>
      </w:tr>
      <w:tr w:rsidR="00376500" w:rsidRPr="00B94A10" w14:paraId="41C200D5" w14:textId="77777777" w:rsidTr="005728FB">
        <w:trPr>
          <w:trHeight w:val="20"/>
        </w:trPr>
        <w:tc>
          <w:tcPr>
            <w:tcW w:w="2074" w:type="dxa"/>
          </w:tcPr>
          <w:p w14:paraId="201F4933" w14:textId="77777777" w:rsidR="00376500" w:rsidRPr="00F0226F" w:rsidRDefault="00376500" w:rsidP="005728FB">
            <w:pPr>
              <w:rPr>
                <w:b/>
                <w:bCs/>
                <w:lang w:val="fr-CH"/>
              </w:rPr>
            </w:pPr>
            <w:r>
              <w:rPr>
                <w:b/>
                <w:bCs/>
                <w:lang w:val="fr-CH"/>
              </w:rPr>
              <w:t xml:space="preserve">Méthode </w:t>
            </w:r>
            <w:r w:rsidRPr="00F0226F">
              <w:rPr>
                <w:b/>
                <w:bCs/>
                <w:lang w:val="fr-CH"/>
              </w:rPr>
              <w:t>FAL24+</w:t>
            </w:r>
          </w:p>
        </w:tc>
        <w:tc>
          <w:tcPr>
            <w:tcW w:w="7451" w:type="dxa"/>
          </w:tcPr>
          <w:p w14:paraId="6B47EFA8" w14:textId="77777777" w:rsidR="00376500" w:rsidRPr="00F0226F" w:rsidRDefault="00376500" w:rsidP="00376500">
            <w:pPr>
              <w:spacing w:after="360"/>
              <w:rPr>
                <w:lang w:val="fr-CH"/>
              </w:rPr>
            </w:pPr>
            <w:r>
              <w:rPr>
                <w:lang w:val="fr-CH"/>
              </w:rPr>
              <w:t xml:space="preserve">La base de cette méthode de cartographie repose sur les instructions cartographiques FAL mises au point en 1997 par la Station fédérale de recherches en agroécologie et agriculture de </w:t>
            </w:r>
            <w:r w:rsidRPr="00F0226F">
              <w:rPr>
                <w:lang w:val="fr-CH"/>
              </w:rPr>
              <w:t>Z</w:t>
            </w:r>
            <w:r>
              <w:rPr>
                <w:lang w:val="fr-CH"/>
              </w:rPr>
              <w:t>u</w:t>
            </w:r>
            <w:r w:rsidRPr="00F0226F">
              <w:rPr>
                <w:lang w:val="fr-CH"/>
              </w:rPr>
              <w:t>rich-Reckenholz (</w:t>
            </w:r>
            <w:r>
              <w:rPr>
                <w:lang w:val="fr-CH"/>
              </w:rPr>
              <w:t>aujourd’hui</w:t>
            </w:r>
            <w:r w:rsidRPr="00F0226F">
              <w:rPr>
                <w:lang w:val="fr-CH"/>
              </w:rPr>
              <w:t xml:space="preserve"> Agroscope). </w:t>
            </w:r>
            <w:r>
              <w:rPr>
                <w:lang w:val="fr-CH"/>
              </w:rPr>
              <w:t xml:space="preserve">La méthode </w:t>
            </w:r>
            <w:r w:rsidRPr="00F0226F">
              <w:rPr>
                <w:lang w:val="fr-CH"/>
              </w:rPr>
              <w:t xml:space="preserve">FAL24+ </w:t>
            </w:r>
            <w:r>
              <w:rPr>
                <w:lang w:val="fr-CH"/>
              </w:rPr>
              <w:t>développée sur cette base par le canton de Soleure est considérée comme</w:t>
            </w:r>
            <w:r w:rsidRPr="00F0226F">
              <w:rPr>
                <w:lang w:val="fr-CH"/>
              </w:rPr>
              <w:t xml:space="preserve"> </w:t>
            </w:r>
            <w:r>
              <w:rPr>
                <w:lang w:val="fr-CH"/>
              </w:rPr>
              <w:t>le standard cartographique minimal au moment de l’adoption du présent Plan sectoriel</w:t>
            </w:r>
            <w:r w:rsidRPr="00F0226F">
              <w:rPr>
                <w:lang w:val="fr-CH"/>
              </w:rPr>
              <w:t xml:space="preserve">. </w:t>
            </w:r>
          </w:p>
        </w:tc>
      </w:tr>
      <w:tr w:rsidR="00376500" w:rsidRPr="00B94A10" w14:paraId="36747C23" w14:textId="77777777" w:rsidTr="005728FB">
        <w:trPr>
          <w:trHeight w:val="20"/>
        </w:trPr>
        <w:tc>
          <w:tcPr>
            <w:tcW w:w="2074" w:type="dxa"/>
          </w:tcPr>
          <w:p w14:paraId="4AA6CE82" w14:textId="77777777" w:rsidR="00376500" w:rsidRPr="00F0226F" w:rsidRDefault="00376500" w:rsidP="005728FB">
            <w:pPr>
              <w:rPr>
                <w:b/>
                <w:bCs/>
                <w:lang w:val="fr-CH"/>
              </w:rPr>
            </w:pPr>
            <w:r>
              <w:rPr>
                <w:b/>
                <w:bCs/>
                <w:lang w:val="fr-CH"/>
              </w:rPr>
              <w:t>Observation des</w:t>
            </w:r>
            <w:r w:rsidRPr="00F0226F">
              <w:rPr>
                <w:b/>
                <w:bCs/>
                <w:lang w:val="fr-CH"/>
              </w:rPr>
              <w:t xml:space="preserve"> </w:t>
            </w:r>
            <w:r>
              <w:rPr>
                <w:b/>
                <w:bCs/>
                <w:lang w:val="fr-CH"/>
              </w:rPr>
              <w:t>inventaires de SDA</w:t>
            </w:r>
          </w:p>
          <w:p w14:paraId="7C4D36FA" w14:textId="77777777" w:rsidR="00376500" w:rsidRPr="00F0226F" w:rsidRDefault="00376500" w:rsidP="005728FB">
            <w:pPr>
              <w:rPr>
                <w:b/>
                <w:lang w:val="fr-CH"/>
              </w:rPr>
            </w:pPr>
          </w:p>
        </w:tc>
        <w:tc>
          <w:tcPr>
            <w:tcW w:w="7451" w:type="dxa"/>
          </w:tcPr>
          <w:p w14:paraId="39430849" w14:textId="77777777" w:rsidR="00376500" w:rsidRPr="00F0226F" w:rsidRDefault="00376500" w:rsidP="00376500">
            <w:pPr>
              <w:rPr>
                <w:lang w:val="fr-CH"/>
              </w:rPr>
            </w:pPr>
            <w:r>
              <w:rPr>
                <w:lang w:val="fr-CH"/>
              </w:rPr>
              <w:t>L’observation des inventaires de SDA</w:t>
            </w:r>
            <w:r w:rsidRPr="00F0226F">
              <w:rPr>
                <w:lang w:val="fr-CH"/>
              </w:rPr>
              <w:t xml:space="preserve"> </w:t>
            </w:r>
            <w:r>
              <w:rPr>
                <w:lang w:val="fr-CH"/>
              </w:rPr>
              <w:t xml:space="preserve">se concentre sur la vue d’ensemble actuelle et harmonisée des inventaires cantonaux de SDA dans l’ensemble du pays </w:t>
            </w:r>
            <w:r w:rsidRPr="00F0226F">
              <w:rPr>
                <w:lang w:val="fr-CH"/>
              </w:rPr>
              <w:t>e</w:t>
            </w:r>
            <w:r>
              <w:rPr>
                <w:lang w:val="fr-CH"/>
              </w:rPr>
              <w:t>t sur les modifications intervenues. Le but est d’assurer l’information et la sensibilisation des autorités, des particuliers et des autres personnes intéressées</w:t>
            </w:r>
            <w:r w:rsidRPr="00F0226F">
              <w:rPr>
                <w:lang w:val="fr-CH"/>
              </w:rPr>
              <w:t xml:space="preserve">. </w:t>
            </w:r>
          </w:p>
          <w:p w14:paraId="5BA1AEE9" w14:textId="77777777" w:rsidR="00376500" w:rsidRPr="00F0226F" w:rsidRDefault="00376500" w:rsidP="00376500">
            <w:pPr>
              <w:rPr>
                <w:lang w:val="fr-CH"/>
              </w:rPr>
            </w:pPr>
            <w:r>
              <w:rPr>
                <w:lang w:val="fr-CH"/>
              </w:rPr>
              <w:t>Contrairement au rapport établi tous les quatre ans dans le cadre de la planification directrice</w:t>
            </w:r>
            <w:r w:rsidRPr="00F0226F">
              <w:rPr>
                <w:lang w:val="fr-CH"/>
              </w:rPr>
              <w:t xml:space="preserve"> (</w:t>
            </w:r>
            <w:r>
              <w:rPr>
                <w:lang w:val="fr-CH"/>
              </w:rPr>
              <w:t>cf. ci-dessous</w:t>
            </w:r>
            <w:r w:rsidRPr="00F0226F">
              <w:rPr>
                <w:lang w:val="fr-CH"/>
              </w:rPr>
              <w:t>)</w:t>
            </w:r>
            <w:r>
              <w:rPr>
                <w:lang w:val="fr-CH"/>
              </w:rPr>
              <w:t>, il ne s’agit pas d’un examen des inventaires cantonaux de SDA</w:t>
            </w:r>
            <w:r w:rsidRPr="00F0226F">
              <w:rPr>
                <w:lang w:val="fr-CH"/>
              </w:rPr>
              <w:t xml:space="preserve">. </w:t>
            </w:r>
          </w:p>
          <w:p w14:paraId="64C00B0A" w14:textId="77777777" w:rsidR="00376500" w:rsidRPr="00F0226F" w:rsidRDefault="00376500" w:rsidP="00376500">
            <w:pPr>
              <w:rPr>
                <w:lang w:val="fr-CH"/>
              </w:rPr>
            </w:pPr>
          </w:p>
        </w:tc>
      </w:tr>
      <w:tr w:rsidR="00376500" w:rsidRPr="00B94A10" w14:paraId="316D207E" w14:textId="77777777" w:rsidTr="005728FB">
        <w:trPr>
          <w:trHeight w:val="20"/>
        </w:trPr>
        <w:tc>
          <w:tcPr>
            <w:tcW w:w="2074" w:type="dxa"/>
          </w:tcPr>
          <w:p w14:paraId="2DCB2E12" w14:textId="77777777" w:rsidR="00376500" w:rsidRPr="00F0226F" w:rsidRDefault="00376500" w:rsidP="005728FB">
            <w:pPr>
              <w:rPr>
                <w:b/>
                <w:bCs/>
                <w:lang w:val="fr-CH"/>
              </w:rPr>
            </w:pPr>
            <w:r>
              <w:rPr>
                <w:b/>
                <w:bCs/>
                <w:lang w:val="fr-CH"/>
              </w:rPr>
              <w:t>Partie requérant</w:t>
            </w:r>
            <w:r w:rsidRPr="00F0226F">
              <w:rPr>
                <w:b/>
                <w:bCs/>
                <w:lang w:val="fr-CH"/>
              </w:rPr>
              <w:t>e</w:t>
            </w:r>
          </w:p>
          <w:p w14:paraId="66B33CD5" w14:textId="77777777" w:rsidR="00376500" w:rsidRPr="00F0226F" w:rsidRDefault="00376500" w:rsidP="005728FB">
            <w:pPr>
              <w:rPr>
                <w:b/>
                <w:lang w:val="fr-CH"/>
              </w:rPr>
            </w:pPr>
          </w:p>
        </w:tc>
        <w:tc>
          <w:tcPr>
            <w:tcW w:w="7451" w:type="dxa"/>
          </w:tcPr>
          <w:p w14:paraId="05319E7C" w14:textId="77777777" w:rsidR="00376500" w:rsidRPr="00F0226F" w:rsidRDefault="00376500" w:rsidP="00376500">
            <w:pPr>
              <w:rPr>
                <w:lang w:val="fr-CH"/>
              </w:rPr>
            </w:pPr>
            <w:r>
              <w:rPr>
                <w:lang w:val="fr-CH"/>
              </w:rPr>
              <w:t xml:space="preserve">La partie requérante est une autorité fédérale ou une personne morale de droit public ou privé (aéroport, CFF, fournisseur d’électricité, etc.) qui planifie un projet d’infrastructure et présente une demande d’approbation de plans à l’autorité compétente. </w:t>
            </w:r>
            <w:r w:rsidRPr="00F0226F">
              <w:rPr>
                <w:lang w:val="fr-CH"/>
              </w:rPr>
              <w:t xml:space="preserve"> </w:t>
            </w:r>
          </w:p>
          <w:p w14:paraId="5B99AC20" w14:textId="77777777" w:rsidR="00376500" w:rsidRPr="00F0226F" w:rsidRDefault="00376500" w:rsidP="00376500">
            <w:pPr>
              <w:rPr>
                <w:lang w:val="fr-CH"/>
              </w:rPr>
            </w:pPr>
          </w:p>
        </w:tc>
      </w:tr>
      <w:tr w:rsidR="00376500" w:rsidRPr="00B94A10" w14:paraId="0CA7EE64" w14:textId="77777777" w:rsidTr="005728FB">
        <w:trPr>
          <w:trHeight w:val="20"/>
        </w:trPr>
        <w:tc>
          <w:tcPr>
            <w:tcW w:w="2074" w:type="dxa"/>
          </w:tcPr>
          <w:p w14:paraId="42844595" w14:textId="77777777" w:rsidR="00376500" w:rsidRPr="00F0226F" w:rsidRDefault="00376500" w:rsidP="005728FB">
            <w:pPr>
              <w:rPr>
                <w:b/>
                <w:bCs/>
                <w:lang w:val="fr-CH"/>
              </w:rPr>
            </w:pPr>
            <w:r>
              <w:rPr>
                <w:b/>
                <w:bCs/>
                <w:lang w:val="fr-CH"/>
              </w:rPr>
              <w:lastRenderedPageBreak/>
              <w:t>Projets fédéraux</w:t>
            </w:r>
          </w:p>
          <w:p w14:paraId="676E4DBA" w14:textId="77777777" w:rsidR="00376500" w:rsidRPr="00F0226F" w:rsidRDefault="00376500" w:rsidP="005728FB">
            <w:pPr>
              <w:rPr>
                <w:b/>
                <w:lang w:val="fr-CH"/>
              </w:rPr>
            </w:pPr>
          </w:p>
        </w:tc>
        <w:tc>
          <w:tcPr>
            <w:tcW w:w="7451" w:type="dxa"/>
          </w:tcPr>
          <w:p w14:paraId="0DA8C84B" w14:textId="77777777" w:rsidR="00376500" w:rsidRPr="00DE274F" w:rsidRDefault="00376500" w:rsidP="00376500">
            <w:pPr>
              <w:rPr>
                <w:rFonts w:ascii="ArialMT" w:hAnsi="ArialMT"/>
                <w:color w:val="000000" w:themeColor="text1"/>
                <w:lang w:val="fr-CH"/>
              </w:rPr>
            </w:pPr>
            <w:r w:rsidRPr="00DE274F">
              <w:rPr>
                <w:color w:val="000000" w:themeColor="text1"/>
                <w:lang w:val="fr-CH"/>
              </w:rPr>
              <w:t xml:space="preserve">Par projets fédéraux, on entend les ouvrages et les installations planifiés, construits ou modifiés par la Confédération, ses établissements ou ses entreprises (p.ex. les routes nationales). Il s’agit également d’infrastructures approuvées par la Confédération (p. ex. infrastructures de transport, ouvrages et installations servant au transport d’énergie, de liquides ou de gaz, ou à la transmission de messages). </w:t>
            </w:r>
            <w:r w:rsidRPr="00DE274F">
              <w:rPr>
                <w:rFonts w:ascii="ArialMT" w:hAnsi="ArialMT"/>
                <w:color w:val="000000" w:themeColor="text1"/>
                <w:lang w:val="fr-CH"/>
              </w:rPr>
              <w:t>Peu importe que le projet soit soumis ou non à un plan sectoriel. Il n’est pas non plus nécessaire qu’il présente un intérêt national. Dans le domaine du trafic aérien, les constructions et les installations planifiées sur le territoire des aéroports nationaux et des aérodromes régionaux sont considérées comme des projets fédéraux, mais non les champs d’aviation.</w:t>
            </w:r>
          </w:p>
          <w:p w14:paraId="1F18920E" w14:textId="77777777" w:rsidR="00376500" w:rsidRPr="00F0226F" w:rsidRDefault="00376500" w:rsidP="00376500">
            <w:pPr>
              <w:rPr>
                <w:lang w:val="fr-CH"/>
              </w:rPr>
            </w:pPr>
          </w:p>
        </w:tc>
      </w:tr>
      <w:tr w:rsidR="00376500" w:rsidRPr="00F0226F" w14:paraId="5279F19A" w14:textId="77777777" w:rsidTr="005728FB">
        <w:trPr>
          <w:trHeight w:val="20"/>
        </w:trPr>
        <w:tc>
          <w:tcPr>
            <w:tcW w:w="2074" w:type="dxa"/>
          </w:tcPr>
          <w:p w14:paraId="21713ADC" w14:textId="77777777" w:rsidR="00376500" w:rsidRPr="00F0226F" w:rsidRDefault="00376500" w:rsidP="005728FB">
            <w:pPr>
              <w:rPr>
                <w:b/>
                <w:bCs/>
                <w:lang w:val="fr-CH"/>
              </w:rPr>
            </w:pPr>
            <w:r>
              <w:rPr>
                <w:b/>
                <w:bCs/>
                <w:lang w:val="fr-CH"/>
              </w:rPr>
              <w:t>Protection absolue</w:t>
            </w:r>
          </w:p>
        </w:tc>
        <w:tc>
          <w:tcPr>
            <w:tcW w:w="7451" w:type="dxa"/>
          </w:tcPr>
          <w:p w14:paraId="0FEBDD2C" w14:textId="77777777" w:rsidR="00376500" w:rsidRPr="00F0226F" w:rsidRDefault="00376500" w:rsidP="00376500">
            <w:pPr>
              <w:rPr>
                <w:rFonts w:eastAsiaTheme="minorEastAsia"/>
                <w:lang w:val="fr-CH" w:eastAsia="en-US"/>
              </w:rPr>
            </w:pPr>
            <w:r>
              <w:rPr>
                <w:rFonts w:eastAsiaTheme="minorEastAsia"/>
                <w:lang w:val="fr-CH" w:eastAsia="en-US"/>
              </w:rPr>
              <w:t>Dans un tel cas de figure, le législateur a préalablement procédé à la pesée des intérêts en présence</w:t>
            </w:r>
            <w:r w:rsidRPr="00F0226F">
              <w:rPr>
                <w:rFonts w:eastAsiaTheme="minorEastAsia"/>
                <w:lang w:val="fr-CH" w:eastAsia="en-US"/>
              </w:rPr>
              <w:t xml:space="preserve">. </w:t>
            </w:r>
            <w:r>
              <w:rPr>
                <w:rFonts w:eastAsiaTheme="minorEastAsia"/>
                <w:lang w:val="fr-CH" w:eastAsia="en-US"/>
              </w:rPr>
              <w:t>La protection absolue ne laisse pas ou très peu de marge d’appréciation aux autorités chargées de l’application du droit. Les marais d’importance nationale, par exemple, en bénéficient</w:t>
            </w:r>
            <w:r w:rsidRPr="00F0226F">
              <w:rPr>
                <w:rFonts w:eastAsiaTheme="minorEastAsia"/>
                <w:lang w:val="fr-CH" w:eastAsia="en-US"/>
              </w:rPr>
              <w:t>.</w:t>
            </w:r>
          </w:p>
          <w:p w14:paraId="66908CE4" w14:textId="77777777" w:rsidR="00376500" w:rsidRPr="00F0226F" w:rsidRDefault="00376500" w:rsidP="00376500">
            <w:pPr>
              <w:rPr>
                <w:rFonts w:eastAsiaTheme="minorHAnsi"/>
                <w:lang w:val="fr-CH" w:eastAsia="en-US"/>
              </w:rPr>
            </w:pPr>
          </w:p>
        </w:tc>
      </w:tr>
      <w:tr w:rsidR="00376500" w:rsidRPr="00744798" w14:paraId="42AF982B" w14:textId="77777777" w:rsidTr="005728FB">
        <w:trPr>
          <w:trHeight w:val="20"/>
        </w:trPr>
        <w:tc>
          <w:tcPr>
            <w:tcW w:w="2074" w:type="dxa"/>
          </w:tcPr>
          <w:p w14:paraId="2B367491" w14:textId="77777777" w:rsidR="00376500" w:rsidRPr="00F0226F" w:rsidRDefault="00376500" w:rsidP="005728FB">
            <w:pPr>
              <w:rPr>
                <w:rFonts w:eastAsiaTheme="minorEastAsia"/>
                <w:b/>
                <w:bCs/>
                <w:lang w:val="fr-CH" w:eastAsia="en-US"/>
              </w:rPr>
            </w:pPr>
            <w:r>
              <w:rPr>
                <w:rFonts w:eastAsiaTheme="minorEastAsia"/>
                <w:b/>
                <w:bCs/>
                <w:lang w:val="fr-CH" w:eastAsia="en-US"/>
              </w:rPr>
              <w:t>Réhabilitation</w:t>
            </w:r>
          </w:p>
          <w:p w14:paraId="6322AD6C" w14:textId="77777777" w:rsidR="00376500" w:rsidRPr="00F0226F" w:rsidRDefault="00376500" w:rsidP="005728FB">
            <w:pPr>
              <w:rPr>
                <w:rFonts w:eastAsiaTheme="minorEastAsia"/>
                <w:b/>
                <w:lang w:val="fr-CH" w:eastAsia="en-US"/>
              </w:rPr>
            </w:pPr>
          </w:p>
        </w:tc>
        <w:tc>
          <w:tcPr>
            <w:tcW w:w="7451" w:type="dxa"/>
          </w:tcPr>
          <w:p w14:paraId="446404C4" w14:textId="77777777" w:rsidR="00376500" w:rsidRPr="00F0226F" w:rsidRDefault="00376500" w:rsidP="00376500">
            <w:pPr>
              <w:rPr>
                <w:lang w:val="fr-CH"/>
              </w:rPr>
            </w:pPr>
            <w:r>
              <w:rPr>
                <w:lang w:val="fr-CH"/>
              </w:rPr>
              <w:t>La remise en culture désigne la reconstitution d’un sol après une atteinte temporaire. Les sols endommagés par ex. par l’extraction de graviers, des anciennes décharges ou des routes peuvent être remis en culture. Cela signifie que leurs propriétés caractéristiques sont restaurées et qu’une utilisation adaptée et durable y est possible</w:t>
            </w:r>
            <w:r w:rsidRPr="00F0226F">
              <w:rPr>
                <w:lang w:val="fr-CH"/>
              </w:rPr>
              <w:t xml:space="preserve">. </w:t>
            </w:r>
            <w:r>
              <w:rPr>
                <w:lang w:val="fr-CH"/>
              </w:rPr>
              <w:t>Le plus important ici est de désimperméabiliser le sol</w:t>
            </w:r>
            <w:r w:rsidRPr="00F0226F">
              <w:rPr>
                <w:lang w:val="fr-CH"/>
              </w:rPr>
              <w:t>.</w:t>
            </w:r>
          </w:p>
          <w:p w14:paraId="4C17A8B2" w14:textId="77777777" w:rsidR="00376500" w:rsidRPr="00F0226F" w:rsidRDefault="00376500" w:rsidP="00376500">
            <w:pPr>
              <w:rPr>
                <w:rFonts w:eastAsiaTheme="minorEastAsia"/>
                <w:lang w:val="fr-CH" w:eastAsia="en-US"/>
              </w:rPr>
            </w:pPr>
          </w:p>
        </w:tc>
      </w:tr>
      <w:tr w:rsidR="00376500" w:rsidRPr="00B94A10" w14:paraId="1EBF555D" w14:textId="77777777" w:rsidTr="005728FB">
        <w:trPr>
          <w:trHeight w:val="20"/>
        </w:trPr>
        <w:tc>
          <w:tcPr>
            <w:tcW w:w="2074" w:type="dxa"/>
          </w:tcPr>
          <w:p w14:paraId="656D8BDA" w14:textId="77777777" w:rsidR="00376500" w:rsidRPr="00F0226F" w:rsidRDefault="00376500" w:rsidP="005728FB">
            <w:pPr>
              <w:rPr>
                <w:b/>
                <w:bCs/>
                <w:lang w:val="fr-CH"/>
              </w:rPr>
            </w:pPr>
            <w:r>
              <w:rPr>
                <w:b/>
                <w:bCs/>
                <w:lang w:val="fr-CH"/>
              </w:rPr>
              <w:t>Revalorisation</w:t>
            </w:r>
          </w:p>
          <w:p w14:paraId="369B090E" w14:textId="77777777" w:rsidR="00376500" w:rsidRPr="00F0226F" w:rsidRDefault="00376500" w:rsidP="005728FB">
            <w:pPr>
              <w:rPr>
                <w:b/>
                <w:lang w:val="fr-CH"/>
              </w:rPr>
            </w:pPr>
          </w:p>
        </w:tc>
        <w:tc>
          <w:tcPr>
            <w:tcW w:w="7451" w:type="dxa"/>
          </w:tcPr>
          <w:p w14:paraId="74B73646" w14:textId="77777777" w:rsidR="00376500" w:rsidRPr="00F0226F" w:rsidRDefault="00376500" w:rsidP="00376500">
            <w:pPr>
              <w:rPr>
                <w:lang w:val="fr-CH"/>
              </w:rPr>
            </w:pPr>
            <w:r>
              <w:rPr>
                <w:lang w:val="fr-CH"/>
              </w:rPr>
              <w:t>La revalorisation d’un sol désigne les mesures d’amélioration de sa capacité de rendement agricole</w:t>
            </w:r>
            <w:r w:rsidRPr="00F0226F">
              <w:rPr>
                <w:lang w:val="fr-CH"/>
              </w:rPr>
              <w:t xml:space="preserve">. </w:t>
            </w:r>
            <w:r>
              <w:rPr>
                <w:lang w:val="fr-CH"/>
              </w:rPr>
              <w:t>Cela comprend l’apport de terreau pour améliorer la qualité du sol ou pour simplifier son exploitation</w:t>
            </w:r>
            <w:r w:rsidRPr="00F0226F">
              <w:rPr>
                <w:lang w:val="fr-CH"/>
              </w:rPr>
              <w:t>.</w:t>
            </w:r>
          </w:p>
          <w:p w14:paraId="33AA139E" w14:textId="77777777" w:rsidR="00376500" w:rsidRPr="00F0226F" w:rsidRDefault="00376500" w:rsidP="00376500">
            <w:pPr>
              <w:rPr>
                <w:rFonts w:eastAsiaTheme="minorHAnsi"/>
                <w:lang w:val="fr-CH" w:eastAsia="en-US"/>
              </w:rPr>
            </w:pPr>
          </w:p>
        </w:tc>
      </w:tr>
      <w:tr w:rsidR="00376500" w:rsidRPr="00B94A10" w14:paraId="6F590778" w14:textId="77777777" w:rsidTr="005728FB">
        <w:trPr>
          <w:trHeight w:val="20"/>
        </w:trPr>
        <w:tc>
          <w:tcPr>
            <w:tcW w:w="2074" w:type="dxa"/>
          </w:tcPr>
          <w:p w14:paraId="2D3A96C5" w14:textId="77777777" w:rsidR="00376500" w:rsidRPr="00F0226F" w:rsidRDefault="00376500" w:rsidP="005728FB">
            <w:pPr>
              <w:rPr>
                <w:b/>
                <w:bCs/>
                <w:lang w:val="fr-CH"/>
              </w:rPr>
            </w:pPr>
            <w:r>
              <w:rPr>
                <w:b/>
                <w:bCs/>
                <w:lang w:val="fr-CH"/>
              </w:rPr>
              <w:t>Sollicitation/perte de</w:t>
            </w:r>
            <w:r w:rsidRPr="00F0226F">
              <w:rPr>
                <w:b/>
                <w:bCs/>
                <w:lang w:val="fr-CH"/>
              </w:rPr>
              <w:t xml:space="preserve"> </w:t>
            </w:r>
            <w:r>
              <w:rPr>
                <w:b/>
                <w:bCs/>
                <w:lang w:val="fr-CH"/>
              </w:rPr>
              <w:t>SDA</w:t>
            </w:r>
          </w:p>
        </w:tc>
        <w:tc>
          <w:tcPr>
            <w:tcW w:w="7451" w:type="dxa"/>
          </w:tcPr>
          <w:p w14:paraId="3BB6D012" w14:textId="77777777" w:rsidR="00376500" w:rsidRPr="00F0226F" w:rsidRDefault="00376500" w:rsidP="00376500">
            <w:pPr>
              <w:rPr>
                <w:lang w:val="fr-CH"/>
              </w:rPr>
            </w:pPr>
            <w:r>
              <w:rPr>
                <w:lang w:val="fr-CH"/>
              </w:rPr>
              <w:t>La perte de SDA</w:t>
            </w:r>
            <w:r w:rsidRPr="00F0226F">
              <w:rPr>
                <w:lang w:val="fr-CH"/>
              </w:rPr>
              <w:t xml:space="preserve"> (</w:t>
            </w:r>
            <w:r>
              <w:rPr>
                <w:lang w:val="fr-CH"/>
              </w:rPr>
              <w:t>par ex. en raison d’une construction</w:t>
            </w:r>
            <w:r w:rsidRPr="00F0226F">
              <w:rPr>
                <w:lang w:val="fr-CH"/>
              </w:rPr>
              <w:t xml:space="preserve">) </w:t>
            </w:r>
            <w:r>
              <w:rPr>
                <w:lang w:val="fr-CH"/>
              </w:rPr>
              <w:t xml:space="preserve">entraîne la destruction du sol ou une atteinte à la qualité SDA. Cette perte peut résulter d’utilisations agricoles ou non agricoles. Un classement en zone à bâtir entraîne une perte de SDA même si les sols ne sont pas encore construits ou dégradés. </w:t>
            </w:r>
          </w:p>
        </w:tc>
      </w:tr>
      <w:tr w:rsidR="00376500" w:rsidRPr="00B94A10" w14:paraId="6C1B32FA" w14:textId="77777777" w:rsidTr="005728FB">
        <w:trPr>
          <w:trHeight w:val="20"/>
        </w:trPr>
        <w:tc>
          <w:tcPr>
            <w:tcW w:w="2074" w:type="dxa"/>
          </w:tcPr>
          <w:p w14:paraId="45808AFE" w14:textId="77777777" w:rsidR="00376500" w:rsidRPr="00F0226F" w:rsidRDefault="00376500" w:rsidP="005728FB">
            <w:pPr>
              <w:rPr>
                <w:b/>
                <w:bCs/>
                <w:lang w:val="fr-CH"/>
              </w:rPr>
            </w:pPr>
            <w:r>
              <w:rPr>
                <w:b/>
                <w:bCs/>
                <w:lang w:val="fr-CH"/>
              </w:rPr>
              <w:t>Surfac</w:t>
            </w:r>
            <w:r w:rsidRPr="00F0226F">
              <w:rPr>
                <w:b/>
                <w:bCs/>
                <w:lang w:val="fr-CH"/>
              </w:rPr>
              <w:t>e</w:t>
            </w:r>
            <w:r>
              <w:rPr>
                <w:b/>
                <w:bCs/>
                <w:lang w:val="fr-CH"/>
              </w:rPr>
              <w:t xml:space="preserve"> agricole utile</w:t>
            </w:r>
            <w:r w:rsidRPr="00F0226F">
              <w:rPr>
                <w:b/>
                <w:bCs/>
                <w:lang w:val="fr-CH"/>
              </w:rPr>
              <w:t xml:space="preserve"> (</w:t>
            </w:r>
            <w:r>
              <w:rPr>
                <w:b/>
                <w:bCs/>
                <w:lang w:val="fr-CH"/>
              </w:rPr>
              <w:t>SAU</w:t>
            </w:r>
            <w:r w:rsidRPr="00F0226F">
              <w:rPr>
                <w:b/>
                <w:bCs/>
                <w:lang w:val="fr-CH"/>
              </w:rPr>
              <w:t>)</w:t>
            </w:r>
          </w:p>
        </w:tc>
        <w:tc>
          <w:tcPr>
            <w:tcW w:w="7451" w:type="dxa"/>
          </w:tcPr>
          <w:p w14:paraId="6F610A9C" w14:textId="77777777" w:rsidR="00376500" w:rsidRPr="00F0226F" w:rsidRDefault="00376500" w:rsidP="00376500">
            <w:pPr>
              <w:rPr>
                <w:b/>
                <w:bCs/>
                <w:lang w:val="fr-CH"/>
              </w:rPr>
            </w:pPr>
            <w:r>
              <w:rPr>
                <w:lang w:val="fr-CH"/>
              </w:rPr>
              <w:t>Par surface agricole utile (SAU), on entend la superficie d’une exploitation qui est affectée à la production végétale, à l’exclusion des surfaces d’estivage</w:t>
            </w:r>
            <w:r w:rsidRPr="00F0226F">
              <w:rPr>
                <w:lang w:val="fr-CH"/>
              </w:rPr>
              <w:t>.</w:t>
            </w:r>
            <w:r w:rsidRPr="00F0226F" w:rsidDel="00226217">
              <w:rPr>
                <w:lang w:val="fr-CH"/>
              </w:rPr>
              <w:t xml:space="preserve"> </w:t>
            </w:r>
            <w:r>
              <w:rPr>
                <w:lang w:val="fr-CH"/>
              </w:rPr>
              <w:t xml:space="preserve">Selon l’ordonnance sur la terminologie agricole </w:t>
            </w:r>
            <w:r w:rsidRPr="00F0226F">
              <w:rPr>
                <w:lang w:val="fr-CH"/>
              </w:rPr>
              <w:t>(</w:t>
            </w:r>
            <w:r>
              <w:rPr>
                <w:lang w:val="fr-CH"/>
              </w:rPr>
              <w:t>art.14 OTerm</w:t>
            </w:r>
            <w:r w:rsidRPr="00F0226F">
              <w:rPr>
                <w:lang w:val="fr-CH"/>
              </w:rPr>
              <w:t>)</w:t>
            </w:r>
            <w:r>
              <w:rPr>
                <w:lang w:val="fr-CH"/>
              </w:rPr>
              <w:t>, elle comprend les terres assolées, les surfaces herbagères permanentes, les surfaces à litière, les surfaces de cultures pérennes, les surfaces cultivées toute l’année sous abri</w:t>
            </w:r>
            <w:r w:rsidRPr="00F0226F">
              <w:rPr>
                <w:lang w:val="fr-CH"/>
              </w:rPr>
              <w:t xml:space="preserve"> (</w:t>
            </w:r>
            <w:r>
              <w:rPr>
                <w:lang w:val="fr-CH"/>
              </w:rPr>
              <w:t>serres, tunnels, châssis</w:t>
            </w:r>
            <w:r w:rsidRPr="00F0226F">
              <w:rPr>
                <w:lang w:val="fr-CH"/>
              </w:rPr>
              <w:t xml:space="preserve">) </w:t>
            </w:r>
            <w:r>
              <w:rPr>
                <w:lang w:val="fr-CH"/>
              </w:rPr>
              <w:t xml:space="preserve">et les surfaces sur lesquelles se trouvent des haies, des bosquets et des berges boisées </w:t>
            </w:r>
            <w:r w:rsidRPr="00F0226F">
              <w:rPr>
                <w:lang w:val="fr-CH"/>
              </w:rPr>
              <w:t>(</w:t>
            </w:r>
            <w:r>
              <w:rPr>
                <w:lang w:val="fr-CH"/>
              </w:rPr>
              <w:t>qui ne font pas partie de l’aire forestière au sens de la loi du 4 octobre 1991 sur les forêts</w:t>
            </w:r>
            <w:r w:rsidRPr="00F0226F">
              <w:rPr>
                <w:lang w:val="fr-CH"/>
              </w:rPr>
              <w:t xml:space="preserve"> [</w:t>
            </w:r>
            <w:r>
              <w:rPr>
                <w:lang w:val="fr-CH"/>
              </w:rPr>
              <w:t>LFo</w:t>
            </w:r>
            <w:r w:rsidRPr="00F0226F">
              <w:rPr>
                <w:lang w:val="fr-CH"/>
              </w:rPr>
              <w:t xml:space="preserve">]). </w:t>
            </w:r>
            <w:r>
              <w:rPr>
                <w:lang w:val="fr-CH"/>
              </w:rPr>
              <w:t>La SAU occupe</w:t>
            </w:r>
            <w:r w:rsidRPr="00F0226F">
              <w:rPr>
                <w:lang w:val="fr-CH"/>
              </w:rPr>
              <w:t xml:space="preserve"> 1</w:t>
            </w:r>
            <w:r>
              <w:rPr>
                <w:lang w:val="fr-CH"/>
              </w:rPr>
              <w:t>’</w:t>
            </w:r>
            <w:r w:rsidRPr="00F0226F">
              <w:rPr>
                <w:lang w:val="fr-CH"/>
              </w:rPr>
              <w:t>049</w:t>
            </w:r>
            <w:r>
              <w:rPr>
                <w:lang w:val="fr-CH"/>
              </w:rPr>
              <w:t>’</w:t>
            </w:r>
            <w:r w:rsidRPr="00F0226F">
              <w:rPr>
                <w:lang w:val="fr-CH"/>
              </w:rPr>
              <w:t>072 ha</w:t>
            </w:r>
            <w:r w:rsidRPr="00F0226F">
              <w:rPr>
                <w:rStyle w:val="Funotenzeichen"/>
                <w:sz w:val="18"/>
                <w:szCs w:val="18"/>
                <w:lang w:val="fr-CH"/>
              </w:rPr>
              <w:footnoteReference w:id="21"/>
            </w:r>
            <w:r>
              <w:rPr>
                <w:lang w:val="fr-CH"/>
              </w:rPr>
              <w:t xml:space="preserve">, soit environ </w:t>
            </w:r>
            <w:r w:rsidRPr="00F0226F">
              <w:rPr>
                <w:lang w:val="fr-CH"/>
              </w:rPr>
              <w:t>25% d</w:t>
            </w:r>
            <w:r>
              <w:rPr>
                <w:lang w:val="fr-CH"/>
              </w:rPr>
              <w:t>u territoire national</w:t>
            </w:r>
            <w:r w:rsidRPr="00F0226F">
              <w:rPr>
                <w:lang w:val="fr-CH"/>
              </w:rPr>
              <w:t xml:space="preserve"> (</w:t>
            </w:r>
            <w:r>
              <w:rPr>
                <w:lang w:val="fr-CH"/>
              </w:rPr>
              <w:t>état en</w:t>
            </w:r>
            <w:r w:rsidRPr="00F0226F">
              <w:rPr>
                <w:lang w:val="fr-CH"/>
              </w:rPr>
              <w:t xml:space="preserve"> 2016).</w:t>
            </w:r>
          </w:p>
          <w:p w14:paraId="78E108CA" w14:textId="77777777" w:rsidR="00376500" w:rsidRPr="00F0226F" w:rsidRDefault="00376500" w:rsidP="00376500">
            <w:pPr>
              <w:rPr>
                <w:lang w:val="fr-CH"/>
              </w:rPr>
            </w:pPr>
          </w:p>
        </w:tc>
      </w:tr>
      <w:tr w:rsidR="00376500" w:rsidRPr="00B94A10" w14:paraId="2E6B2CD2" w14:textId="77777777" w:rsidTr="005728FB">
        <w:trPr>
          <w:trHeight w:val="20"/>
        </w:trPr>
        <w:tc>
          <w:tcPr>
            <w:tcW w:w="2074" w:type="dxa"/>
          </w:tcPr>
          <w:p w14:paraId="6A7F9BED" w14:textId="77777777" w:rsidR="00376500" w:rsidRPr="00F0226F" w:rsidRDefault="00376500" w:rsidP="005728FB">
            <w:pPr>
              <w:rPr>
                <w:b/>
                <w:bCs/>
                <w:lang w:val="fr-CH"/>
              </w:rPr>
            </w:pPr>
            <w:r>
              <w:rPr>
                <w:rFonts w:eastAsiaTheme="minorEastAsia"/>
                <w:b/>
                <w:bCs/>
                <w:lang w:val="fr-CH" w:eastAsia="en-US"/>
              </w:rPr>
              <w:t>Surface minimale d’assolement</w:t>
            </w:r>
          </w:p>
        </w:tc>
        <w:tc>
          <w:tcPr>
            <w:tcW w:w="7451" w:type="dxa"/>
          </w:tcPr>
          <w:p w14:paraId="3C8DBDB9" w14:textId="77777777" w:rsidR="00376500" w:rsidRPr="00F0226F" w:rsidRDefault="00376500" w:rsidP="00376500">
            <w:pPr>
              <w:rPr>
                <w:rFonts w:eastAsiaTheme="minorEastAsia"/>
                <w:lang w:val="fr-CH" w:eastAsia="en-US"/>
              </w:rPr>
            </w:pPr>
            <w:r>
              <w:rPr>
                <w:rFonts w:eastAsiaTheme="minorEastAsia"/>
                <w:lang w:val="fr-CH" w:eastAsia="en-US"/>
              </w:rPr>
              <w:t>La surface totale minimale d’assolement que les cantons sont tenus de garantir durablement est de</w:t>
            </w:r>
            <w:r w:rsidRPr="00F0226F">
              <w:rPr>
                <w:rFonts w:eastAsiaTheme="minorEastAsia"/>
                <w:lang w:val="fr-CH" w:eastAsia="en-US"/>
              </w:rPr>
              <w:t xml:space="preserve"> 438'460 ha</w:t>
            </w:r>
            <w:r>
              <w:rPr>
                <w:rFonts w:eastAsiaTheme="minorEastAsia"/>
                <w:lang w:val="fr-CH" w:eastAsia="en-US"/>
              </w:rPr>
              <w:t xml:space="preserve"> pour toute la Suisse</w:t>
            </w:r>
            <w:r w:rsidRPr="00F0226F">
              <w:rPr>
                <w:rFonts w:eastAsiaTheme="minorEastAsia"/>
                <w:lang w:val="fr-CH" w:eastAsia="en-US"/>
              </w:rPr>
              <w:t>.</w:t>
            </w:r>
          </w:p>
          <w:p w14:paraId="24B427E4" w14:textId="77777777" w:rsidR="00376500" w:rsidRPr="00F0226F" w:rsidRDefault="00376500" w:rsidP="00376500">
            <w:pPr>
              <w:rPr>
                <w:lang w:val="fr-CH"/>
              </w:rPr>
            </w:pPr>
          </w:p>
        </w:tc>
      </w:tr>
      <w:tr w:rsidR="00376500" w:rsidRPr="00B94A10" w14:paraId="7D040E6E" w14:textId="77777777" w:rsidTr="005728FB">
        <w:trPr>
          <w:trHeight w:val="20"/>
        </w:trPr>
        <w:tc>
          <w:tcPr>
            <w:tcW w:w="2074" w:type="dxa"/>
          </w:tcPr>
          <w:p w14:paraId="60A349B5" w14:textId="77777777" w:rsidR="00376500" w:rsidRPr="00F0226F" w:rsidRDefault="00376500" w:rsidP="005728FB">
            <w:pPr>
              <w:spacing w:before="120"/>
              <w:rPr>
                <w:b/>
                <w:bCs/>
                <w:lang w:val="fr-CH"/>
              </w:rPr>
            </w:pPr>
            <w:r>
              <w:rPr>
                <w:b/>
                <w:bCs/>
                <w:lang w:val="fr-CH"/>
              </w:rPr>
              <w:lastRenderedPageBreak/>
              <w:t>Surfaces d’assolement</w:t>
            </w:r>
            <w:r w:rsidRPr="00F0226F">
              <w:rPr>
                <w:b/>
                <w:bCs/>
                <w:lang w:val="fr-CH"/>
              </w:rPr>
              <w:t xml:space="preserve"> (</w:t>
            </w:r>
            <w:r>
              <w:rPr>
                <w:b/>
                <w:bCs/>
                <w:lang w:val="fr-CH"/>
              </w:rPr>
              <w:t>SDA</w:t>
            </w:r>
            <w:r w:rsidRPr="00F0226F">
              <w:rPr>
                <w:b/>
                <w:bCs/>
                <w:lang w:val="fr-CH"/>
              </w:rPr>
              <w:t xml:space="preserve">) </w:t>
            </w:r>
          </w:p>
        </w:tc>
        <w:tc>
          <w:tcPr>
            <w:tcW w:w="7451" w:type="dxa"/>
          </w:tcPr>
          <w:p w14:paraId="734F814A" w14:textId="4AF78F85" w:rsidR="00376500" w:rsidRPr="00F0226F" w:rsidRDefault="00376500" w:rsidP="00376500">
            <w:pPr>
              <w:spacing w:before="120"/>
              <w:rPr>
                <w:lang w:val="fr-CH"/>
              </w:rPr>
            </w:pPr>
            <w:r>
              <w:rPr>
                <w:lang w:val="fr-CH"/>
              </w:rPr>
              <w:t>Les SDA constituent la part la plus précieuse de la surface agricole pour la production de denrées alimentaires</w:t>
            </w:r>
            <w:r w:rsidRPr="00F0226F">
              <w:rPr>
                <w:lang w:val="fr-CH"/>
              </w:rPr>
              <w:t>. S</w:t>
            </w:r>
            <w:r>
              <w:rPr>
                <w:lang w:val="fr-CH"/>
              </w:rPr>
              <w:t>elon l’a</w:t>
            </w:r>
            <w:r w:rsidRPr="00F0226F">
              <w:rPr>
                <w:lang w:val="fr-CH"/>
              </w:rPr>
              <w:t>rt</w:t>
            </w:r>
            <w:r>
              <w:rPr>
                <w:lang w:val="fr-CH"/>
              </w:rPr>
              <w:t>icle</w:t>
            </w:r>
            <w:r w:rsidRPr="00F0226F">
              <w:rPr>
                <w:lang w:val="fr-CH"/>
              </w:rPr>
              <w:t xml:space="preserve"> 26 </w:t>
            </w:r>
            <w:r>
              <w:rPr>
                <w:lang w:val="fr-CH"/>
              </w:rPr>
              <w:t>OAT, elles comprennent avant tout les terres ouvertes, les prairies artificielles intercalaires et les prairies naturelles arables</w:t>
            </w:r>
            <w:r w:rsidRPr="00F0226F">
              <w:rPr>
                <w:lang w:val="fr-CH"/>
              </w:rPr>
              <w:t>. (</w:t>
            </w:r>
            <w:r>
              <w:rPr>
                <w:lang w:val="fr-CH"/>
              </w:rPr>
              <w:t>Pour ce qui est de la qualité SDA des nouveaux relevés et des revalorisations/remises en culture,</w:t>
            </w:r>
            <w:r w:rsidRPr="00F0226F">
              <w:rPr>
                <w:lang w:val="fr-CH"/>
              </w:rPr>
              <w:t xml:space="preserve"> </w:t>
            </w:r>
            <w:r>
              <w:rPr>
                <w:lang w:val="fr-CH"/>
              </w:rPr>
              <w:t>voir</w:t>
            </w:r>
            <w:r w:rsidRPr="00F0226F">
              <w:rPr>
                <w:lang w:val="fr-CH"/>
              </w:rPr>
              <w:t xml:space="preserve"> </w:t>
            </w:r>
            <w:r w:rsidRPr="00F0226F">
              <w:rPr>
                <w:lang w:val="fr-CH"/>
              </w:rPr>
              <w:fldChar w:fldCharType="begin"/>
            </w:r>
            <w:r w:rsidRPr="00F0226F">
              <w:rPr>
                <w:lang w:val="fr-CH"/>
              </w:rPr>
              <w:instrText xml:space="preserve"> REF _Ref520123456 \r \h </w:instrText>
            </w:r>
            <w:r w:rsidRPr="00F0226F">
              <w:rPr>
                <w:lang w:val="fr-CH"/>
              </w:rPr>
            </w:r>
            <w:r w:rsidRPr="00F0226F">
              <w:rPr>
                <w:lang w:val="fr-CH"/>
              </w:rPr>
              <w:fldChar w:fldCharType="separate"/>
            </w:r>
            <w:r w:rsidR="001971CC">
              <w:rPr>
                <w:lang w:val="fr-CH"/>
              </w:rPr>
              <w:t>P6</w:t>
            </w:r>
            <w:r w:rsidRPr="00F0226F">
              <w:rPr>
                <w:lang w:val="fr-CH"/>
              </w:rPr>
              <w:fldChar w:fldCharType="end"/>
            </w:r>
            <w:r w:rsidRPr="00F0226F">
              <w:rPr>
                <w:lang w:val="fr-CH"/>
              </w:rPr>
              <w:t>)</w:t>
            </w:r>
          </w:p>
          <w:p w14:paraId="4C1FDA3C" w14:textId="77777777" w:rsidR="00376500" w:rsidRPr="00F0226F" w:rsidRDefault="00376500" w:rsidP="00376500">
            <w:pPr>
              <w:rPr>
                <w:lang w:val="fr-CH"/>
              </w:rPr>
            </w:pPr>
          </w:p>
        </w:tc>
      </w:tr>
      <w:tr w:rsidR="00376500" w:rsidRPr="00744798" w14:paraId="23236D2C" w14:textId="77777777" w:rsidTr="005728FB">
        <w:trPr>
          <w:trHeight w:val="20"/>
        </w:trPr>
        <w:tc>
          <w:tcPr>
            <w:tcW w:w="2074" w:type="dxa"/>
          </w:tcPr>
          <w:p w14:paraId="1FAA7B9D" w14:textId="77777777" w:rsidR="00376500" w:rsidRPr="00F0226F" w:rsidRDefault="00376500" w:rsidP="005728FB">
            <w:pPr>
              <w:rPr>
                <w:b/>
                <w:bCs/>
                <w:lang w:val="fr-CH"/>
              </w:rPr>
            </w:pPr>
            <w:r>
              <w:rPr>
                <w:b/>
                <w:bCs/>
                <w:lang w:val="fr-CH"/>
              </w:rPr>
              <w:t>Terres agricoles</w:t>
            </w:r>
          </w:p>
        </w:tc>
        <w:tc>
          <w:tcPr>
            <w:tcW w:w="7451" w:type="dxa"/>
          </w:tcPr>
          <w:p w14:paraId="6A54EE01" w14:textId="77777777" w:rsidR="00376500" w:rsidRPr="00F0226F" w:rsidRDefault="00376500" w:rsidP="00376500">
            <w:pPr>
              <w:rPr>
                <w:lang w:val="fr-CH"/>
              </w:rPr>
            </w:pPr>
            <w:r>
              <w:rPr>
                <w:lang w:val="fr-CH"/>
              </w:rPr>
              <w:t>Les terres agricoles comprennent l’ensemble des surfaces et des sols exploités et utilisés par l’agriculture</w:t>
            </w:r>
            <w:r w:rsidRPr="00F0226F">
              <w:rPr>
                <w:lang w:val="fr-CH"/>
              </w:rPr>
              <w:t xml:space="preserve">. </w:t>
            </w:r>
            <w:r>
              <w:rPr>
                <w:lang w:val="fr-CH"/>
              </w:rPr>
              <w:t>Elles englobent la surface agricole utile</w:t>
            </w:r>
            <w:r w:rsidRPr="00F0226F">
              <w:rPr>
                <w:lang w:val="fr-CH"/>
              </w:rPr>
              <w:t xml:space="preserve"> (</w:t>
            </w:r>
            <w:r>
              <w:rPr>
                <w:lang w:val="fr-CH"/>
              </w:rPr>
              <w:t>SAU</w:t>
            </w:r>
            <w:r w:rsidRPr="00F0226F">
              <w:rPr>
                <w:lang w:val="fr-CH"/>
              </w:rPr>
              <w:t xml:space="preserve">) </w:t>
            </w:r>
            <w:r>
              <w:rPr>
                <w:lang w:val="fr-CH"/>
              </w:rPr>
              <w:t>et les surfaces d’estivage</w:t>
            </w:r>
            <w:r w:rsidRPr="00F0226F">
              <w:rPr>
                <w:lang w:val="fr-CH"/>
              </w:rPr>
              <w:t xml:space="preserve">. </w:t>
            </w:r>
            <w:r>
              <w:rPr>
                <w:lang w:val="fr-CH"/>
              </w:rPr>
              <w:t xml:space="preserve">Selon les catégories appliquées par la statistique de la superficie </w:t>
            </w:r>
            <w:r w:rsidRPr="00F0226F">
              <w:rPr>
                <w:lang w:val="fr-CH"/>
              </w:rPr>
              <w:t>(</w:t>
            </w:r>
            <w:r>
              <w:rPr>
                <w:lang w:val="fr-CH"/>
              </w:rPr>
              <w:t>O</w:t>
            </w:r>
            <w:r w:rsidRPr="00F0226F">
              <w:rPr>
                <w:lang w:val="fr-CH"/>
              </w:rPr>
              <w:t>FS)</w:t>
            </w:r>
            <w:r>
              <w:rPr>
                <w:lang w:val="fr-CH"/>
              </w:rPr>
              <w:t>, elles comprennent les prés et les terres arables, les pâturages, les plantations fruitières, viticoles et horticoles ainsi que les alpages</w:t>
            </w:r>
            <w:r w:rsidRPr="00F0226F">
              <w:rPr>
                <w:lang w:val="fr-CH"/>
              </w:rPr>
              <w:t xml:space="preserve">. </w:t>
            </w:r>
            <w:r>
              <w:rPr>
                <w:lang w:val="fr-CH"/>
              </w:rPr>
              <w:t>Elles occupent</w:t>
            </w:r>
            <w:r w:rsidRPr="00F0226F">
              <w:rPr>
                <w:lang w:val="fr-CH"/>
              </w:rPr>
              <w:t xml:space="preserve"> 1</w:t>
            </w:r>
            <w:r>
              <w:rPr>
                <w:lang w:val="fr-CH"/>
              </w:rPr>
              <w:t>’</w:t>
            </w:r>
            <w:r w:rsidRPr="00F0226F">
              <w:rPr>
                <w:lang w:val="fr-CH"/>
              </w:rPr>
              <w:t>481'669 ha</w:t>
            </w:r>
            <w:r w:rsidRPr="00F0226F">
              <w:rPr>
                <w:rStyle w:val="Funotenzeichen"/>
                <w:sz w:val="18"/>
                <w:szCs w:val="18"/>
                <w:lang w:val="fr-CH"/>
              </w:rPr>
              <w:footnoteReference w:id="22"/>
            </w:r>
            <w:r>
              <w:rPr>
                <w:lang w:val="fr-CH"/>
              </w:rPr>
              <w:t>, soit environ</w:t>
            </w:r>
            <w:r w:rsidRPr="00F0226F">
              <w:rPr>
                <w:lang w:val="fr-CH"/>
              </w:rPr>
              <w:t xml:space="preserve"> 36% </w:t>
            </w:r>
            <w:r>
              <w:rPr>
                <w:lang w:val="fr-CH"/>
              </w:rPr>
              <w:t>du territoire national</w:t>
            </w:r>
            <w:r w:rsidRPr="00F0226F">
              <w:rPr>
                <w:lang w:val="fr-CH"/>
              </w:rPr>
              <w:t>.</w:t>
            </w:r>
          </w:p>
          <w:p w14:paraId="573B9080" w14:textId="77777777" w:rsidR="00376500" w:rsidRPr="00F0226F" w:rsidRDefault="00376500" w:rsidP="00376500">
            <w:pPr>
              <w:rPr>
                <w:lang w:val="fr-CH"/>
              </w:rPr>
            </w:pPr>
          </w:p>
        </w:tc>
      </w:tr>
    </w:tbl>
    <w:p w14:paraId="447FD35B" w14:textId="77777777" w:rsidR="00BE272D" w:rsidRPr="00F0226F" w:rsidRDefault="00BE272D" w:rsidP="00BE272D">
      <w:pPr>
        <w:rPr>
          <w:lang w:val="fr-CH"/>
        </w:rPr>
      </w:pPr>
    </w:p>
    <w:p w14:paraId="76DC3427" w14:textId="77777777" w:rsidR="00BE272D" w:rsidRPr="00F0226F" w:rsidRDefault="00BE272D" w:rsidP="00BE272D">
      <w:pPr>
        <w:rPr>
          <w:lang w:val="fr-CH"/>
        </w:rPr>
      </w:pPr>
    </w:p>
    <w:p w14:paraId="670C131B" w14:textId="5FC5DCAF" w:rsidR="00BE272D" w:rsidRDefault="00BE272D">
      <w:pPr>
        <w:spacing w:after="160" w:line="259" w:lineRule="auto"/>
        <w:rPr>
          <w:lang w:val="fr-CH"/>
        </w:rPr>
      </w:pPr>
      <w:r>
        <w:rPr>
          <w:lang w:val="fr-CH"/>
        </w:rPr>
        <w:br w:type="page"/>
      </w:r>
    </w:p>
    <w:p w14:paraId="44B01811" w14:textId="77777777" w:rsidR="00BE272D" w:rsidRPr="00BE272D" w:rsidRDefault="00BE272D" w:rsidP="00E821AA">
      <w:pPr>
        <w:rPr>
          <w:lang w:val="fr-CH"/>
        </w:rPr>
      </w:pPr>
    </w:p>
    <w:p w14:paraId="78425943" w14:textId="1F6E85BE" w:rsidR="0092302B" w:rsidRPr="0092302B" w:rsidRDefault="00BE272D" w:rsidP="00BE272D">
      <w:pPr>
        <w:pStyle w:val="berschrift2"/>
        <w:rPr>
          <w:lang w:val="fr-CH"/>
        </w:rPr>
      </w:pPr>
      <w:bookmarkStart w:id="134" w:name="_Toc532996383"/>
      <w:r>
        <w:rPr>
          <w:lang w:val="fr-CH"/>
        </w:rPr>
        <w:t>Liste des abréviations</w:t>
      </w:r>
      <w:bookmarkEnd w:id="134"/>
    </w:p>
    <w:p w14:paraId="6AE8587C" w14:textId="77777777" w:rsidR="00D94598" w:rsidRPr="00F0226F" w:rsidRDefault="00D94598" w:rsidP="00D94598">
      <w:pPr>
        <w:rPr>
          <w:lang w:val="fr-CH"/>
        </w:rPr>
      </w:pP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271"/>
        <w:gridCol w:w="8222"/>
      </w:tblGrid>
      <w:tr w:rsidR="00451EDE" w:rsidRPr="00B94A10" w14:paraId="50E8517E" w14:textId="77777777" w:rsidTr="29D59492">
        <w:tc>
          <w:tcPr>
            <w:tcW w:w="1271" w:type="dxa"/>
            <w:shd w:val="clear" w:color="auto" w:fill="auto"/>
          </w:tcPr>
          <w:p w14:paraId="2BEBCFC7" w14:textId="3D4F29B6" w:rsidR="00451EDE" w:rsidRPr="00F0226F" w:rsidRDefault="00451EDE" w:rsidP="00087AD3">
            <w:pPr>
              <w:spacing w:before="240"/>
              <w:rPr>
                <w:rFonts w:cs="Arial"/>
                <w:sz w:val="19"/>
                <w:szCs w:val="19"/>
                <w:lang w:val="fr-CH"/>
              </w:rPr>
            </w:pPr>
            <w:r w:rsidRPr="00F0226F">
              <w:rPr>
                <w:rFonts w:cs="Arial"/>
                <w:sz w:val="19"/>
                <w:szCs w:val="19"/>
                <w:lang w:val="fr-CH"/>
              </w:rPr>
              <w:t>Agristat</w:t>
            </w:r>
          </w:p>
        </w:tc>
        <w:tc>
          <w:tcPr>
            <w:tcW w:w="8222" w:type="dxa"/>
            <w:shd w:val="clear" w:color="auto" w:fill="auto"/>
          </w:tcPr>
          <w:p w14:paraId="108ECA01" w14:textId="55C26652" w:rsidR="007C540C" w:rsidRPr="00F0226F" w:rsidRDefault="00903FFD" w:rsidP="00087AD3">
            <w:pPr>
              <w:spacing w:before="240"/>
              <w:rPr>
                <w:rFonts w:cs="Arial"/>
                <w:sz w:val="19"/>
                <w:szCs w:val="19"/>
                <w:lang w:val="fr-CH"/>
              </w:rPr>
            </w:pPr>
            <w:r w:rsidRPr="00F0226F">
              <w:rPr>
                <w:rFonts w:cs="Arial"/>
                <w:sz w:val="19"/>
                <w:szCs w:val="19"/>
                <w:lang w:val="fr-CH"/>
              </w:rPr>
              <w:t>S</w:t>
            </w:r>
            <w:r w:rsidR="00963FE4">
              <w:rPr>
                <w:rFonts w:cs="Arial"/>
                <w:sz w:val="19"/>
                <w:szCs w:val="19"/>
                <w:lang w:val="fr-CH"/>
              </w:rPr>
              <w:t xml:space="preserve">ervice </w:t>
            </w:r>
            <w:r w:rsidRPr="00F0226F">
              <w:rPr>
                <w:rFonts w:cs="Arial"/>
                <w:sz w:val="19"/>
                <w:szCs w:val="19"/>
                <w:lang w:val="fr-CH"/>
              </w:rPr>
              <w:t>s</w:t>
            </w:r>
            <w:r w:rsidR="00963FE4">
              <w:rPr>
                <w:rFonts w:cs="Arial"/>
                <w:sz w:val="19"/>
                <w:szCs w:val="19"/>
                <w:lang w:val="fr-CH"/>
              </w:rPr>
              <w:t>tatistique de l’Union suisse des paysans</w:t>
            </w:r>
          </w:p>
        </w:tc>
      </w:tr>
      <w:tr w:rsidR="00D94598" w:rsidRPr="00B94A10" w14:paraId="157B6416" w14:textId="77777777" w:rsidTr="29D59492">
        <w:tc>
          <w:tcPr>
            <w:tcW w:w="1271" w:type="dxa"/>
            <w:shd w:val="clear" w:color="auto" w:fill="auto"/>
          </w:tcPr>
          <w:p w14:paraId="2A778BDC" w14:textId="77777777" w:rsidR="00D94598" w:rsidRPr="00F0226F" w:rsidRDefault="325E5E49" w:rsidP="00087AD3">
            <w:pPr>
              <w:spacing w:before="240"/>
              <w:rPr>
                <w:rFonts w:cs="Arial"/>
                <w:sz w:val="19"/>
                <w:szCs w:val="19"/>
                <w:lang w:val="fr-CH"/>
              </w:rPr>
            </w:pPr>
            <w:r w:rsidRPr="00F0226F">
              <w:rPr>
                <w:rFonts w:cs="Arial"/>
                <w:sz w:val="19"/>
                <w:szCs w:val="19"/>
                <w:lang w:val="fr-CH"/>
              </w:rPr>
              <w:t>ARE</w:t>
            </w:r>
          </w:p>
        </w:tc>
        <w:tc>
          <w:tcPr>
            <w:tcW w:w="8222" w:type="dxa"/>
            <w:shd w:val="clear" w:color="auto" w:fill="auto"/>
          </w:tcPr>
          <w:p w14:paraId="473D4B37" w14:textId="40A790B2" w:rsidR="00D94598" w:rsidRPr="00F0226F" w:rsidRDefault="00963FE4" w:rsidP="00087AD3">
            <w:pPr>
              <w:spacing w:before="240"/>
              <w:rPr>
                <w:rFonts w:cs="Arial"/>
                <w:sz w:val="19"/>
                <w:szCs w:val="19"/>
                <w:lang w:val="fr-CH"/>
              </w:rPr>
            </w:pPr>
            <w:r>
              <w:rPr>
                <w:rFonts w:cs="Arial"/>
                <w:sz w:val="19"/>
                <w:szCs w:val="19"/>
                <w:lang w:val="fr-CH"/>
              </w:rPr>
              <w:t>Office fédéral du développement territorial</w:t>
            </w:r>
            <w:r w:rsidR="00451EDE" w:rsidRPr="00F0226F">
              <w:rPr>
                <w:rFonts w:cs="Arial"/>
                <w:sz w:val="19"/>
                <w:szCs w:val="19"/>
                <w:lang w:val="fr-CH"/>
              </w:rPr>
              <w:t xml:space="preserve"> (</w:t>
            </w:r>
            <w:r>
              <w:rPr>
                <w:rFonts w:cs="Arial"/>
                <w:sz w:val="19"/>
                <w:szCs w:val="19"/>
                <w:lang w:val="fr-CH"/>
              </w:rPr>
              <w:t xml:space="preserve">avant </w:t>
            </w:r>
            <w:r w:rsidR="00451EDE" w:rsidRPr="00F0226F">
              <w:rPr>
                <w:rFonts w:cs="Arial"/>
                <w:sz w:val="19"/>
                <w:szCs w:val="19"/>
                <w:lang w:val="fr-CH"/>
              </w:rPr>
              <w:t>2000</w:t>
            </w:r>
            <w:r>
              <w:rPr>
                <w:rFonts w:cs="Arial"/>
                <w:sz w:val="19"/>
                <w:szCs w:val="19"/>
                <w:lang w:val="fr-CH"/>
              </w:rPr>
              <w:t> : Office fédéral de l’aménagement du territoire</w:t>
            </w:r>
            <w:r w:rsidR="00451EDE" w:rsidRPr="00F0226F">
              <w:rPr>
                <w:rFonts w:cs="Arial"/>
                <w:sz w:val="19"/>
                <w:szCs w:val="19"/>
                <w:lang w:val="fr-CH"/>
              </w:rPr>
              <w:t xml:space="preserve"> </w:t>
            </w:r>
            <w:r>
              <w:rPr>
                <w:rFonts w:cs="Arial"/>
                <w:sz w:val="19"/>
                <w:szCs w:val="19"/>
                <w:lang w:val="fr-CH"/>
              </w:rPr>
              <w:t>OFAT</w:t>
            </w:r>
            <w:r w:rsidR="00451EDE" w:rsidRPr="00F0226F">
              <w:rPr>
                <w:rFonts w:cs="Arial"/>
                <w:sz w:val="19"/>
                <w:szCs w:val="19"/>
                <w:lang w:val="fr-CH"/>
              </w:rPr>
              <w:t>)</w:t>
            </w:r>
          </w:p>
        </w:tc>
      </w:tr>
      <w:tr w:rsidR="00F052B8" w:rsidRPr="00F0226F" w14:paraId="164E1EE7" w14:textId="77777777" w:rsidTr="29D59492">
        <w:tc>
          <w:tcPr>
            <w:tcW w:w="1271" w:type="dxa"/>
            <w:shd w:val="clear" w:color="auto" w:fill="auto"/>
          </w:tcPr>
          <w:p w14:paraId="2BCB022D" w14:textId="24284600" w:rsidR="00F052B8" w:rsidRPr="00F0226F" w:rsidRDefault="00963FE4" w:rsidP="00087AD3">
            <w:pPr>
              <w:spacing w:before="240"/>
              <w:rPr>
                <w:rFonts w:cs="Arial"/>
                <w:sz w:val="19"/>
                <w:szCs w:val="19"/>
                <w:lang w:val="fr-CH"/>
              </w:rPr>
            </w:pPr>
            <w:r>
              <w:rPr>
                <w:rFonts w:cs="Arial"/>
                <w:sz w:val="19"/>
                <w:szCs w:val="19"/>
                <w:lang w:val="fr-CH"/>
              </w:rPr>
              <w:t>OFROU</w:t>
            </w:r>
          </w:p>
        </w:tc>
        <w:tc>
          <w:tcPr>
            <w:tcW w:w="8222" w:type="dxa"/>
            <w:shd w:val="clear" w:color="auto" w:fill="auto"/>
          </w:tcPr>
          <w:p w14:paraId="261F3557" w14:textId="1FCCC82F" w:rsidR="00F052B8" w:rsidRPr="00F0226F" w:rsidRDefault="00963FE4" w:rsidP="00087AD3">
            <w:pPr>
              <w:spacing w:before="240"/>
              <w:rPr>
                <w:rFonts w:cs="Arial"/>
                <w:sz w:val="19"/>
                <w:szCs w:val="19"/>
                <w:lang w:val="fr-CH"/>
              </w:rPr>
            </w:pPr>
            <w:r>
              <w:rPr>
                <w:rFonts w:cs="Arial"/>
                <w:sz w:val="19"/>
                <w:szCs w:val="19"/>
                <w:lang w:val="fr-CH"/>
              </w:rPr>
              <w:t>Office fédéral des routes</w:t>
            </w:r>
          </w:p>
        </w:tc>
      </w:tr>
      <w:tr w:rsidR="00B204AE" w:rsidRPr="00F0226F" w14:paraId="7288E67B" w14:textId="77777777" w:rsidTr="29D59492">
        <w:tc>
          <w:tcPr>
            <w:tcW w:w="1271" w:type="dxa"/>
            <w:shd w:val="clear" w:color="auto" w:fill="auto"/>
          </w:tcPr>
          <w:p w14:paraId="1B2342F7" w14:textId="08918BB5" w:rsidR="00B204AE" w:rsidRPr="00F0226F" w:rsidRDefault="00963FE4" w:rsidP="00087AD3">
            <w:pPr>
              <w:spacing w:before="240"/>
              <w:rPr>
                <w:rFonts w:cs="Arial"/>
                <w:sz w:val="19"/>
                <w:szCs w:val="19"/>
                <w:lang w:val="fr-CH"/>
              </w:rPr>
            </w:pPr>
            <w:r>
              <w:rPr>
                <w:rFonts w:cs="Arial"/>
                <w:sz w:val="19"/>
                <w:szCs w:val="19"/>
                <w:lang w:val="fr-CH"/>
              </w:rPr>
              <w:t>OFEV</w:t>
            </w:r>
          </w:p>
        </w:tc>
        <w:tc>
          <w:tcPr>
            <w:tcW w:w="8222" w:type="dxa"/>
            <w:shd w:val="clear" w:color="auto" w:fill="auto"/>
          </w:tcPr>
          <w:p w14:paraId="32CCB6AD" w14:textId="07B1E21A" w:rsidR="00B204AE" w:rsidRPr="00F0226F" w:rsidRDefault="00963FE4" w:rsidP="00087AD3">
            <w:pPr>
              <w:spacing w:before="240"/>
              <w:rPr>
                <w:rFonts w:cs="Arial"/>
                <w:sz w:val="19"/>
                <w:szCs w:val="19"/>
                <w:lang w:val="fr-CH"/>
              </w:rPr>
            </w:pPr>
            <w:r>
              <w:rPr>
                <w:rFonts w:cs="Arial"/>
                <w:sz w:val="19"/>
                <w:szCs w:val="19"/>
                <w:lang w:val="fr-CH"/>
              </w:rPr>
              <w:t>Office fédéral de l’environnement</w:t>
            </w:r>
          </w:p>
        </w:tc>
      </w:tr>
      <w:tr w:rsidR="00F052B8" w:rsidRPr="00F0226F" w14:paraId="79AF9DFA" w14:textId="77777777" w:rsidTr="29D59492">
        <w:tc>
          <w:tcPr>
            <w:tcW w:w="1271" w:type="dxa"/>
            <w:shd w:val="clear" w:color="auto" w:fill="auto"/>
          </w:tcPr>
          <w:p w14:paraId="74D54B6E" w14:textId="2FCC342A" w:rsidR="00F052B8" w:rsidRPr="00F0226F" w:rsidRDefault="00963FE4" w:rsidP="00087AD3">
            <w:pPr>
              <w:spacing w:before="240"/>
              <w:rPr>
                <w:rFonts w:cs="Arial"/>
                <w:sz w:val="19"/>
                <w:szCs w:val="19"/>
                <w:lang w:val="fr-CH"/>
              </w:rPr>
            </w:pPr>
            <w:r>
              <w:rPr>
                <w:rFonts w:cs="Arial"/>
                <w:sz w:val="19"/>
                <w:szCs w:val="19"/>
                <w:lang w:val="fr-CH"/>
              </w:rPr>
              <w:t>OFT</w:t>
            </w:r>
          </w:p>
        </w:tc>
        <w:tc>
          <w:tcPr>
            <w:tcW w:w="8222" w:type="dxa"/>
            <w:shd w:val="clear" w:color="auto" w:fill="auto"/>
          </w:tcPr>
          <w:p w14:paraId="35BB9E2B" w14:textId="1F693F4C" w:rsidR="00F052B8" w:rsidRPr="00F0226F" w:rsidRDefault="00963FE4" w:rsidP="00087AD3">
            <w:pPr>
              <w:spacing w:before="240"/>
              <w:rPr>
                <w:rFonts w:cs="Arial"/>
                <w:sz w:val="19"/>
                <w:szCs w:val="19"/>
                <w:lang w:val="fr-CH"/>
              </w:rPr>
            </w:pPr>
            <w:r>
              <w:rPr>
                <w:rFonts w:cs="Arial"/>
                <w:sz w:val="19"/>
                <w:szCs w:val="19"/>
                <w:lang w:val="fr-CH"/>
              </w:rPr>
              <w:t>Office fédéral des transports</w:t>
            </w:r>
          </w:p>
        </w:tc>
      </w:tr>
      <w:tr w:rsidR="00F052B8" w:rsidRPr="00B94A10" w14:paraId="5E3E7264" w14:textId="77777777" w:rsidTr="29D59492">
        <w:tc>
          <w:tcPr>
            <w:tcW w:w="1271" w:type="dxa"/>
            <w:shd w:val="clear" w:color="auto" w:fill="auto"/>
          </w:tcPr>
          <w:p w14:paraId="2D09E2EA" w14:textId="53E704A1" w:rsidR="00F052B8" w:rsidRPr="00F0226F" w:rsidRDefault="00963FE4" w:rsidP="00087AD3">
            <w:pPr>
              <w:spacing w:before="240"/>
              <w:rPr>
                <w:rFonts w:cs="Arial"/>
                <w:sz w:val="19"/>
                <w:szCs w:val="19"/>
                <w:lang w:val="fr-CH"/>
              </w:rPr>
            </w:pPr>
            <w:r>
              <w:rPr>
                <w:rFonts w:cs="Arial"/>
                <w:sz w:val="19"/>
                <w:szCs w:val="19"/>
                <w:lang w:val="fr-CH"/>
              </w:rPr>
              <w:t>OFAC</w:t>
            </w:r>
          </w:p>
        </w:tc>
        <w:tc>
          <w:tcPr>
            <w:tcW w:w="8222" w:type="dxa"/>
            <w:shd w:val="clear" w:color="auto" w:fill="auto"/>
          </w:tcPr>
          <w:p w14:paraId="6F530046" w14:textId="51339187" w:rsidR="00F052B8" w:rsidRPr="00F0226F" w:rsidRDefault="00963FE4" w:rsidP="00087AD3">
            <w:pPr>
              <w:spacing w:before="240"/>
              <w:rPr>
                <w:rFonts w:cs="Arial"/>
                <w:sz w:val="19"/>
                <w:szCs w:val="19"/>
                <w:lang w:val="fr-CH"/>
              </w:rPr>
            </w:pPr>
            <w:r>
              <w:rPr>
                <w:rFonts w:cs="Arial"/>
                <w:sz w:val="19"/>
                <w:szCs w:val="19"/>
                <w:lang w:val="fr-CH"/>
              </w:rPr>
              <w:t>Office fédéral de l’aviation civile</w:t>
            </w:r>
          </w:p>
        </w:tc>
      </w:tr>
      <w:tr w:rsidR="006279CE" w:rsidRPr="00F0226F" w14:paraId="7217068D" w14:textId="77777777" w:rsidTr="29D59492">
        <w:tc>
          <w:tcPr>
            <w:tcW w:w="1271" w:type="dxa"/>
            <w:shd w:val="clear" w:color="auto" w:fill="auto"/>
          </w:tcPr>
          <w:p w14:paraId="73E0EC2B" w14:textId="6FA42CE4" w:rsidR="006279CE" w:rsidRPr="00F0226F" w:rsidRDefault="00963FE4" w:rsidP="00087AD3">
            <w:pPr>
              <w:spacing w:before="240"/>
              <w:rPr>
                <w:rFonts w:cs="Arial"/>
                <w:sz w:val="19"/>
                <w:szCs w:val="19"/>
                <w:lang w:val="fr-CH"/>
              </w:rPr>
            </w:pPr>
            <w:r>
              <w:rPr>
                <w:rFonts w:cs="Arial"/>
                <w:sz w:val="19"/>
                <w:szCs w:val="19"/>
                <w:lang w:val="fr-CH"/>
              </w:rPr>
              <w:t>FF</w:t>
            </w:r>
          </w:p>
        </w:tc>
        <w:tc>
          <w:tcPr>
            <w:tcW w:w="8222" w:type="dxa"/>
            <w:shd w:val="clear" w:color="auto" w:fill="auto"/>
          </w:tcPr>
          <w:p w14:paraId="16D12F7A" w14:textId="3DA20579" w:rsidR="006279CE" w:rsidRPr="00F0226F" w:rsidRDefault="00963FE4" w:rsidP="00087AD3">
            <w:pPr>
              <w:spacing w:before="240"/>
              <w:rPr>
                <w:rFonts w:cs="Arial"/>
                <w:sz w:val="19"/>
                <w:szCs w:val="19"/>
                <w:lang w:val="fr-CH"/>
              </w:rPr>
            </w:pPr>
            <w:r>
              <w:rPr>
                <w:rFonts w:cs="Arial"/>
                <w:sz w:val="19"/>
                <w:szCs w:val="19"/>
                <w:lang w:val="fr-CH"/>
              </w:rPr>
              <w:t>Feuille fédérale</w:t>
            </w:r>
          </w:p>
        </w:tc>
      </w:tr>
      <w:tr w:rsidR="00F052B8" w:rsidRPr="00F0226F" w14:paraId="106B00F6" w14:textId="77777777" w:rsidTr="29D59492">
        <w:tc>
          <w:tcPr>
            <w:tcW w:w="1271" w:type="dxa"/>
            <w:shd w:val="clear" w:color="auto" w:fill="auto"/>
          </w:tcPr>
          <w:p w14:paraId="5D42032D" w14:textId="7E715371" w:rsidR="00F052B8" w:rsidRPr="00F0226F" w:rsidRDefault="00963FE4" w:rsidP="00087AD3">
            <w:pPr>
              <w:spacing w:before="240"/>
              <w:rPr>
                <w:rFonts w:cs="Arial"/>
                <w:sz w:val="19"/>
                <w:szCs w:val="19"/>
                <w:lang w:val="fr-CH"/>
              </w:rPr>
            </w:pPr>
            <w:r>
              <w:rPr>
                <w:rFonts w:cs="Arial"/>
                <w:sz w:val="19"/>
                <w:szCs w:val="19"/>
                <w:lang w:val="fr-CH"/>
              </w:rPr>
              <w:t>OFEN</w:t>
            </w:r>
          </w:p>
        </w:tc>
        <w:tc>
          <w:tcPr>
            <w:tcW w:w="8222" w:type="dxa"/>
            <w:shd w:val="clear" w:color="auto" w:fill="auto"/>
          </w:tcPr>
          <w:p w14:paraId="4880CDFB" w14:textId="7DC76719" w:rsidR="00F052B8" w:rsidRPr="00F0226F" w:rsidRDefault="00963FE4" w:rsidP="00087AD3">
            <w:pPr>
              <w:spacing w:before="240"/>
              <w:rPr>
                <w:rFonts w:cs="Arial"/>
                <w:sz w:val="19"/>
                <w:szCs w:val="19"/>
                <w:lang w:val="fr-CH"/>
              </w:rPr>
            </w:pPr>
            <w:r>
              <w:rPr>
                <w:rFonts w:cs="Arial"/>
                <w:sz w:val="19"/>
                <w:szCs w:val="19"/>
                <w:lang w:val="fr-CH"/>
              </w:rPr>
              <w:t>Office fédéral de l’énergie</w:t>
            </w:r>
          </w:p>
        </w:tc>
      </w:tr>
      <w:tr w:rsidR="00093244" w:rsidRPr="00B94A10" w14:paraId="272BEF0B" w14:textId="77777777" w:rsidTr="29D59492">
        <w:tc>
          <w:tcPr>
            <w:tcW w:w="1271" w:type="dxa"/>
            <w:shd w:val="clear" w:color="auto" w:fill="auto"/>
          </w:tcPr>
          <w:p w14:paraId="721E2952" w14:textId="4540963D" w:rsidR="00093244" w:rsidRPr="00F0226F" w:rsidRDefault="001876B4" w:rsidP="00087AD3">
            <w:pPr>
              <w:spacing w:before="240"/>
              <w:rPr>
                <w:rFonts w:cs="Arial"/>
                <w:sz w:val="19"/>
                <w:szCs w:val="19"/>
                <w:lang w:val="fr-CH"/>
              </w:rPr>
            </w:pPr>
            <w:r>
              <w:rPr>
                <w:rFonts w:cs="Arial"/>
                <w:sz w:val="19"/>
                <w:szCs w:val="19"/>
                <w:lang w:val="fr-CH"/>
              </w:rPr>
              <w:t>LDFR</w:t>
            </w:r>
          </w:p>
        </w:tc>
        <w:tc>
          <w:tcPr>
            <w:tcW w:w="8222" w:type="dxa"/>
            <w:shd w:val="clear" w:color="auto" w:fill="auto"/>
          </w:tcPr>
          <w:p w14:paraId="0A2421A8" w14:textId="166A7FF3" w:rsidR="00093244" w:rsidRPr="00F0226F" w:rsidRDefault="001876B4" w:rsidP="00087AD3">
            <w:pPr>
              <w:spacing w:before="240"/>
              <w:rPr>
                <w:rFonts w:cs="Arial"/>
                <w:sz w:val="19"/>
                <w:szCs w:val="19"/>
                <w:lang w:val="fr-CH"/>
              </w:rPr>
            </w:pPr>
            <w:r>
              <w:rPr>
                <w:rFonts w:cs="Arial"/>
                <w:sz w:val="19"/>
                <w:szCs w:val="19"/>
                <w:lang w:val="fr-CH"/>
              </w:rPr>
              <w:t>Loi fédérale du 4 octobre</w:t>
            </w:r>
            <w:r w:rsidR="00093244" w:rsidRPr="00F0226F">
              <w:rPr>
                <w:rFonts w:cs="Arial"/>
                <w:sz w:val="19"/>
                <w:szCs w:val="19"/>
                <w:lang w:val="fr-CH"/>
              </w:rPr>
              <w:t xml:space="preserve"> 1991</w:t>
            </w:r>
            <w:r>
              <w:rPr>
                <w:rFonts w:cs="Arial"/>
                <w:sz w:val="19"/>
                <w:szCs w:val="19"/>
                <w:lang w:val="fr-CH"/>
              </w:rPr>
              <w:t xml:space="preserve"> sur le droit foncier rural </w:t>
            </w:r>
            <w:r w:rsidR="00093244" w:rsidRPr="00F0226F">
              <w:rPr>
                <w:rFonts w:cs="Arial"/>
                <w:sz w:val="19"/>
                <w:szCs w:val="19"/>
                <w:lang w:val="fr-CH"/>
              </w:rPr>
              <w:t xml:space="preserve">; </w:t>
            </w:r>
            <w:r>
              <w:rPr>
                <w:rFonts w:cs="Arial"/>
                <w:sz w:val="19"/>
                <w:szCs w:val="19"/>
                <w:lang w:val="fr-CH"/>
              </w:rPr>
              <w:t>RS</w:t>
            </w:r>
            <w:r w:rsidR="007C7951" w:rsidRPr="00F0226F">
              <w:rPr>
                <w:rFonts w:cs="Arial"/>
                <w:sz w:val="19"/>
                <w:szCs w:val="19"/>
                <w:lang w:val="fr-CH"/>
              </w:rPr>
              <w:t xml:space="preserve"> </w:t>
            </w:r>
            <w:r w:rsidR="00093244" w:rsidRPr="00F0226F">
              <w:rPr>
                <w:rFonts w:cs="Arial"/>
                <w:sz w:val="19"/>
                <w:szCs w:val="19"/>
                <w:lang w:val="fr-CH"/>
              </w:rPr>
              <w:t>211.412.11</w:t>
            </w:r>
          </w:p>
        </w:tc>
      </w:tr>
      <w:tr w:rsidR="00B204AE" w:rsidRPr="00F0226F" w14:paraId="06DCFBAC" w14:textId="77777777" w:rsidTr="29D59492">
        <w:tc>
          <w:tcPr>
            <w:tcW w:w="1271" w:type="dxa"/>
            <w:shd w:val="clear" w:color="auto" w:fill="auto"/>
          </w:tcPr>
          <w:p w14:paraId="5D3D1B4C" w14:textId="7190D003" w:rsidR="00B204AE" w:rsidRPr="00F0226F" w:rsidRDefault="001876B4" w:rsidP="00087AD3">
            <w:pPr>
              <w:spacing w:before="240"/>
              <w:rPr>
                <w:rFonts w:cs="Arial"/>
                <w:sz w:val="19"/>
                <w:szCs w:val="19"/>
                <w:lang w:val="fr-CH"/>
              </w:rPr>
            </w:pPr>
            <w:r>
              <w:rPr>
                <w:rFonts w:cs="Arial"/>
                <w:sz w:val="19"/>
                <w:szCs w:val="19"/>
                <w:lang w:val="fr-CH"/>
              </w:rPr>
              <w:t>OFAG</w:t>
            </w:r>
          </w:p>
        </w:tc>
        <w:tc>
          <w:tcPr>
            <w:tcW w:w="8222" w:type="dxa"/>
            <w:shd w:val="clear" w:color="auto" w:fill="auto"/>
          </w:tcPr>
          <w:p w14:paraId="0C4D26FA" w14:textId="5D5F251E" w:rsidR="00B204AE" w:rsidRPr="00F0226F" w:rsidRDefault="001876B4" w:rsidP="00087AD3">
            <w:pPr>
              <w:spacing w:before="240"/>
              <w:rPr>
                <w:rFonts w:cs="Arial"/>
                <w:sz w:val="19"/>
                <w:szCs w:val="19"/>
                <w:lang w:val="fr-CH"/>
              </w:rPr>
            </w:pPr>
            <w:r>
              <w:rPr>
                <w:rFonts w:cs="Arial"/>
                <w:sz w:val="19"/>
                <w:szCs w:val="19"/>
                <w:lang w:val="fr-CH"/>
              </w:rPr>
              <w:t>Office fédéral de l’agriculture</w:t>
            </w:r>
          </w:p>
        </w:tc>
      </w:tr>
      <w:tr w:rsidR="006B3F20" w:rsidRPr="00B94A10" w14:paraId="1117BA1C" w14:textId="77777777" w:rsidTr="29D59492">
        <w:tc>
          <w:tcPr>
            <w:tcW w:w="1271" w:type="dxa"/>
            <w:shd w:val="clear" w:color="auto" w:fill="auto"/>
          </w:tcPr>
          <w:p w14:paraId="4E377251" w14:textId="1A6AAB4A" w:rsidR="006B3F20" w:rsidRPr="00F0226F" w:rsidRDefault="001876B4" w:rsidP="00087AD3">
            <w:pPr>
              <w:spacing w:before="240"/>
              <w:rPr>
                <w:rFonts w:cs="Arial"/>
                <w:sz w:val="19"/>
                <w:szCs w:val="19"/>
                <w:lang w:val="fr-CH"/>
              </w:rPr>
            </w:pPr>
            <w:r>
              <w:rPr>
                <w:rFonts w:cs="Arial"/>
                <w:sz w:val="19"/>
                <w:szCs w:val="19"/>
                <w:lang w:val="fr-CH"/>
              </w:rPr>
              <w:t>DTAP</w:t>
            </w:r>
          </w:p>
        </w:tc>
        <w:tc>
          <w:tcPr>
            <w:tcW w:w="8222" w:type="dxa"/>
            <w:shd w:val="clear" w:color="auto" w:fill="auto"/>
          </w:tcPr>
          <w:p w14:paraId="4029726E" w14:textId="2415590B" w:rsidR="006B3F20" w:rsidRPr="00F0226F" w:rsidRDefault="001876B4" w:rsidP="00087AD3">
            <w:pPr>
              <w:spacing w:before="240"/>
              <w:rPr>
                <w:rFonts w:cs="Arial"/>
                <w:sz w:val="19"/>
                <w:szCs w:val="19"/>
                <w:lang w:val="fr-CH"/>
              </w:rPr>
            </w:pPr>
            <w:r>
              <w:rPr>
                <w:rFonts w:cs="Arial"/>
                <w:sz w:val="19"/>
                <w:szCs w:val="19"/>
                <w:lang w:val="fr-CH"/>
              </w:rPr>
              <w:t>C</w:t>
            </w:r>
            <w:r w:rsidR="000E5628" w:rsidRPr="00F0226F">
              <w:rPr>
                <w:rFonts w:cs="Arial"/>
                <w:sz w:val="19"/>
                <w:szCs w:val="19"/>
                <w:lang w:val="fr-CH"/>
              </w:rPr>
              <w:t>onf</w:t>
            </w:r>
            <w:r>
              <w:rPr>
                <w:rFonts w:cs="Arial"/>
                <w:sz w:val="19"/>
                <w:szCs w:val="19"/>
                <w:lang w:val="fr-CH"/>
              </w:rPr>
              <w:t>érence suisse des directeurs cantonaux des travaux publics, de l’aménagement du territoire et de l’environnement</w:t>
            </w:r>
          </w:p>
        </w:tc>
      </w:tr>
      <w:tr w:rsidR="00F052B8" w:rsidRPr="00B94A10" w14:paraId="3862E4F3" w14:textId="77777777" w:rsidTr="29D59492">
        <w:tc>
          <w:tcPr>
            <w:tcW w:w="1271" w:type="dxa"/>
            <w:shd w:val="clear" w:color="auto" w:fill="auto"/>
          </w:tcPr>
          <w:p w14:paraId="1811AB27" w14:textId="5FAB08C9" w:rsidR="00F052B8" w:rsidRPr="00F0226F" w:rsidRDefault="001876B4" w:rsidP="00087AD3">
            <w:pPr>
              <w:spacing w:before="240"/>
              <w:rPr>
                <w:rFonts w:cs="Arial"/>
                <w:sz w:val="19"/>
                <w:szCs w:val="19"/>
                <w:lang w:val="fr-CH"/>
              </w:rPr>
            </w:pPr>
            <w:r>
              <w:rPr>
                <w:rFonts w:cs="Arial"/>
                <w:sz w:val="19"/>
                <w:szCs w:val="19"/>
                <w:lang w:val="fr-CH"/>
              </w:rPr>
              <w:t>Cst</w:t>
            </w:r>
            <w:r w:rsidR="0077532F">
              <w:rPr>
                <w:rFonts w:cs="Arial"/>
                <w:sz w:val="19"/>
                <w:szCs w:val="19"/>
                <w:lang w:val="fr-CH"/>
              </w:rPr>
              <w:t>.</w:t>
            </w:r>
          </w:p>
        </w:tc>
        <w:tc>
          <w:tcPr>
            <w:tcW w:w="8222" w:type="dxa"/>
            <w:shd w:val="clear" w:color="auto" w:fill="auto"/>
          </w:tcPr>
          <w:p w14:paraId="78DFAFA9" w14:textId="41E5EA4F" w:rsidR="00F052B8" w:rsidRPr="00F0226F" w:rsidRDefault="001876B4" w:rsidP="00087AD3">
            <w:pPr>
              <w:spacing w:before="240"/>
              <w:rPr>
                <w:rFonts w:cs="Arial"/>
                <w:sz w:val="19"/>
                <w:szCs w:val="19"/>
                <w:lang w:val="fr-CH"/>
              </w:rPr>
            </w:pPr>
            <w:r>
              <w:rPr>
                <w:rFonts w:cs="Arial"/>
                <w:sz w:val="19"/>
                <w:szCs w:val="19"/>
                <w:lang w:val="fr-CH"/>
              </w:rPr>
              <w:t>Constitution fédérale du</w:t>
            </w:r>
            <w:r w:rsidR="00F777C4">
              <w:rPr>
                <w:rFonts w:cs="Arial"/>
                <w:sz w:val="19"/>
                <w:szCs w:val="19"/>
                <w:lang w:val="fr-CH"/>
              </w:rPr>
              <w:t xml:space="preserve"> </w:t>
            </w:r>
            <w:r w:rsidR="006279CE" w:rsidRPr="00F0226F">
              <w:rPr>
                <w:rFonts w:cs="Arial"/>
                <w:sz w:val="19"/>
                <w:szCs w:val="19"/>
                <w:lang w:val="fr-CH"/>
              </w:rPr>
              <w:t>18</w:t>
            </w:r>
            <w:r>
              <w:rPr>
                <w:rFonts w:cs="Arial"/>
                <w:sz w:val="19"/>
                <w:szCs w:val="19"/>
                <w:lang w:val="fr-CH"/>
              </w:rPr>
              <w:t xml:space="preserve"> avril </w:t>
            </w:r>
            <w:r w:rsidR="006279CE" w:rsidRPr="00F0226F">
              <w:rPr>
                <w:rFonts w:cs="Arial"/>
                <w:sz w:val="19"/>
                <w:szCs w:val="19"/>
                <w:lang w:val="fr-CH"/>
              </w:rPr>
              <w:t>1999</w:t>
            </w:r>
            <w:r>
              <w:rPr>
                <w:rFonts w:cs="Arial"/>
                <w:sz w:val="19"/>
                <w:szCs w:val="19"/>
                <w:lang w:val="fr-CH"/>
              </w:rPr>
              <w:t xml:space="preserve"> de la Confédération suisse </w:t>
            </w:r>
            <w:r w:rsidR="006279CE" w:rsidRPr="00F0226F">
              <w:rPr>
                <w:rFonts w:cs="Arial"/>
                <w:sz w:val="19"/>
                <w:szCs w:val="19"/>
                <w:lang w:val="fr-CH"/>
              </w:rPr>
              <w:t xml:space="preserve">; </w:t>
            </w:r>
            <w:r>
              <w:rPr>
                <w:rFonts w:cs="Arial"/>
                <w:sz w:val="19"/>
                <w:szCs w:val="19"/>
                <w:lang w:val="fr-CH"/>
              </w:rPr>
              <w:t>RS</w:t>
            </w:r>
            <w:r w:rsidR="006279CE" w:rsidRPr="00F0226F">
              <w:rPr>
                <w:rFonts w:cs="Arial"/>
                <w:sz w:val="19"/>
                <w:szCs w:val="19"/>
                <w:lang w:val="fr-CH"/>
              </w:rPr>
              <w:t xml:space="preserve"> 101</w:t>
            </w:r>
          </w:p>
        </w:tc>
      </w:tr>
      <w:tr w:rsidR="00B204AE" w:rsidRPr="00B94A10" w14:paraId="47EA4606" w14:textId="77777777" w:rsidTr="29D59492">
        <w:tc>
          <w:tcPr>
            <w:tcW w:w="1271" w:type="dxa"/>
            <w:shd w:val="clear" w:color="auto" w:fill="auto"/>
          </w:tcPr>
          <w:p w14:paraId="65878E35" w14:textId="55CA8AF7" w:rsidR="00B204AE" w:rsidRPr="00F0226F" w:rsidRDefault="001876B4" w:rsidP="00087AD3">
            <w:pPr>
              <w:spacing w:before="240"/>
              <w:rPr>
                <w:rFonts w:cs="Arial"/>
                <w:sz w:val="19"/>
                <w:szCs w:val="19"/>
                <w:lang w:val="fr-CH"/>
              </w:rPr>
            </w:pPr>
            <w:r>
              <w:rPr>
                <w:rFonts w:cs="Arial"/>
                <w:sz w:val="19"/>
                <w:szCs w:val="19"/>
                <w:lang w:val="fr-CH"/>
              </w:rPr>
              <w:t>OFAE</w:t>
            </w:r>
          </w:p>
        </w:tc>
        <w:tc>
          <w:tcPr>
            <w:tcW w:w="8222" w:type="dxa"/>
            <w:shd w:val="clear" w:color="auto" w:fill="auto"/>
          </w:tcPr>
          <w:p w14:paraId="1C67746D" w14:textId="040598D4" w:rsidR="00B204AE" w:rsidRPr="00F0226F" w:rsidRDefault="001876B4" w:rsidP="00087AD3">
            <w:pPr>
              <w:spacing w:before="240"/>
              <w:rPr>
                <w:rFonts w:cs="Arial"/>
                <w:sz w:val="19"/>
                <w:szCs w:val="19"/>
                <w:lang w:val="fr-CH"/>
              </w:rPr>
            </w:pPr>
            <w:r>
              <w:rPr>
                <w:lang w:val="fr-CH"/>
              </w:rPr>
              <w:t>Office fédéral pour l’approvisionnemen</w:t>
            </w:r>
            <w:r w:rsidRPr="00F0226F">
              <w:rPr>
                <w:lang w:val="fr-CH"/>
              </w:rPr>
              <w:t>t</w:t>
            </w:r>
            <w:r>
              <w:rPr>
                <w:lang w:val="fr-CH"/>
              </w:rPr>
              <w:t xml:space="preserve"> économique du pays</w:t>
            </w:r>
          </w:p>
        </w:tc>
      </w:tr>
      <w:tr w:rsidR="001D38FE" w:rsidRPr="00F0226F" w14:paraId="627BE0D7" w14:textId="77777777" w:rsidTr="29D59492">
        <w:tc>
          <w:tcPr>
            <w:tcW w:w="1271" w:type="dxa"/>
            <w:shd w:val="clear" w:color="auto" w:fill="auto"/>
          </w:tcPr>
          <w:p w14:paraId="5484C334" w14:textId="01BB4687" w:rsidR="001D38FE" w:rsidRPr="00F0226F" w:rsidRDefault="001D38FE" w:rsidP="00087AD3">
            <w:pPr>
              <w:spacing w:before="240"/>
              <w:rPr>
                <w:rFonts w:cs="Arial"/>
                <w:sz w:val="19"/>
                <w:szCs w:val="19"/>
                <w:lang w:val="fr-CH"/>
              </w:rPr>
            </w:pPr>
            <w:r w:rsidRPr="00F0226F">
              <w:rPr>
                <w:rFonts w:cs="Arial"/>
                <w:sz w:val="19"/>
                <w:szCs w:val="19"/>
                <w:lang w:val="fr-CH"/>
              </w:rPr>
              <w:t>DSM</w:t>
            </w:r>
          </w:p>
        </w:tc>
        <w:tc>
          <w:tcPr>
            <w:tcW w:w="8222" w:type="dxa"/>
            <w:shd w:val="clear" w:color="auto" w:fill="auto"/>
          </w:tcPr>
          <w:p w14:paraId="0441919D" w14:textId="358476C8" w:rsidR="001D38FE" w:rsidRPr="00F0226F" w:rsidRDefault="001D38FE" w:rsidP="00087AD3">
            <w:pPr>
              <w:spacing w:before="240"/>
              <w:rPr>
                <w:rFonts w:cs="Arial"/>
                <w:sz w:val="19"/>
                <w:szCs w:val="19"/>
                <w:lang w:val="fr-CH"/>
              </w:rPr>
            </w:pPr>
            <w:r w:rsidRPr="00F0226F">
              <w:rPr>
                <w:rFonts w:cs="Arial"/>
                <w:sz w:val="19"/>
                <w:szCs w:val="19"/>
                <w:lang w:val="fr-CH"/>
              </w:rPr>
              <w:t>Digital Soil Mapping</w:t>
            </w:r>
          </w:p>
        </w:tc>
      </w:tr>
      <w:tr w:rsidR="00BE4000" w:rsidRPr="00B94A10" w14:paraId="232A7B0F" w14:textId="77777777" w:rsidTr="29D59492">
        <w:tc>
          <w:tcPr>
            <w:tcW w:w="1271" w:type="dxa"/>
            <w:shd w:val="clear" w:color="auto" w:fill="auto"/>
          </w:tcPr>
          <w:p w14:paraId="22774EDD" w14:textId="71CB6F17" w:rsidR="00BE4000" w:rsidRPr="00F0226F" w:rsidRDefault="001876B4" w:rsidP="00087AD3">
            <w:pPr>
              <w:spacing w:before="240"/>
              <w:rPr>
                <w:rFonts w:cs="Arial"/>
                <w:sz w:val="19"/>
                <w:szCs w:val="19"/>
                <w:lang w:val="fr-CH"/>
              </w:rPr>
            </w:pPr>
            <w:r>
              <w:rPr>
                <w:rFonts w:cs="Arial"/>
                <w:sz w:val="19"/>
                <w:szCs w:val="19"/>
                <w:lang w:val="fr-CH"/>
              </w:rPr>
              <w:t>OPD</w:t>
            </w:r>
          </w:p>
        </w:tc>
        <w:tc>
          <w:tcPr>
            <w:tcW w:w="8222" w:type="dxa"/>
            <w:shd w:val="clear" w:color="auto" w:fill="auto"/>
          </w:tcPr>
          <w:p w14:paraId="561949A1" w14:textId="5571CBB6" w:rsidR="00BE4000" w:rsidRPr="00F0226F" w:rsidDel="007944D5" w:rsidRDefault="001876B4" w:rsidP="00087AD3">
            <w:pPr>
              <w:spacing w:before="240"/>
              <w:rPr>
                <w:rFonts w:cs="Arial"/>
                <w:sz w:val="19"/>
                <w:szCs w:val="19"/>
                <w:lang w:val="fr-CH"/>
              </w:rPr>
            </w:pPr>
            <w:r>
              <w:rPr>
                <w:rFonts w:cs="Arial"/>
                <w:sz w:val="19"/>
                <w:szCs w:val="19"/>
                <w:lang w:val="fr-CH"/>
              </w:rPr>
              <w:t>Ordonnance du</w:t>
            </w:r>
            <w:r w:rsidR="325E5E49" w:rsidRPr="00F0226F">
              <w:rPr>
                <w:rFonts w:cs="Arial"/>
                <w:sz w:val="19"/>
                <w:szCs w:val="19"/>
                <w:lang w:val="fr-CH"/>
              </w:rPr>
              <w:t xml:space="preserve"> 23</w:t>
            </w:r>
            <w:r>
              <w:rPr>
                <w:rFonts w:cs="Arial"/>
                <w:sz w:val="19"/>
                <w:szCs w:val="19"/>
                <w:lang w:val="fr-CH"/>
              </w:rPr>
              <w:t xml:space="preserve"> octobre</w:t>
            </w:r>
            <w:r w:rsidR="325E5E49" w:rsidRPr="00F0226F">
              <w:rPr>
                <w:rFonts w:cs="Arial"/>
                <w:sz w:val="19"/>
                <w:szCs w:val="19"/>
                <w:lang w:val="fr-CH"/>
              </w:rPr>
              <w:t xml:space="preserve"> 2013</w:t>
            </w:r>
            <w:r w:rsidR="000C7F1B">
              <w:rPr>
                <w:rFonts w:cs="Arial"/>
                <w:sz w:val="19"/>
                <w:szCs w:val="19"/>
                <w:lang w:val="fr-CH"/>
              </w:rPr>
              <w:t xml:space="preserve"> sur les paiements directs versés dans l’agriculture</w:t>
            </w:r>
            <w:r w:rsidR="00935DE4">
              <w:rPr>
                <w:rFonts w:cs="Arial"/>
                <w:sz w:val="19"/>
                <w:szCs w:val="19"/>
                <w:lang w:val="fr-CH"/>
              </w:rPr>
              <w:t xml:space="preserve"> </w:t>
            </w:r>
            <w:r w:rsidR="325E5E49" w:rsidRPr="00F0226F">
              <w:rPr>
                <w:rFonts w:cs="Arial"/>
                <w:sz w:val="19"/>
                <w:szCs w:val="19"/>
                <w:lang w:val="fr-CH"/>
              </w:rPr>
              <w:t xml:space="preserve">; </w:t>
            </w:r>
            <w:r w:rsidR="000C7F1B">
              <w:rPr>
                <w:rFonts w:cs="Arial"/>
                <w:sz w:val="19"/>
                <w:szCs w:val="19"/>
                <w:lang w:val="fr-CH"/>
              </w:rPr>
              <w:t>RS</w:t>
            </w:r>
            <w:r w:rsidR="325E5E49" w:rsidRPr="00F0226F">
              <w:rPr>
                <w:rFonts w:cs="Arial"/>
                <w:sz w:val="19"/>
                <w:szCs w:val="19"/>
                <w:lang w:val="fr-CH"/>
              </w:rPr>
              <w:t xml:space="preserve"> 910.13</w:t>
            </w:r>
          </w:p>
        </w:tc>
      </w:tr>
      <w:tr w:rsidR="001D38FE" w:rsidRPr="008454A6" w14:paraId="17EDE054" w14:textId="77777777" w:rsidTr="29D59492">
        <w:tc>
          <w:tcPr>
            <w:tcW w:w="1271" w:type="dxa"/>
            <w:shd w:val="clear" w:color="auto" w:fill="auto"/>
          </w:tcPr>
          <w:p w14:paraId="6D767CC0" w14:textId="36F24F10" w:rsidR="001D38FE" w:rsidRPr="00F0226F" w:rsidRDefault="000C7F1B" w:rsidP="00087AD3">
            <w:pPr>
              <w:spacing w:before="240"/>
              <w:rPr>
                <w:rFonts w:cs="Arial"/>
                <w:sz w:val="19"/>
                <w:szCs w:val="19"/>
                <w:lang w:val="fr-CH"/>
              </w:rPr>
            </w:pPr>
            <w:r>
              <w:rPr>
                <w:rFonts w:cs="Arial"/>
                <w:sz w:val="19"/>
                <w:szCs w:val="19"/>
                <w:lang w:val="fr-CH"/>
              </w:rPr>
              <w:t>LEx</w:t>
            </w:r>
          </w:p>
        </w:tc>
        <w:tc>
          <w:tcPr>
            <w:tcW w:w="8222" w:type="dxa"/>
            <w:shd w:val="clear" w:color="auto" w:fill="auto"/>
          </w:tcPr>
          <w:p w14:paraId="759CB58D" w14:textId="33464CA5" w:rsidR="001D38FE" w:rsidRPr="00F0226F" w:rsidRDefault="000C7F1B" w:rsidP="00087AD3">
            <w:pPr>
              <w:spacing w:before="240"/>
              <w:rPr>
                <w:rFonts w:cs="Arial"/>
                <w:sz w:val="19"/>
                <w:szCs w:val="19"/>
                <w:lang w:val="fr-CH"/>
              </w:rPr>
            </w:pPr>
            <w:r>
              <w:rPr>
                <w:rFonts w:cs="Arial"/>
                <w:sz w:val="19"/>
                <w:szCs w:val="19"/>
                <w:lang w:val="fr-CH"/>
              </w:rPr>
              <w:t>Loi fédérale du</w:t>
            </w:r>
            <w:r w:rsidR="00093244" w:rsidRPr="00F0226F">
              <w:rPr>
                <w:rFonts w:cs="Arial"/>
                <w:sz w:val="19"/>
                <w:szCs w:val="19"/>
                <w:lang w:val="fr-CH"/>
              </w:rPr>
              <w:t xml:space="preserve"> 20</w:t>
            </w:r>
            <w:r>
              <w:rPr>
                <w:rFonts w:cs="Arial"/>
                <w:sz w:val="19"/>
                <w:szCs w:val="19"/>
                <w:lang w:val="fr-CH"/>
              </w:rPr>
              <w:t xml:space="preserve"> juin </w:t>
            </w:r>
            <w:r w:rsidR="00093244" w:rsidRPr="00F0226F">
              <w:rPr>
                <w:rFonts w:cs="Arial"/>
                <w:sz w:val="19"/>
                <w:szCs w:val="19"/>
                <w:lang w:val="fr-CH"/>
              </w:rPr>
              <w:t>1930</w:t>
            </w:r>
            <w:r>
              <w:rPr>
                <w:rFonts w:cs="Arial"/>
                <w:sz w:val="19"/>
                <w:szCs w:val="19"/>
                <w:lang w:val="fr-CH"/>
              </w:rPr>
              <w:t xml:space="preserve"> sur l’expropriation </w:t>
            </w:r>
            <w:r w:rsidR="00093244" w:rsidRPr="00F0226F">
              <w:rPr>
                <w:rFonts w:cs="Arial"/>
                <w:sz w:val="19"/>
                <w:szCs w:val="19"/>
                <w:lang w:val="fr-CH"/>
              </w:rPr>
              <w:t xml:space="preserve">; </w:t>
            </w:r>
            <w:r>
              <w:rPr>
                <w:rFonts w:cs="Arial"/>
                <w:sz w:val="19"/>
                <w:szCs w:val="19"/>
                <w:lang w:val="fr-CH"/>
              </w:rPr>
              <w:t>RS</w:t>
            </w:r>
            <w:r w:rsidR="00093244" w:rsidRPr="00F0226F">
              <w:rPr>
                <w:rFonts w:cs="Arial"/>
                <w:sz w:val="19"/>
                <w:szCs w:val="19"/>
                <w:lang w:val="fr-CH"/>
              </w:rPr>
              <w:t xml:space="preserve"> 711</w:t>
            </w:r>
          </w:p>
        </w:tc>
      </w:tr>
      <w:tr w:rsidR="001F37B0" w:rsidRPr="008454A6" w14:paraId="54680C54" w14:textId="77777777" w:rsidTr="29D59492">
        <w:tc>
          <w:tcPr>
            <w:tcW w:w="1271" w:type="dxa"/>
            <w:shd w:val="clear" w:color="auto" w:fill="auto"/>
          </w:tcPr>
          <w:p w14:paraId="7F7E9A00" w14:textId="04B53B39" w:rsidR="001F37B0" w:rsidRPr="00F0226F" w:rsidRDefault="000C7F1B" w:rsidP="00087AD3">
            <w:pPr>
              <w:spacing w:before="240"/>
              <w:rPr>
                <w:rFonts w:cs="Arial"/>
                <w:sz w:val="19"/>
                <w:szCs w:val="19"/>
                <w:lang w:val="fr-CH"/>
              </w:rPr>
            </w:pPr>
            <w:r>
              <w:rPr>
                <w:rFonts w:cs="Arial"/>
                <w:sz w:val="19"/>
                <w:szCs w:val="19"/>
                <w:lang w:val="fr-CH"/>
              </w:rPr>
              <w:t>PA</w:t>
            </w:r>
            <w:r w:rsidR="001F37B0" w:rsidRPr="00F0226F">
              <w:rPr>
                <w:rFonts w:cs="Arial"/>
                <w:sz w:val="19"/>
                <w:szCs w:val="19"/>
                <w:lang w:val="fr-CH"/>
              </w:rPr>
              <w:t>90</w:t>
            </w:r>
          </w:p>
        </w:tc>
        <w:tc>
          <w:tcPr>
            <w:tcW w:w="8222" w:type="dxa"/>
            <w:shd w:val="clear" w:color="auto" w:fill="auto"/>
          </w:tcPr>
          <w:p w14:paraId="36E6EEE8" w14:textId="34CB641C" w:rsidR="001F37B0" w:rsidRPr="00F0226F" w:rsidRDefault="000C7F1B" w:rsidP="00087AD3">
            <w:pPr>
              <w:spacing w:before="240"/>
              <w:rPr>
                <w:rFonts w:cs="Arial"/>
                <w:sz w:val="19"/>
                <w:szCs w:val="19"/>
                <w:lang w:val="fr-CH"/>
              </w:rPr>
            </w:pPr>
            <w:r>
              <w:rPr>
                <w:rFonts w:cs="Arial"/>
                <w:sz w:val="19"/>
                <w:szCs w:val="19"/>
                <w:lang w:val="fr-CH"/>
              </w:rPr>
              <w:t>Plan alimentaire en cas de pénurie grave de l’OFAG</w:t>
            </w:r>
          </w:p>
        </w:tc>
      </w:tr>
      <w:tr w:rsidR="000C093D" w:rsidRPr="00F0226F" w14:paraId="1C21FDD6" w14:textId="77777777" w:rsidTr="29D59492">
        <w:tc>
          <w:tcPr>
            <w:tcW w:w="1271" w:type="dxa"/>
            <w:shd w:val="clear" w:color="auto" w:fill="auto"/>
          </w:tcPr>
          <w:p w14:paraId="4A00E497" w14:textId="0BEE4B12" w:rsidR="000C093D" w:rsidRPr="00F0226F" w:rsidRDefault="000C7F1B" w:rsidP="00087AD3">
            <w:pPr>
              <w:spacing w:before="240"/>
              <w:rPr>
                <w:rFonts w:cs="Arial"/>
                <w:sz w:val="19"/>
                <w:szCs w:val="19"/>
                <w:lang w:val="fr-CH"/>
              </w:rPr>
            </w:pPr>
            <w:r>
              <w:rPr>
                <w:rFonts w:cs="Arial"/>
                <w:sz w:val="19"/>
                <w:szCs w:val="19"/>
                <w:lang w:val="fr-CH"/>
              </w:rPr>
              <w:t>SDA</w:t>
            </w:r>
          </w:p>
        </w:tc>
        <w:tc>
          <w:tcPr>
            <w:tcW w:w="8222" w:type="dxa"/>
            <w:shd w:val="clear" w:color="auto" w:fill="auto"/>
          </w:tcPr>
          <w:p w14:paraId="1F4E5BBC" w14:textId="5D889B8B" w:rsidR="000C093D" w:rsidRPr="00F0226F" w:rsidRDefault="000C7F1B" w:rsidP="00087AD3">
            <w:pPr>
              <w:spacing w:before="240"/>
              <w:rPr>
                <w:rFonts w:cs="Arial"/>
                <w:sz w:val="19"/>
                <w:szCs w:val="19"/>
                <w:lang w:val="fr-CH"/>
              </w:rPr>
            </w:pPr>
            <w:r>
              <w:rPr>
                <w:rFonts w:cs="Arial"/>
                <w:sz w:val="19"/>
                <w:szCs w:val="19"/>
                <w:lang w:val="fr-CH"/>
              </w:rPr>
              <w:t>Surfaces d’assolement</w:t>
            </w:r>
          </w:p>
        </w:tc>
      </w:tr>
      <w:tr w:rsidR="00291C91" w:rsidRPr="008454A6" w14:paraId="42E28954" w14:textId="77777777" w:rsidTr="29D59492">
        <w:tc>
          <w:tcPr>
            <w:tcW w:w="1271" w:type="dxa"/>
            <w:shd w:val="clear" w:color="auto" w:fill="auto"/>
          </w:tcPr>
          <w:p w14:paraId="27114A92" w14:textId="2CEA2F0F" w:rsidR="00291C91" w:rsidRPr="00F0226F" w:rsidRDefault="000C7F1B" w:rsidP="00087AD3">
            <w:pPr>
              <w:spacing w:before="240"/>
              <w:rPr>
                <w:rFonts w:cs="Arial"/>
                <w:sz w:val="19"/>
                <w:szCs w:val="19"/>
                <w:lang w:val="fr-CH"/>
              </w:rPr>
            </w:pPr>
            <w:r>
              <w:rPr>
                <w:rFonts w:cs="Arial"/>
                <w:sz w:val="19"/>
                <w:szCs w:val="19"/>
                <w:lang w:val="fr-CH"/>
              </w:rPr>
              <w:t>ASGB</w:t>
            </w:r>
          </w:p>
        </w:tc>
        <w:tc>
          <w:tcPr>
            <w:tcW w:w="8222" w:type="dxa"/>
            <w:shd w:val="clear" w:color="auto" w:fill="auto"/>
          </w:tcPr>
          <w:p w14:paraId="5D669156" w14:textId="40A6B4D9" w:rsidR="00291C91" w:rsidRPr="00F0226F" w:rsidRDefault="000C7F1B" w:rsidP="00087AD3">
            <w:pPr>
              <w:spacing w:before="240"/>
              <w:rPr>
                <w:rFonts w:cs="Arial"/>
                <w:sz w:val="19"/>
                <w:szCs w:val="19"/>
                <w:lang w:val="fr-CH"/>
              </w:rPr>
            </w:pPr>
            <w:r>
              <w:rPr>
                <w:rFonts w:cs="Arial"/>
                <w:sz w:val="19"/>
                <w:szCs w:val="19"/>
                <w:lang w:val="fr-CH"/>
              </w:rPr>
              <w:t>Association suisse de l’industrie des graviers et du béton</w:t>
            </w:r>
          </w:p>
        </w:tc>
      </w:tr>
      <w:tr w:rsidR="00093244" w:rsidRPr="008454A6" w14:paraId="44D69E03" w14:textId="77777777" w:rsidTr="29D59492">
        <w:tc>
          <w:tcPr>
            <w:tcW w:w="1271" w:type="dxa"/>
            <w:shd w:val="clear" w:color="auto" w:fill="auto"/>
          </w:tcPr>
          <w:p w14:paraId="11E19D09" w14:textId="1D74AC9D" w:rsidR="00093244" w:rsidRPr="00F0226F" w:rsidRDefault="000C7F1B" w:rsidP="00087AD3">
            <w:pPr>
              <w:spacing w:before="240"/>
              <w:rPr>
                <w:rFonts w:cs="Arial"/>
                <w:sz w:val="19"/>
                <w:szCs w:val="19"/>
                <w:lang w:val="fr-CH"/>
              </w:rPr>
            </w:pPr>
            <w:r>
              <w:rPr>
                <w:rFonts w:cs="Arial"/>
                <w:sz w:val="19"/>
                <w:szCs w:val="19"/>
                <w:lang w:val="fr-CH"/>
              </w:rPr>
              <w:lastRenderedPageBreak/>
              <w:t>LGéo</w:t>
            </w:r>
          </w:p>
        </w:tc>
        <w:tc>
          <w:tcPr>
            <w:tcW w:w="8222" w:type="dxa"/>
            <w:shd w:val="clear" w:color="auto" w:fill="auto"/>
          </w:tcPr>
          <w:p w14:paraId="1752215D" w14:textId="12118753" w:rsidR="00093244" w:rsidRPr="00F0226F" w:rsidRDefault="000C7F1B" w:rsidP="00087AD3">
            <w:pPr>
              <w:spacing w:before="240"/>
              <w:rPr>
                <w:rFonts w:cs="Arial"/>
                <w:sz w:val="19"/>
                <w:szCs w:val="19"/>
                <w:lang w:val="fr-CH"/>
              </w:rPr>
            </w:pPr>
            <w:r>
              <w:rPr>
                <w:rFonts w:cs="Arial"/>
                <w:sz w:val="19"/>
                <w:szCs w:val="19"/>
                <w:lang w:val="fr-CH"/>
              </w:rPr>
              <w:t>Loi fédérale du</w:t>
            </w:r>
            <w:r w:rsidR="00093244" w:rsidRPr="00F0226F">
              <w:rPr>
                <w:rFonts w:cs="Arial"/>
                <w:sz w:val="19"/>
                <w:szCs w:val="19"/>
                <w:lang w:val="fr-CH"/>
              </w:rPr>
              <w:t xml:space="preserve"> 5</w:t>
            </w:r>
            <w:r>
              <w:rPr>
                <w:rFonts w:cs="Arial"/>
                <w:sz w:val="19"/>
                <w:szCs w:val="19"/>
                <w:lang w:val="fr-CH"/>
              </w:rPr>
              <w:t xml:space="preserve"> octobre</w:t>
            </w:r>
            <w:r w:rsidR="00093244" w:rsidRPr="00F0226F">
              <w:rPr>
                <w:rFonts w:cs="Arial"/>
                <w:sz w:val="19"/>
                <w:szCs w:val="19"/>
                <w:lang w:val="fr-CH"/>
              </w:rPr>
              <w:t xml:space="preserve"> 2007</w:t>
            </w:r>
            <w:r>
              <w:rPr>
                <w:rFonts w:cs="Arial"/>
                <w:sz w:val="19"/>
                <w:szCs w:val="19"/>
                <w:lang w:val="fr-CH"/>
              </w:rPr>
              <w:t xml:space="preserve"> sur la géoinformation </w:t>
            </w:r>
            <w:r w:rsidR="00093244" w:rsidRPr="00F0226F">
              <w:rPr>
                <w:rFonts w:cs="Arial"/>
                <w:sz w:val="19"/>
                <w:szCs w:val="19"/>
                <w:lang w:val="fr-CH"/>
              </w:rPr>
              <w:t xml:space="preserve">; </w:t>
            </w:r>
            <w:r>
              <w:rPr>
                <w:rFonts w:cs="Arial"/>
                <w:sz w:val="19"/>
                <w:szCs w:val="19"/>
                <w:lang w:val="fr-CH"/>
              </w:rPr>
              <w:t xml:space="preserve">RS </w:t>
            </w:r>
            <w:r w:rsidR="006279CE" w:rsidRPr="00F0226F">
              <w:rPr>
                <w:rFonts w:cs="Arial"/>
                <w:sz w:val="19"/>
                <w:szCs w:val="19"/>
                <w:lang w:val="fr-CH"/>
              </w:rPr>
              <w:t>510.62</w:t>
            </w:r>
          </w:p>
        </w:tc>
      </w:tr>
      <w:tr w:rsidR="001D38FE" w:rsidRPr="00F0226F" w14:paraId="5E568752" w14:textId="77777777" w:rsidTr="29D59492">
        <w:tc>
          <w:tcPr>
            <w:tcW w:w="1271" w:type="dxa"/>
            <w:shd w:val="clear" w:color="auto" w:fill="auto"/>
          </w:tcPr>
          <w:p w14:paraId="1A7F78E3" w14:textId="5A1A3136" w:rsidR="001D38FE" w:rsidRPr="00F0226F" w:rsidRDefault="000C7F1B" w:rsidP="00087AD3">
            <w:pPr>
              <w:spacing w:before="240"/>
              <w:rPr>
                <w:rFonts w:cs="Arial"/>
                <w:sz w:val="19"/>
                <w:szCs w:val="19"/>
                <w:lang w:val="fr-CH"/>
              </w:rPr>
            </w:pPr>
            <w:r>
              <w:rPr>
                <w:rFonts w:cs="Arial"/>
                <w:sz w:val="19"/>
                <w:szCs w:val="19"/>
                <w:lang w:val="fr-CH"/>
              </w:rPr>
              <w:t>SIG</w:t>
            </w:r>
          </w:p>
        </w:tc>
        <w:tc>
          <w:tcPr>
            <w:tcW w:w="8222" w:type="dxa"/>
            <w:shd w:val="clear" w:color="auto" w:fill="auto"/>
          </w:tcPr>
          <w:p w14:paraId="274D5F87" w14:textId="48302FC9" w:rsidR="001D38FE" w:rsidRPr="00F0226F" w:rsidRDefault="000C7F1B" w:rsidP="00087AD3">
            <w:pPr>
              <w:spacing w:before="240"/>
              <w:rPr>
                <w:rFonts w:cs="Arial"/>
                <w:sz w:val="19"/>
                <w:szCs w:val="19"/>
                <w:lang w:val="fr-CH"/>
              </w:rPr>
            </w:pPr>
            <w:r>
              <w:rPr>
                <w:rFonts w:cs="Arial"/>
                <w:sz w:val="19"/>
                <w:szCs w:val="19"/>
                <w:lang w:val="fr-CH"/>
              </w:rPr>
              <w:t>S</w:t>
            </w:r>
            <w:r w:rsidR="00903FFD" w:rsidRPr="00F0226F">
              <w:rPr>
                <w:rFonts w:cs="Arial"/>
                <w:sz w:val="19"/>
                <w:szCs w:val="19"/>
                <w:lang w:val="fr-CH"/>
              </w:rPr>
              <w:t>yst</w:t>
            </w:r>
            <w:r>
              <w:rPr>
                <w:rFonts w:cs="Arial"/>
                <w:sz w:val="19"/>
                <w:szCs w:val="19"/>
                <w:lang w:val="fr-CH"/>
              </w:rPr>
              <w:t>è</w:t>
            </w:r>
            <w:r w:rsidR="00903FFD" w:rsidRPr="00F0226F">
              <w:rPr>
                <w:rFonts w:cs="Arial"/>
                <w:sz w:val="19"/>
                <w:szCs w:val="19"/>
                <w:lang w:val="fr-CH"/>
              </w:rPr>
              <w:t>m</w:t>
            </w:r>
            <w:r>
              <w:rPr>
                <w:rFonts w:cs="Arial"/>
                <w:sz w:val="19"/>
                <w:szCs w:val="19"/>
                <w:lang w:val="fr-CH"/>
              </w:rPr>
              <w:t>e</w:t>
            </w:r>
            <w:r w:rsidR="006233CC">
              <w:rPr>
                <w:rFonts w:cs="Arial"/>
                <w:sz w:val="19"/>
                <w:szCs w:val="19"/>
                <w:lang w:val="fr-CH"/>
              </w:rPr>
              <w:t xml:space="preserve"> d’information géographique</w:t>
            </w:r>
          </w:p>
        </w:tc>
      </w:tr>
      <w:tr w:rsidR="003C57E3" w:rsidRPr="00F0226F" w14:paraId="2867E0F9" w14:textId="77777777" w:rsidTr="29D59492">
        <w:tc>
          <w:tcPr>
            <w:tcW w:w="1271" w:type="dxa"/>
            <w:shd w:val="clear" w:color="auto" w:fill="auto"/>
          </w:tcPr>
          <w:p w14:paraId="4498120C" w14:textId="3B8DE8B2" w:rsidR="003C57E3" w:rsidRPr="00F0226F" w:rsidRDefault="000C7F1B" w:rsidP="00087AD3">
            <w:pPr>
              <w:spacing w:before="240"/>
              <w:rPr>
                <w:rFonts w:cs="Arial"/>
                <w:sz w:val="19"/>
                <w:szCs w:val="19"/>
                <w:lang w:val="fr-CH"/>
              </w:rPr>
            </w:pPr>
            <w:r>
              <w:rPr>
                <w:rFonts w:cs="Arial"/>
                <w:sz w:val="19"/>
                <w:szCs w:val="19"/>
                <w:lang w:val="fr-CH"/>
              </w:rPr>
              <w:t>SG-DETEC</w:t>
            </w:r>
          </w:p>
        </w:tc>
        <w:tc>
          <w:tcPr>
            <w:tcW w:w="8222" w:type="dxa"/>
            <w:shd w:val="clear" w:color="auto" w:fill="auto"/>
          </w:tcPr>
          <w:p w14:paraId="18F920B1" w14:textId="78D281D9" w:rsidR="002148AD" w:rsidRPr="00F0226F" w:rsidRDefault="000C7F1B" w:rsidP="002148AD">
            <w:pPr>
              <w:spacing w:before="240"/>
              <w:rPr>
                <w:rFonts w:cs="Arial"/>
                <w:sz w:val="19"/>
                <w:szCs w:val="19"/>
                <w:lang w:val="fr-CH"/>
              </w:rPr>
            </w:pPr>
            <w:r>
              <w:rPr>
                <w:rFonts w:cs="Arial"/>
                <w:sz w:val="19"/>
                <w:szCs w:val="19"/>
                <w:lang w:val="fr-CH"/>
              </w:rPr>
              <w:t>Secrétariat général du DETEC</w:t>
            </w:r>
          </w:p>
        </w:tc>
      </w:tr>
      <w:tr w:rsidR="002148AD" w:rsidRPr="008454A6" w14:paraId="5F4558D0" w14:textId="77777777" w:rsidTr="29D59492">
        <w:tc>
          <w:tcPr>
            <w:tcW w:w="1271" w:type="dxa"/>
            <w:shd w:val="clear" w:color="auto" w:fill="auto"/>
          </w:tcPr>
          <w:p w14:paraId="28DB6427" w14:textId="7DD7A7E8" w:rsidR="002148AD" w:rsidRDefault="002148AD" w:rsidP="00087AD3">
            <w:pPr>
              <w:spacing w:before="240"/>
              <w:rPr>
                <w:rFonts w:cs="Arial"/>
                <w:sz w:val="19"/>
                <w:szCs w:val="19"/>
                <w:lang w:val="fr-CH"/>
              </w:rPr>
            </w:pPr>
            <w:r>
              <w:rPr>
                <w:rFonts w:cs="Arial"/>
                <w:sz w:val="19"/>
                <w:szCs w:val="19"/>
                <w:lang w:val="fr-CH"/>
              </w:rPr>
              <w:t>LEaux</w:t>
            </w:r>
          </w:p>
        </w:tc>
        <w:tc>
          <w:tcPr>
            <w:tcW w:w="8222" w:type="dxa"/>
            <w:shd w:val="clear" w:color="auto" w:fill="auto"/>
          </w:tcPr>
          <w:p w14:paraId="039DFED1" w14:textId="760354A0" w:rsidR="002148AD" w:rsidRDefault="002148AD" w:rsidP="00087AD3">
            <w:pPr>
              <w:spacing w:before="240"/>
              <w:rPr>
                <w:rFonts w:cs="Arial"/>
                <w:sz w:val="19"/>
                <w:szCs w:val="19"/>
                <w:lang w:val="fr-CH"/>
              </w:rPr>
            </w:pPr>
            <w:r>
              <w:rPr>
                <w:rFonts w:cs="Arial"/>
                <w:sz w:val="19"/>
                <w:szCs w:val="19"/>
                <w:lang w:val="fr-CH"/>
              </w:rPr>
              <w:t>Loi fédérale du 24 janvier 1991 sur la protection des eaux ; RS 814.20</w:t>
            </w:r>
          </w:p>
        </w:tc>
      </w:tr>
      <w:tr w:rsidR="003C57E3" w:rsidRPr="00F0226F" w14:paraId="03E747DD" w14:textId="77777777" w:rsidTr="29D59492">
        <w:tc>
          <w:tcPr>
            <w:tcW w:w="1271" w:type="dxa"/>
            <w:shd w:val="clear" w:color="auto" w:fill="auto"/>
          </w:tcPr>
          <w:p w14:paraId="1E996C3B" w14:textId="187DC3FF" w:rsidR="003C57E3" w:rsidRPr="00F0226F" w:rsidRDefault="000C7F1B" w:rsidP="00087AD3">
            <w:pPr>
              <w:spacing w:before="240"/>
              <w:rPr>
                <w:rFonts w:cs="Arial"/>
                <w:sz w:val="19"/>
                <w:szCs w:val="19"/>
                <w:lang w:val="fr-CH"/>
              </w:rPr>
            </w:pPr>
            <w:r>
              <w:rPr>
                <w:rFonts w:cs="Arial"/>
                <w:sz w:val="19"/>
                <w:szCs w:val="19"/>
                <w:lang w:val="fr-CH"/>
              </w:rPr>
              <w:t>SG</w:t>
            </w:r>
            <w:r w:rsidR="003C57E3" w:rsidRPr="00F0226F">
              <w:rPr>
                <w:rFonts w:cs="Arial"/>
                <w:sz w:val="19"/>
                <w:szCs w:val="19"/>
                <w:lang w:val="fr-CH"/>
              </w:rPr>
              <w:t>-</w:t>
            </w:r>
            <w:r>
              <w:rPr>
                <w:rFonts w:cs="Arial"/>
                <w:sz w:val="19"/>
                <w:szCs w:val="19"/>
                <w:lang w:val="fr-CH"/>
              </w:rPr>
              <w:t>DDP</w:t>
            </w:r>
            <w:r w:rsidR="003C57E3" w:rsidRPr="00F0226F">
              <w:rPr>
                <w:rFonts w:cs="Arial"/>
                <w:sz w:val="19"/>
                <w:szCs w:val="19"/>
                <w:lang w:val="fr-CH"/>
              </w:rPr>
              <w:t>S</w:t>
            </w:r>
          </w:p>
        </w:tc>
        <w:tc>
          <w:tcPr>
            <w:tcW w:w="8222" w:type="dxa"/>
            <w:shd w:val="clear" w:color="auto" w:fill="auto"/>
          </w:tcPr>
          <w:p w14:paraId="7ED9C854" w14:textId="57A62258" w:rsidR="003C57E3" w:rsidRPr="00F0226F" w:rsidRDefault="000C7F1B" w:rsidP="00087AD3">
            <w:pPr>
              <w:spacing w:before="240"/>
              <w:rPr>
                <w:rFonts w:cs="Arial"/>
                <w:sz w:val="19"/>
                <w:szCs w:val="19"/>
                <w:lang w:val="fr-CH"/>
              </w:rPr>
            </w:pPr>
            <w:r>
              <w:rPr>
                <w:rFonts w:cs="Arial"/>
                <w:sz w:val="19"/>
                <w:szCs w:val="19"/>
                <w:lang w:val="fr-CH"/>
              </w:rPr>
              <w:t>Secrétariat général du DDPS</w:t>
            </w:r>
          </w:p>
        </w:tc>
      </w:tr>
      <w:tr w:rsidR="00603731" w:rsidRPr="008454A6" w14:paraId="66955B45" w14:textId="77777777" w:rsidTr="29D59492">
        <w:tc>
          <w:tcPr>
            <w:tcW w:w="1271" w:type="dxa"/>
            <w:shd w:val="clear" w:color="auto" w:fill="auto"/>
          </w:tcPr>
          <w:p w14:paraId="48A820DF" w14:textId="077A399C" w:rsidR="00603731" w:rsidRPr="00F0226F" w:rsidRDefault="00F75214" w:rsidP="00087AD3">
            <w:pPr>
              <w:spacing w:before="240"/>
              <w:rPr>
                <w:rFonts w:cs="Arial"/>
                <w:sz w:val="19"/>
                <w:szCs w:val="19"/>
                <w:lang w:val="fr-CH"/>
              </w:rPr>
            </w:pPr>
            <w:r>
              <w:rPr>
                <w:rFonts w:cs="Arial"/>
                <w:sz w:val="19"/>
                <w:szCs w:val="19"/>
                <w:lang w:val="fr-CH"/>
              </w:rPr>
              <w:t>OEaux</w:t>
            </w:r>
          </w:p>
        </w:tc>
        <w:tc>
          <w:tcPr>
            <w:tcW w:w="8222" w:type="dxa"/>
            <w:shd w:val="clear" w:color="auto" w:fill="auto"/>
          </w:tcPr>
          <w:p w14:paraId="7501F15C" w14:textId="4D484F65" w:rsidR="00603731" w:rsidRPr="00F0226F" w:rsidRDefault="00F75214" w:rsidP="00087AD3">
            <w:pPr>
              <w:spacing w:before="240"/>
              <w:rPr>
                <w:rFonts w:cs="Arial"/>
                <w:sz w:val="19"/>
                <w:szCs w:val="19"/>
                <w:lang w:val="fr-CH"/>
              </w:rPr>
            </w:pPr>
            <w:r>
              <w:rPr>
                <w:rFonts w:cs="Arial"/>
                <w:sz w:val="19"/>
                <w:szCs w:val="19"/>
                <w:lang w:val="fr-CH"/>
              </w:rPr>
              <w:t>Ordonnance du</w:t>
            </w:r>
            <w:r w:rsidR="007C7951" w:rsidRPr="00F0226F">
              <w:rPr>
                <w:rFonts w:cs="Arial"/>
                <w:sz w:val="19"/>
                <w:szCs w:val="19"/>
                <w:lang w:val="fr-CH"/>
              </w:rPr>
              <w:t xml:space="preserve"> 28</w:t>
            </w:r>
            <w:r>
              <w:rPr>
                <w:rFonts w:cs="Arial"/>
                <w:sz w:val="19"/>
                <w:szCs w:val="19"/>
                <w:lang w:val="fr-CH"/>
              </w:rPr>
              <w:t xml:space="preserve"> octobre</w:t>
            </w:r>
            <w:r w:rsidR="007C7951" w:rsidRPr="00F0226F">
              <w:rPr>
                <w:rFonts w:cs="Arial"/>
                <w:sz w:val="19"/>
                <w:szCs w:val="19"/>
                <w:lang w:val="fr-CH"/>
              </w:rPr>
              <w:t>1998</w:t>
            </w:r>
            <w:r>
              <w:rPr>
                <w:rFonts w:cs="Arial"/>
                <w:sz w:val="19"/>
                <w:szCs w:val="19"/>
                <w:lang w:val="fr-CH"/>
              </w:rPr>
              <w:t xml:space="preserve"> sur la protection des eaux </w:t>
            </w:r>
            <w:r w:rsidR="007C7951" w:rsidRPr="00F0226F">
              <w:rPr>
                <w:rFonts w:cs="Arial"/>
                <w:sz w:val="19"/>
                <w:szCs w:val="19"/>
                <w:lang w:val="fr-CH"/>
              </w:rPr>
              <w:t xml:space="preserve">; </w:t>
            </w:r>
            <w:r>
              <w:rPr>
                <w:rFonts w:cs="Arial"/>
                <w:sz w:val="19"/>
                <w:szCs w:val="19"/>
                <w:lang w:val="fr-CH"/>
              </w:rPr>
              <w:t>RS</w:t>
            </w:r>
            <w:r w:rsidR="007C7951" w:rsidRPr="00F0226F">
              <w:rPr>
                <w:rFonts w:cs="Arial"/>
                <w:sz w:val="19"/>
                <w:szCs w:val="19"/>
                <w:lang w:val="fr-CH"/>
              </w:rPr>
              <w:t xml:space="preserve"> 814.201</w:t>
            </w:r>
          </w:p>
        </w:tc>
      </w:tr>
      <w:tr w:rsidR="00093244" w:rsidRPr="008454A6" w14:paraId="5AD75310" w14:textId="77777777" w:rsidTr="29D59492">
        <w:tc>
          <w:tcPr>
            <w:tcW w:w="1271" w:type="dxa"/>
            <w:shd w:val="clear" w:color="auto" w:fill="auto"/>
          </w:tcPr>
          <w:p w14:paraId="16B884B1" w14:textId="32F3867E" w:rsidR="00093244" w:rsidRPr="00F0226F" w:rsidRDefault="00F75214" w:rsidP="00087AD3">
            <w:pPr>
              <w:spacing w:before="240"/>
              <w:rPr>
                <w:rFonts w:cs="Arial"/>
                <w:sz w:val="19"/>
                <w:szCs w:val="19"/>
                <w:lang w:val="fr-CH"/>
              </w:rPr>
            </w:pPr>
            <w:r>
              <w:rPr>
                <w:rFonts w:cs="Arial"/>
                <w:sz w:val="19"/>
                <w:szCs w:val="19"/>
                <w:lang w:val="fr-CH"/>
              </w:rPr>
              <w:t>CC</w:t>
            </w:r>
            <w:r w:rsidR="00093244" w:rsidRPr="00F0226F">
              <w:rPr>
                <w:rFonts w:cs="Arial"/>
                <w:sz w:val="19"/>
                <w:szCs w:val="19"/>
                <w:lang w:val="fr-CH"/>
              </w:rPr>
              <w:t>GEO</w:t>
            </w:r>
          </w:p>
        </w:tc>
        <w:tc>
          <w:tcPr>
            <w:tcW w:w="8222" w:type="dxa"/>
            <w:shd w:val="clear" w:color="auto" w:fill="auto"/>
          </w:tcPr>
          <w:p w14:paraId="3FC7460E" w14:textId="367B2EC1" w:rsidR="00093244" w:rsidRPr="00F0226F" w:rsidRDefault="00F75214" w:rsidP="00087AD3">
            <w:pPr>
              <w:spacing w:before="240"/>
              <w:rPr>
                <w:rFonts w:cs="Arial"/>
                <w:sz w:val="19"/>
                <w:szCs w:val="19"/>
                <w:lang w:val="fr-CH"/>
              </w:rPr>
            </w:pPr>
            <w:r>
              <w:rPr>
                <w:rFonts w:cs="Arial"/>
                <w:sz w:val="19"/>
                <w:szCs w:val="19"/>
                <w:lang w:val="fr-CH"/>
              </w:rPr>
              <w:t>C</w:t>
            </w:r>
            <w:r w:rsidR="00093244" w:rsidRPr="00F0226F">
              <w:rPr>
                <w:rFonts w:cs="Arial"/>
                <w:sz w:val="19"/>
                <w:szCs w:val="19"/>
                <w:lang w:val="fr-CH"/>
              </w:rPr>
              <w:t>onf</w:t>
            </w:r>
            <w:r>
              <w:rPr>
                <w:rFonts w:cs="Arial"/>
                <w:sz w:val="19"/>
                <w:szCs w:val="19"/>
                <w:lang w:val="fr-CH"/>
              </w:rPr>
              <w:t>é</w:t>
            </w:r>
            <w:r w:rsidR="00093244" w:rsidRPr="00F0226F">
              <w:rPr>
                <w:rFonts w:cs="Arial"/>
                <w:sz w:val="19"/>
                <w:szCs w:val="19"/>
                <w:lang w:val="fr-CH"/>
              </w:rPr>
              <w:t>ren</w:t>
            </w:r>
            <w:r>
              <w:rPr>
                <w:rFonts w:cs="Arial"/>
                <w:sz w:val="19"/>
                <w:szCs w:val="19"/>
                <w:lang w:val="fr-CH"/>
              </w:rPr>
              <w:t>c</w:t>
            </w:r>
            <w:r w:rsidR="00093244" w:rsidRPr="00F0226F">
              <w:rPr>
                <w:rFonts w:cs="Arial"/>
                <w:sz w:val="19"/>
                <w:szCs w:val="19"/>
                <w:lang w:val="fr-CH"/>
              </w:rPr>
              <w:t>e</w:t>
            </w:r>
            <w:r>
              <w:rPr>
                <w:rFonts w:cs="Arial"/>
                <w:sz w:val="19"/>
                <w:szCs w:val="19"/>
                <w:lang w:val="fr-CH"/>
              </w:rPr>
              <w:t xml:space="preserve"> des services cantonaux de géoinformation</w:t>
            </w:r>
          </w:p>
        </w:tc>
      </w:tr>
      <w:tr w:rsidR="001D38FE" w:rsidRPr="008454A6" w14:paraId="183D8DF0" w14:textId="77777777" w:rsidTr="29D59492">
        <w:tc>
          <w:tcPr>
            <w:tcW w:w="1271" w:type="dxa"/>
            <w:shd w:val="clear" w:color="auto" w:fill="auto"/>
          </w:tcPr>
          <w:p w14:paraId="7E84E713" w14:textId="5B108199" w:rsidR="001D38FE" w:rsidRPr="00F0226F" w:rsidRDefault="001D38FE" w:rsidP="00087AD3">
            <w:pPr>
              <w:spacing w:before="240"/>
              <w:rPr>
                <w:rFonts w:cs="Arial"/>
                <w:sz w:val="19"/>
                <w:szCs w:val="19"/>
                <w:lang w:val="fr-CH"/>
              </w:rPr>
            </w:pPr>
            <w:r w:rsidRPr="00F0226F">
              <w:rPr>
                <w:rFonts w:cs="Arial"/>
                <w:sz w:val="19"/>
                <w:szCs w:val="19"/>
                <w:lang w:val="fr-CH"/>
              </w:rPr>
              <w:t>KLABS</w:t>
            </w:r>
          </w:p>
        </w:tc>
        <w:tc>
          <w:tcPr>
            <w:tcW w:w="8222" w:type="dxa"/>
            <w:shd w:val="clear" w:color="auto" w:fill="auto"/>
          </w:tcPr>
          <w:p w14:paraId="4BA1C634" w14:textId="05046FB4" w:rsidR="001D38FE" w:rsidRPr="00F0226F" w:rsidRDefault="00F75214" w:rsidP="00087AD3">
            <w:pPr>
              <w:spacing w:before="240"/>
              <w:rPr>
                <w:rFonts w:cs="Arial"/>
                <w:sz w:val="19"/>
                <w:szCs w:val="19"/>
                <w:lang w:val="fr-CH"/>
              </w:rPr>
            </w:pPr>
            <w:r>
              <w:rPr>
                <w:rFonts w:cs="Arial"/>
                <w:sz w:val="19"/>
                <w:szCs w:val="19"/>
                <w:lang w:val="fr-CH"/>
              </w:rPr>
              <w:t>C</w:t>
            </w:r>
            <w:r w:rsidR="001D38FE" w:rsidRPr="00F0226F">
              <w:rPr>
                <w:rFonts w:cs="Arial"/>
                <w:sz w:val="19"/>
                <w:szCs w:val="19"/>
                <w:lang w:val="fr-CH"/>
              </w:rPr>
              <w:t>lassifi</w:t>
            </w:r>
            <w:r>
              <w:rPr>
                <w:rFonts w:cs="Arial"/>
                <w:sz w:val="19"/>
                <w:szCs w:val="19"/>
                <w:lang w:val="fr-CH"/>
              </w:rPr>
              <w:t>c</w:t>
            </w:r>
            <w:r w:rsidR="001D38FE" w:rsidRPr="00F0226F">
              <w:rPr>
                <w:rFonts w:cs="Arial"/>
                <w:sz w:val="19"/>
                <w:szCs w:val="19"/>
                <w:lang w:val="fr-CH"/>
              </w:rPr>
              <w:t>ation d</w:t>
            </w:r>
            <w:r>
              <w:rPr>
                <w:rFonts w:cs="Arial"/>
                <w:sz w:val="19"/>
                <w:szCs w:val="19"/>
                <w:lang w:val="fr-CH"/>
              </w:rPr>
              <w:t>es sols de Suisse</w:t>
            </w:r>
          </w:p>
        </w:tc>
      </w:tr>
      <w:tr w:rsidR="001D38FE" w:rsidRPr="008454A6" w14:paraId="5CC4733A" w14:textId="77777777" w:rsidTr="29D59492">
        <w:tc>
          <w:tcPr>
            <w:tcW w:w="1271" w:type="dxa"/>
            <w:shd w:val="clear" w:color="auto" w:fill="auto"/>
          </w:tcPr>
          <w:p w14:paraId="5AA89D4C" w14:textId="1B90379A" w:rsidR="001D38FE" w:rsidRPr="00F0226F" w:rsidRDefault="001D38FE" w:rsidP="00087AD3">
            <w:pPr>
              <w:spacing w:before="240"/>
              <w:rPr>
                <w:rFonts w:cs="Arial"/>
                <w:sz w:val="19"/>
                <w:szCs w:val="19"/>
                <w:lang w:val="fr-CH"/>
              </w:rPr>
            </w:pPr>
            <w:r w:rsidRPr="00F0226F">
              <w:rPr>
                <w:rFonts w:cs="Arial"/>
                <w:sz w:val="19"/>
                <w:szCs w:val="19"/>
                <w:lang w:val="fr-CH"/>
              </w:rPr>
              <w:t>KOBO</w:t>
            </w:r>
          </w:p>
        </w:tc>
        <w:tc>
          <w:tcPr>
            <w:tcW w:w="8222" w:type="dxa"/>
            <w:shd w:val="clear" w:color="auto" w:fill="auto"/>
          </w:tcPr>
          <w:p w14:paraId="11A75DC1" w14:textId="1F7225BA" w:rsidR="001D38FE" w:rsidRPr="00F0226F" w:rsidRDefault="00F75214" w:rsidP="00087AD3">
            <w:pPr>
              <w:spacing w:before="240"/>
              <w:rPr>
                <w:rFonts w:cs="Arial"/>
                <w:sz w:val="19"/>
                <w:szCs w:val="19"/>
                <w:lang w:val="fr-CH"/>
              </w:rPr>
            </w:pPr>
            <w:r>
              <w:rPr>
                <w:rFonts w:cs="Arial"/>
                <w:sz w:val="19"/>
                <w:szCs w:val="19"/>
                <w:lang w:val="fr-CH"/>
              </w:rPr>
              <w:t xml:space="preserve">Centre de </w:t>
            </w:r>
            <w:r w:rsidR="008F417C">
              <w:rPr>
                <w:rFonts w:cs="Arial"/>
                <w:sz w:val="19"/>
                <w:szCs w:val="19"/>
                <w:lang w:val="fr-CH"/>
              </w:rPr>
              <w:t>compétence national Sol</w:t>
            </w:r>
            <w:r w:rsidR="001D38FE" w:rsidRPr="00F0226F">
              <w:rPr>
                <w:rFonts w:cs="Arial"/>
                <w:sz w:val="19"/>
                <w:szCs w:val="19"/>
                <w:lang w:val="fr-CH"/>
              </w:rPr>
              <w:t xml:space="preserve"> </w:t>
            </w:r>
          </w:p>
        </w:tc>
      </w:tr>
      <w:tr w:rsidR="00716AF9" w:rsidRPr="008454A6" w14:paraId="175A57EB" w14:textId="77777777" w:rsidTr="29D59492">
        <w:tc>
          <w:tcPr>
            <w:tcW w:w="1271" w:type="dxa"/>
            <w:shd w:val="clear" w:color="auto" w:fill="auto"/>
          </w:tcPr>
          <w:p w14:paraId="5A187176" w14:textId="10195591" w:rsidR="00716AF9" w:rsidRPr="00F0226F" w:rsidRDefault="008F417C" w:rsidP="00087AD3">
            <w:pPr>
              <w:spacing w:before="240"/>
              <w:rPr>
                <w:rFonts w:cs="Arial"/>
                <w:sz w:val="19"/>
                <w:szCs w:val="19"/>
                <w:lang w:val="fr-CH"/>
              </w:rPr>
            </w:pPr>
            <w:r>
              <w:rPr>
                <w:rFonts w:cs="Arial"/>
                <w:sz w:val="19"/>
                <w:szCs w:val="19"/>
                <w:lang w:val="fr-CH"/>
              </w:rPr>
              <w:t>OTerm</w:t>
            </w:r>
          </w:p>
        </w:tc>
        <w:tc>
          <w:tcPr>
            <w:tcW w:w="8222" w:type="dxa"/>
            <w:shd w:val="clear" w:color="auto" w:fill="auto"/>
          </w:tcPr>
          <w:p w14:paraId="76C5A510" w14:textId="4CBF2371" w:rsidR="00716AF9" w:rsidRPr="00F0226F" w:rsidRDefault="008F417C" w:rsidP="00087AD3">
            <w:pPr>
              <w:spacing w:before="240"/>
              <w:rPr>
                <w:rFonts w:cs="Arial"/>
                <w:sz w:val="19"/>
                <w:szCs w:val="19"/>
                <w:lang w:val="fr-CH"/>
              </w:rPr>
            </w:pPr>
            <w:r>
              <w:rPr>
                <w:rFonts w:cs="Arial"/>
                <w:lang w:val="fr-CH"/>
              </w:rPr>
              <w:t xml:space="preserve">Ordonnance du </w:t>
            </w:r>
            <w:r w:rsidR="00716AF9" w:rsidRPr="00F0226F">
              <w:rPr>
                <w:rFonts w:cs="Arial"/>
                <w:lang w:val="fr-CH"/>
              </w:rPr>
              <w:t>7</w:t>
            </w:r>
            <w:r>
              <w:rPr>
                <w:rFonts w:cs="Arial"/>
                <w:lang w:val="fr-CH"/>
              </w:rPr>
              <w:t xml:space="preserve"> décembre</w:t>
            </w:r>
            <w:r w:rsidR="00716AF9" w:rsidRPr="00F0226F">
              <w:rPr>
                <w:rFonts w:cs="Arial"/>
                <w:lang w:val="fr-CH"/>
              </w:rPr>
              <w:t xml:space="preserve"> 1998</w:t>
            </w:r>
            <w:r>
              <w:rPr>
                <w:rFonts w:cs="Arial"/>
                <w:lang w:val="fr-CH"/>
              </w:rPr>
              <w:t xml:space="preserve"> sur la terminologie agricole et la reconnaissance des formes d’exploitation </w:t>
            </w:r>
            <w:r w:rsidR="00716AF9" w:rsidRPr="00F0226F">
              <w:rPr>
                <w:rFonts w:cs="Arial"/>
                <w:lang w:val="fr-CH"/>
              </w:rPr>
              <w:t xml:space="preserve">; </w:t>
            </w:r>
            <w:r>
              <w:rPr>
                <w:rFonts w:cs="Arial"/>
                <w:lang w:val="fr-CH"/>
              </w:rPr>
              <w:t>RS</w:t>
            </w:r>
            <w:r w:rsidR="00716AF9" w:rsidRPr="00F0226F">
              <w:rPr>
                <w:rFonts w:cs="Arial"/>
                <w:lang w:val="fr-CH"/>
              </w:rPr>
              <w:t xml:space="preserve"> 910.91</w:t>
            </w:r>
          </w:p>
        </w:tc>
      </w:tr>
      <w:tr w:rsidR="006B3F20" w:rsidRPr="008454A6" w14:paraId="1DB14552" w14:textId="77777777" w:rsidTr="29D59492">
        <w:tc>
          <w:tcPr>
            <w:tcW w:w="1271" w:type="dxa"/>
            <w:shd w:val="clear" w:color="auto" w:fill="auto"/>
          </w:tcPr>
          <w:p w14:paraId="35C6AF3A" w14:textId="5CE13346" w:rsidR="006B3F20" w:rsidRPr="00F0226F" w:rsidRDefault="008F417C" w:rsidP="00087AD3">
            <w:pPr>
              <w:spacing w:before="240"/>
              <w:rPr>
                <w:rFonts w:cs="Arial"/>
                <w:sz w:val="19"/>
                <w:szCs w:val="19"/>
                <w:lang w:val="fr-CH"/>
              </w:rPr>
            </w:pPr>
            <w:r>
              <w:rPr>
                <w:rFonts w:cs="Arial"/>
                <w:sz w:val="19"/>
                <w:szCs w:val="19"/>
                <w:lang w:val="fr-CH"/>
              </w:rPr>
              <w:t>CDCA</w:t>
            </w:r>
          </w:p>
        </w:tc>
        <w:tc>
          <w:tcPr>
            <w:tcW w:w="8222" w:type="dxa"/>
            <w:shd w:val="clear" w:color="auto" w:fill="auto"/>
          </w:tcPr>
          <w:p w14:paraId="223D1DE9" w14:textId="02E5B6B1" w:rsidR="006B3F20" w:rsidRPr="00F0226F" w:rsidRDefault="008F417C" w:rsidP="00087AD3">
            <w:pPr>
              <w:spacing w:before="240"/>
              <w:rPr>
                <w:rFonts w:cs="Arial"/>
                <w:sz w:val="19"/>
                <w:szCs w:val="19"/>
                <w:lang w:val="fr-CH"/>
              </w:rPr>
            </w:pPr>
            <w:r>
              <w:rPr>
                <w:rFonts w:cs="Arial"/>
                <w:sz w:val="19"/>
                <w:szCs w:val="19"/>
                <w:lang w:val="fr-CH"/>
              </w:rPr>
              <w:t>C</w:t>
            </w:r>
            <w:r w:rsidR="000E5628" w:rsidRPr="00F0226F">
              <w:rPr>
                <w:rFonts w:cs="Arial"/>
                <w:sz w:val="19"/>
                <w:szCs w:val="19"/>
                <w:lang w:val="fr-CH"/>
              </w:rPr>
              <w:t>onf</w:t>
            </w:r>
            <w:r>
              <w:rPr>
                <w:rFonts w:cs="Arial"/>
                <w:sz w:val="19"/>
                <w:szCs w:val="19"/>
                <w:lang w:val="fr-CH"/>
              </w:rPr>
              <w:t>é</w:t>
            </w:r>
            <w:r w:rsidR="000E5628" w:rsidRPr="00F0226F">
              <w:rPr>
                <w:rFonts w:cs="Arial"/>
                <w:sz w:val="19"/>
                <w:szCs w:val="19"/>
                <w:lang w:val="fr-CH"/>
              </w:rPr>
              <w:t>ren</w:t>
            </w:r>
            <w:r>
              <w:rPr>
                <w:rFonts w:cs="Arial"/>
                <w:sz w:val="19"/>
                <w:szCs w:val="19"/>
                <w:lang w:val="fr-CH"/>
              </w:rPr>
              <w:t>ce des directeurs cantonaux de l’agriculture</w:t>
            </w:r>
          </w:p>
        </w:tc>
      </w:tr>
      <w:tr w:rsidR="00BE4000" w:rsidRPr="008454A6" w14:paraId="3F38BD1A" w14:textId="77777777" w:rsidTr="29D59492">
        <w:tc>
          <w:tcPr>
            <w:tcW w:w="1271" w:type="dxa"/>
            <w:shd w:val="clear" w:color="auto" w:fill="auto"/>
          </w:tcPr>
          <w:p w14:paraId="49A51E0D" w14:textId="39D750DB" w:rsidR="00BE4000" w:rsidRPr="00F0226F" w:rsidRDefault="325E5E49" w:rsidP="00087AD3">
            <w:pPr>
              <w:spacing w:before="240"/>
              <w:rPr>
                <w:rFonts w:cs="Arial"/>
                <w:sz w:val="19"/>
                <w:szCs w:val="19"/>
                <w:lang w:val="fr-CH"/>
              </w:rPr>
            </w:pPr>
            <w:r w:rsidRPr="00F0226F">
              <w:rPr>
                <w:rFonts w:cs="Arial"/>
                <w:sz w:val="19"/>
                <w:szCs w:val="19"/>
                <w:lang w:val="fr-CH"/>
              </w:rPr>
              <w:t>L</w:t>
            </w:r>
            <w:r w:rsidR="00F0315A">
              <w:rPr>
                <w:rFonts w:cs="Arial"/>
                <w:sz w:val="19"/>
                <w:szCs w:val="19"/>
                <w:lang w:val="fr-CH"/>
              </w:rPr>
              <w:t>AP</w:t>
            </w:r>
          </w:p>
        </w:tc>
        <w:tc>
          <w:tcPr>
            <w:tcW w:w="8222" w:type="dxa"/>
            <w:shd w:val="clear" w:color="auto" w:fill="auto"/>
          </w:tcPr>
          <w:p w14:paraId="5E7EBD80" w14:textId="2600441D" w:rsidR="00BE4000" w:rsidRPr="00F0226F" w:rsidDel="007944D5" w:rsidRDefault="008F417C" w:rsidP="00087AD3">
            <w:pPr>
              <w:spacing w:before="240"/>
              <w:rPr>
                <w:rFonts w:cs="Arial"/>
                <w:sz w:val="19"/>
                <w:szCs w:val="19"/>
                <w:lang w:val="fr-CH"/>
              </w:rPr>
            </w:pPr>
            <w:r>
              <w:rPr>
                <w:rFonts w:cs="Arial"/>
                <w:sz w:val="19"/>
                <w:szCs w:val="19"/>
                <w:lang w:val="fr-CH"/>
              </w:rPr>
              <w:t>Loi fédérale du</w:t>
            </w:r>
            <w:r w:rsidR="325E5E49" w:rsidRPr="00F0226F">
              <w:rPr>
                <w:rFonts w:cs="Arial"/>
                <w:sz w:val="19"/>
                <w:szCs w:val="19"/>
                <w:lang w:val="fr-CH"/>
              </w:rPr>
              <w:t xml:space="preserve"> 8</w:t>
            </w:r>
            <w:r>
              <w:rPr>
                <w:rFonts w:cs="Arial"/>
                <w:sz w:val="19"/>
                <w:szCs w:val="19"/>
                <w:lang w:val="fr-CH"/>
              </w:rPr>
              <w:t xml:space="preserve"> octobre</w:t>
            </w:r>
            <w:r w:rsidR="325E5E49" w:rsidRPr="00F0226F">
              <w:rPr>
                <w:rFonts w:cs="Arial"/>
                <w:sz w:val="19"/>
                <w:szCs w:val="19"/>
                <w:lang w:val="fr-CH"/>
              </w:rPr>
              <w:t xml:space="preserve"> 1982</w:t>
            </w:r>
            <w:r>
              <w:rPr>
                <w:rFonts w:cs="Arial"/>
                <w:sz w:val="19"/>
                <w:szCs w:val="19"/>
                <w:lang w:val="fr-CH"/>
              </w:rPr>
              <w:t xml:space="preserve"> sur l’approvisionnement économique du pays </w:t>
            </w:r>
            <w:r w:rsidR="325E5E49" w:rsidRPr="00F0226F">
              <w:rPr>
                <w:rFonts w:cs="Arial"/>
                <w:sz w:val="19"/>
                <w:szCs w:val="19"/>
                <w:lang w:val="fr-CH"/>
              </w:rPr>
              <w:t xml:space="preserve">; </w:t>
            </w:r>
            <w:r>
              <w:rPr>
                <w:rFonts w:cs="Arial"/>
                <w:sz w:val="19"/>
                <w:szCs w:val="19"/>
                <w:lang w:val="fr-CH"/>
              </w:rPr>
              <w:t>RS</w:t>
            </w:r>
            <w:r w:rsidR="325E5E49" w:rsidRPr="00F0226F">
              <w:rPr>
                <w:rFonts w:cs="Arial"/>
                <w:sz w:val="19"/>
                <w:szCs w:val="19"/>
                <w:lang w:val="fr-CH"/>
              </w:rPr>
              <w:t xml:space="preserve"> 531</w:t>
            </w:r>
          </w:p>
        </w:tc>
      </w:tr>
      <w:tr w:rsidR="00183CC3" w:rsidRPr="008454A6" w14:paraId="68B04F5E" w14:textId="77777777" w:rsidTr="29D59492">
        <w:tc>
          <w:tcPr>
            <w:tcW w:w="1271" w:type="dxa"/>
            <w:shd w:val="clear" w:color="auto" w:fill="auto"/>
          </w:tcPr>
          <w:p w14:paraId="3DAE9DA0" w14:textId="693D8B5D" w:rsidR="00183CC3" w:rsidRPr="00F0226F" w:rsidRDefault="00183CC3" w:rsidP="00087AD3">
            <w:pPr>
              <w:spacing w:before="240"/>
              <w:rPr>
                <w:rFonts w:cs="Arial"/>
                <w:sz w:val="19"/>
                <w:szCs w:val="19"/>
                <w:lang w:val="fr-CH"/>
              </w:rPr>
            </w:pPr>
            <w:r w:rsidRPr="00F0226F">
              <w:rPr>
                <w:rFonts w:cs="Arial"/>
                <w:sz w:val="19"/>
                <w:szCs w:val="19"/>
                <w:lang w:val="fr-CH"/>
              </w:rPr>
              <w:t>L</w:t>
            </w:r>
            <w:r w:rsidR="008F417C">
              <w:rPr>
                <w:rFonts w:cs="Arial"/>
                <w:sz w:val="19"/>
                <w:szCs w:val="19"/>
                <w:lang w:val="fr-CH"/>
              </w:rPr>
              <w:t>Agr</w:t>
            </w:r>
          </w:p>
        </w:tc>
        <w:tc>
          <w:tcPr>
            <w:tcW w:w="8222" w:type="dxa"/>
            <w:shd w:val="clear" w:color="auto" w:fill="auto"/>
          </w:tcPr>
          <w:p w14:paraId="6EE1D4DF" w14:textId="5EFC95E7" w:rsidR="00183CC3" w:rsidRPr="00F0226F" w:rsidRDefault="008F417C" w:rsidP="00087AD3">
            <w:pPr>
              <w:spacing w:before="240"/>
              <w:rPr>
                <w:rFonts w:cs="Arial"/>
                <w:sz w:val="19"/>
                <w:szCs w:val="19"/>
                <w:lang w:val="fr-CH"/>
              </w:rPr>
            </w:pPr>
            <w:r>
              <w:rPr>
                <w:rFonts w:cs="Arial"/>
                <w:sz w:val="19"/>
                <w:szCs w:val="19"/>
                <w:lang w:val="fr-CH"/>
              </w:rPr>
              <w:t>Loi fédérale du</w:t>
            </w:r>
            <w:r w:rsidR="00183CC3" w:rsidRPr="00F0226F">
              <w:rPr>
                <w:rFonts w:cs="Arial"/>
                <w:sz w:val="19"/>
                <w:szCs w:val="19"/>
                <w:lang w:val="fr-CH"/>
              </w:rPr>
              <w:t xml:space="preserve"> 29</w:t>
            </w:r>
            <w:r>
              <w:rPr>
                <w:rFonts w:cs="Arial"/>
                <w:sz w:val="19"/>
                <w:szCs w:val="19"/>
                <w:lang w:val="fr-CH"/>
              </w:rPr>
              <w:t xml:space="preserve"> avri</w:t>
            </w:r>
            <w:r w:rsidR="00183CC3" w:rsidRPr="00F0226F">
              <w:rPr>
                <w:rFonts w:cs="Arial"/>
                <w:sz w:val="19"/>
                <w:szCs w:val="19"/>
                <w:lang w:val="fr-CH"/>
              </w:rPr>
              <w:t>l 1998</w:t>
            </w:r>
            <w:r>
              <w:rPr>
                <w:rFonts w:cs="Arial"/>
                <w:sz w:val="19"/>
                <w:szCs w:val="19"/>
                <w:lang w:val="fr-CH"/>
              </w:rPr>
              <w:t xml:space="preserve"> sur l’agriculture </w:t>
            </w:r>
            <w:r w:rsidR="00183CC3" w:rsidRPr="00F0226F">
              <w:rPr>
                <w:rFonts w:cs="Arial"/>
                <w:sz w:val="19"/>
                <w:szCs w:val="19"/>
                <w:lang w:val="fr-CH"/>
              </w:rPr>
              <w:t xml:space="preserve">; </w:t>
            </w:r>
            <w:r>
              <w:rPr>
                <w:rFonts w:cs="Arial"/>
                <w:sz w:val="19"/>
                <w:szCs w:val="19"/>
                <w:lang w:val="fr-CH"/>
              </w:rPr>
              <w:t>RS</w:t>
            </w:r>
            <w:r w:rsidR="00183CC3" w:rsidRPr="00F0226F">
              <w:rPr>
                <w:rFonts w:cs="Arial"/>
                <w:sz w:val="19"/>
                <w:szCs w:val="19"/>
                <w:lang w:val="fr-CH"/>
              </w:rPr>
              <w:t xml:space="preserve"> 910.1</w:t>
            </w:r>
          </w:p>
        </w:tc>
      </w:tr>
      <w:tr w:rsidR="001D38FE" w:rsidRPr="00F0226F" w14:paraId="58B15B2E" w14:textId="77777777" w:rsidTr="29D59492">
        <w:tc>
          <w:tcPr>
            <w:tcW w:w="1271" w:type="dxa"/>
            <w:shd w:val="clear" w:color="auto" w:fill="auto"/>
          </w:tcPr>
          <w:p w14:paraId="54959221" w14:textId="5FCD8712" w:rsidR="001D38FE" w:rsidRPr="00F0226F" w:rsidRDefault="001D38FE" w:rsidP="00087AD3">
            <w:pPr>
              <w:spacing w:before="240"/>
              <w:rPr>
                <w:rFonts w:cs="Arial"/>
                <w:sz w:val="19"/>
                <w:szCs w:val="19"/>
                <w:lang w:val="fr-CH"/>
              </w:rPr>
            </w:pPr>
            <w:r w:rsidRPr="00F0226F">
              <w:rPr>
                <w:rFonts w:cs="Arial"/>
                <w:sz w:val="19"/>
                <w:szCs w:val="19"/>
                <w:lang w:val="fr-CH"/>
              </w:rPr>
              <w:t>NEK</w:t>
            </w:r>
          </w:p>
        </w:tc>
        <w:tc>
          <w:tcPr>
            <w:tcW w:w="8222" w:type="dxa"/>
            <w:shd w:val="clear" w:color="auto" w:fill="auto"/>
          </w:tcPr>
          <w:p w14:paraId="0913D3CF" w14:textId="10563D94" w:rsidR="001D38FE" w:rsidRPr="00F0226F" w:rsidRDefault="008F417C" w:rsidP="00087AD3">
            <w:pPr>
              <w:spacing w:before="240"/>
              <w:rPr>
                <w:rFonts w:cs="Arial"/>
                <w:sz w:val="19"/>
                <w:szCs w:val="19"/>
                <w:lang w:val="fr-CH"/>
              </w:rPr>
            </w:pPr>
            <w:r>
              <w:rPr>
                <w:rFonts w:cs="Arial"/>
                <w:sz w:val="19"/>
                <w:szCs w:val="19"/>
                <w:lang w:val="fr-CH"/>
              </w:rPr>
              <w:t>Classes d’aptitude pour l’agriculture</w:t>
            </w:r>
          </w:p>
        </w:tc>
      </w:tr>
      <w:tr w:rsidR="00451EDE" w:rsidRPr="008454A6" w14:paraId="096D3E37" w14:textId="77777777" w:rsidTr="29D59492">
        <w:tc>
          <w:tcPr>
            <w:tcW w:w="1271" w:type="dxa"/>
            <w:shd w:val="clear" w:color="auto" w:fill="auto"/>
          </w:tcPr>
          <w:p w14:paraId="115438B9" w14:textId="097AA965" w:rsidR="00451EDE" w:rsidRPr="00F0226F" w:rsidRDefault="008F417C" w:rsidP="00087AD3">
            <w:pPr>
              <w:spacing w:before="240"/>
              <w:rPr>
                <w:rFonts w:cs="Arial"/>
                <w:sz w:val="19"/>
                <w:szCs w:val="19"/>
                <w:lang w:val="fr-CH"/>
              </w:rPr>
            </w:pPr>
            <w:r>
              <w:rPr>
                <w:rFonts w:cs="Arial"/>
                <w:sz w:val="19"/>
                <w:szCs w:val="19"/>
                <w:lang w:val="fr-CH"/>
              </w:rPr>
              <w:t>PNR</w:t>
            </w:r>
            <w:r w:rsidR="00451EDE" w:rsidRPr="00F0226F">
              <w:rPr>
                <w:rFonts w:cs="Arial"/>
                <w:sz w:val="19"/>
                <w:szCs w:val="19"/>
                <w:lang w:val="fr-CH"/>
              </w:rPr>
              <w:t xml:space="preserve"> 68</w:t>
            </w:r>
          </w:p>
        </w:tc>
        <w:tc>
          <w:tcPr>
            <w:tcW w:w="8222" w:type="dxa"/>
            <w:shd w:val="clear" w:color="auto" w:fill="auto"/>
          </w:tcPr>
          <w:p w14:paraId="6710C548" w14:textId="5D432D56" w:rsidR="00451EDE" w:rsidRPr="00F0226F" w:rsidRDefault="008F417C" w:rsidP="00087AD3">
            <w:pPr>
              <w:spacing w:before="240"/>
              <w:rPr>
                <w:rFonts w:cs="Arial"/>
                <w:sz w:val="19"/>
                <w:szCs w:val="19"/>
                <w:lang w:val="fr-CH"/>
              </w:rPr>
            </w:pPr>
            <w:r>
              <w:rPr>
                <w:rFonts w:cs="Arial"/>
                <w:sz w:val="19"/>
                <w:szCs w:val="19"/>
                <w:lang w:val="fr-CH"/>
              </w:rPr>
              <w:t>Programme national de recherche</w:t>
            </w:r>
            <w:r w:rsidR="00E813A2" w:rsidRPr="00F0226F">
              <w:rPr>
                <w:rFonts w:cs="Arial"/>
                <w:sz w:val="19"/>
                <w:szCs w:val="19"/>
                <w:lang w:val="fr-CH"/>
              </w:rPr>
              <w:t xml:space="preserve"> «</w:t>
            </w:r>
            <w:r>
              <w:rPr>
                <w:rFonts w:cs="Arial"/>
                <w:sz w:val="19"/>
                <w:szCs w:val="19"/>
                <w:lang w:val="fr-CH"/>
              </w:rPr>
              <w:t xml:space="preserve"> Utilisation durable de la ressource sol </w:t>
            </w:r>
            <w:r w:rsidR="00E813A2" w:rsidRPr="00F0226F">
              <w:rPr>
                <w:rFonts w:cs="Arial"/>
                <w:sz w:val="19"/>
                <w:szCs w:val="19"/>
                <w:lang w:val="fr-CH"/>
              </w:rPr>
              <w:t>»</w:t>
            </w:r>
          </w:p>
        </w:tc>
      </w:tr>
      <w:tr w:rsidR="00291C91" w:rsidRPr="008454A6" w14:paraId="587BFDBA" w14:textId="77777777" w:rsidTr="29D59492">
        <w:tc>
          <w:tcPr>
            <w:tcW w:w="1271" w:type="dxa"/>
            <w:shd w:val="clear" w:color="auto" w:fill="auto"/>
          </w:tcPr>
          <w:p w14:paraId="16980351" w14:textId="4F9365E9" w:rsidR="00291C91" w:rsidRPr="00F0226F" w:rsidRDefault="00291C91" w:rsidP="00087AD3">
            <w:pPr>
              <w:spacing w:before="240"/>
              <w:rPr>
                <w:rFonts w:cs="Arial"/>
                <w:sz w:val="19"/>
                <w:szCs w:val="19"/>
                <w:lang w:val="fr-CH"/>
              </w:rPr>
            </w:pPr>
            <w:r w:rsidRPr="00F0226F">
              <w:rPr>
                <w:rFonts w:cs="Arial"/>
                <w:sz w:val="19"/>
                <w:szCs w:val="19"/>
                <w:lang w:val="fr-CH"/>
              </w:rPr>
              <w:t>PNG</w:t>
            </w:r>
          </w:p>
        </w:tc>
        <w:tc>
          <w:tcPr>
            <w:tcW w:w="8222" w:type="dxa"/>
            <w:shd w:val="clear" w:color="auto" w:fill="auto"/>
          </w:tcPr>
          <w:p w14:paraId="60C3F432" w14:textId="3BD53E2C" w:rsidR="00291C91" w:rsidRPr="00F0226F" w:rsidRDefault="00291C91" w:rsidP="00087AD3">
            <w:pPr>
              <w:spacing w:before="240"/>
              <w:rPr>
                <w:rFonts w:cs="Arial"/>
                <w:sz w:val="19"/>
                <w:szCs w:val="19"/>
                <w:lang w:val="fr-CH"/>
              </w:rPr>
            </w:pPr>
            <w:r w:rsidRPr="00F0226F">
              <w:rPr>
                <w:rFonts w:cs="Arial"/>
                <w:sz w:val="19"/>
                <w:szCs w:val="19"/>
                <w:lang w:val="fr-CH"/>
              </w:rPr>
              <w:t>P</w:t>
            </w:r>
            <w:r w:rsidR="008F417C">
              <w:rPr>
                <w:rFonts w:cs="Arial"/>
                <w:sz w:val="19"/>
                <w:szCs w:val="19"/>
                <w:lang w:val="fr-CH"/>
              </w:rPr>
              <w:t>rofondeur u</w:t>
            </w:r>
            <w:r w:rsidRPr="00F0226F">
              <w:rPr>
                <w:rFonts w:cs="Arial"/>
                <w:sz w:val="19"/>
                <w:szCs w:val="19"/>
                <w:lang w:val="fr-CH"/>
              </w:rPr>
              <w:t>t</w:t>
            </w:r>
            <w:r w:rsidR="008F417C">
              <w:rPr>
                <w:rFonts w:cs="Arial"/>
                <w:sz w:val="19"/>
                <w:szCs w:val="19"/>
                <w:lang w:val="fr-CH"/>
              </w:rPr>
              <w:t>ile pour les plantes</w:t>
            </w:r>
          </w:p>
        </w:tc>
      </w:tr>
      <w:tr w:rsidR="00D94598" w:rsidRPr="008454A6" w14:paraId="4C437197" w14:textId="77777777" w:rsidTr="29D59492">
        <w:tc>
          <w:tcPr>
            <w:tcW w:w="1271" w:type="dxa"/>
            <w:shd w:val="clear" w:color="auto" w:fill="auto"/>
          </w:tcPr>
          <w:p w14:paraId="39BB5112" w14:textId="4F645531" w:rsidR="00D94598" w:rsidRPr="00F0226F" w:rsidRDefault="008F417C" w:rsidP="00087AD3">
            <w:pPr>
              <w:spacing w:before="240"/>
              <w:rPr>
                <w:rFonts w:cs="Arial"/>
                <w:sz w:val="19"/>
                <w:szCs w:val="19"/>
                <w:lang w:val="fr-CH"/>
              </w:rPr>
            </w:pPr>
            <w:r>
              <w:rPr>
                <w:rFonts w:cs="Arial"/>
                <w:sz w:val="19"/>
                <w:szCs w:val="19"/>
                <w:lang w:val="fr-CH"/>
              </w:rPr>
              <w:t>LAT</w:t>
            </w:r>
          </w:p>
        </w:tc>
        <w:tc>
          <w:tcPr>
            <w:tcW w:w="8222" w:type="dxa"/>
            <w:shd w:val="clear" w:color="auto" w:fill="auto"/>
          </w:tcPr>
          <w:p w14:paraId="6221F867" w14:textId="0A49CE66" w:rsidR="00D94598" w:rsidRPr="00F0226F" w:rsidRDefault="008F417C" w:rsidP="00087AD3">
            <w:pPr>
              <w:spacing w:before="240"/>
              <w:rPr>
                <w:rFonts w:cs="Arial"/>
                <w:sz w:val="19"/>
                <w:szCs w:val="19"/>
                <w:lang w:val="fr-CH"/>
              </w:rPr>
            </w:pPr>
            <w:r>
              <w:rPr>
                <w:rFonts w:cs="Arial"/>
                <w:sz w:val="19"/>
                <w:szCs w:val="19"/>
                <w:lang w:val="fr-CH"/>
              </w:rPr>
              <w:t>Loi fédérale du</w:t>
            </w:r>
            <w:r w:rsidR="325E5E49" w:rsidRPr="00F0226F">
              <w:rPr>
                <w:rFonts w:cs="Arial"/>
                <w:sz w:val="19"/>
                <w:szCs w:val="19"/>
                <w:lang w:val="fr-CH"/>
              </w:rPr>
              <w:t xml:space="preserve"> 22</w:t>
            </w:r>
            <w:r>
              <w:rPr>
                <w:rFonts w:cs="Arial"/>
                <w:sz w:val="19"/>
                <w:szCs w:val="19"/>
                <w:lang w:val="fr-CH"/>
              </w:rPr>
              <w:t xml:space="preserve"> juin </w:t>
            </w:r>
            <w:r w:rsidR="325E5E49" w:rsidRPr="00F0226F">
              <w:rPr>
                <w:rFonts w:cs="Arial"/>
                <w:sz w:val="19"/>
                <w:szCs w:val="19"/>
                <w:lang w:val="fr-CH"/>
              </w:rPr>
              <w:t xml:space="preserve">1979 </w:t>
            </w:r>
            <w:r>
              <w:rPr>
                <w:rFonts w:cs="Arial"/>
                <w:sz w:val="19"/>
                <w:szCs w:val="19"/>
                <w:lang w:val="fr-CH"/>
              </w:rPr>
              <w:t xml:space="preserve">sur l’aménagement du territoire </w:t>
            </w:r>
            <w:r w:rsidR="325E5E49" w:rsidRPr="00F0226F">
              <w:rPr>
                <w:rFonts w:cs="Arial"/>
                <w:sz w:val="19"/>
                <w:szCs w:val="19"/>
                <w:lang w:val="fr-CH"/>
              </w:rPr>
              <w:t xml:space="preserve">; </w:t>
            </w:r>
            <w:r>
              <w:rPr>
                <w:rFonts w:cs="Arial"/>
                <w:sz w:val="19"/>
                <w:szCs w:val="19"/>
                <w:lang w:val="fr-CH"/>
              </w:rPr>
              <w:t>RS</w:t>
            </w:r>
            <w:r w:rsidR="325E5E49" w:rsidRPr="00F0226F">
              <w:rPr>
                <w:rFonts w:cs="Arial"/>
                <w:sz w:val="19"/>
                <w:szCs w:val="19"/>
                <w:lang w:val="fr-CH"/>
              </w:rPr>
              <w:t xml:space="preserve"> 700</w:t>
            </w:r>
          </w:p>
        </w:tc>
      </w:tr>
      <w:tr w:rsidR="00955C05" w:rsidRPr="008454A6" w14:paraId="64810F76" w14:textId="77777777" w:rsidTr="29D59492">
        <w:tc>
          <w:tcPr>
            <w:tcW w:w="1271" w:type="dxa"/>
            <w:shd w:val="clear" w:color="auto" w:fill="auto"/>
          </w:tcPr>
          <w:p w14:paraId="5DA0A0E2" w14:textId="397A2A1A" w:rsidR="00955C05" w:rsidRPr="00F0226F" w:rsidRDefault="008F417C" w:rsidP="00087AD3">
            <w:pPr>
              <w:spacing w:before="240"/>
              <w:rPr>
                <w:rFonts w:cs="Arial"/>
                <w:sz w:val="19"/>
                <w:szCs w:val="19"/>
                <w:lang w:val="fr-CH"/>
              </w:rPr>
            </w:pPr>
            <w:r>
              <w:rPr>
                <w:rFonts w:cs="Arial"/>
                <w:sz w:val="19"/>
                <w:szCs w:val="19"/>
                <w:lang w:val="fr-CH"/>
              </w:rPr>
              <w:t>LAT</w:t>
            </w:r>
            <w:r w:rsidR="006B3F20" w:rsidRPr="00F0226F">
              <w:rPr>
                <w:rFonts w:cs="Arial"/>
                <w:sz w:val="19"/>
                <w:szCs w:val="19"/>
                <w:lang w:val="fr-CH"/>
              </w:rPr>
              <w:t xml:space="preserve"> </w:t>
            </w:r>
            <w:r w:rsidR="00955C05" w:rsidRPr="00F0226F">
              <w:rPr>
                <w:rFonts w:cs="Arial"/>
                <w:sz w:val="19"/>
                <w:szCs w:val="19"/>
                <w:lang w:val="fr-CH"/>
              </w:rPr>
              <w:t>1</w:t>
            </w:r>
          </w:p>
        </w:tc>
        <w:tc>
          <w:tcPr>
            <w:tcW w:w="8222" w:type="dxa"/>
            <w:shd w:val="clear" w:color="auto" w:fill="auto"/>
          </w:tcPr>
          <w:p w14:paraId="7648DE32" w14:textId="15E52D85" w:rsidR="00955C05" w:rsidRPr="00F0226F" w:rsidRDefault="008F417C" w:rsidP="00087AD3">
            <w:pPr>
              <w:spacing w:before="240"/>
              <w:rPr>
                <w:rFonts w:cs="Arial"/>
                <w:sz w:val="19"/>
                <w:szCs w:val="19"/>
                <w:lang w:val="fr-CH"/>
              </w:rPr>
            </w:pPr>
            <w:r>
              <w:rPr>
                <w:rFonts w:cs="Arial"/>
                <w:sz w:val="19"/>
                <w:szCs w:val="19"/>
                <w:lang w:val="fr-CH"/>
              </w:rPr>
              <w:t xml:space="preserve">Première </w:t>
            </w:r>
            <w:r w:rsidR="002148AD">
              <w:rPr>
                <w:rFonts w:cs="Arial"/>
                <w:sz w:val="19"/>
                <w:szCs w:val="19"/>
                <w:lang w:val="fr-CH"/>
              </w:rPr>
              <w:t xml:space="preserve">étape de la </w:t>
            </w:r>
            <w:r>
              <w:rPr>
                <w:rFonts w:cs="Arial"/>
                <w:sz w:val="19"/>
                <w:szCs w:val="19"/>
                <w:lang w:val="fr-CH"/>
              </w:rPr>
              <w:t>révision partielle de la loi sur l’aménagement du territoire</w:t>
            </w:r>
          </w:p>
        </w:tc>
      </w:tr>
      <w:tr w:rsidR="00955C05" w:rsidRPr="008454A6" w14:paraId="7F9FD275" w14:textId="77777777" w:rsidTr="29D59492">
        <w:tc>
          <w:tcPr>
            <w:tcW w:w="1271" w:type="dxa"/>
            <w:shd w:val="clear" w:color="auto" w:fill="auto"/>
          </w:tcPr>
          <w:p w14:paraId="315E125A" w14:textId="6BC7DBCB" w:rsidR="00955C05" w:rsidRPr="00F0226F" w:rsidRDefault="008F417C" w:rsidP="00087AD3">
            <w:pPr>
              <w:spacing w:before="240"/>
              <w:rPr>
                <w:rFonts w:cs="Arial"/>
                <w:sz w:val="19"/>
                <w:szCs w:val="19"/>
                <w:lang w:val="fr-CH"/>
              </w:rPr>
            </w:pPr>
            <w:r>
              <w:rPr>
                <w:rFonts w:cs="Arial"/>
                <w:sz w:val="19"/>
                <w:szCs w:val="19"/>
                <w:lang w:val="fr-CH"/>
              </w:rPr>
              <w:t>LAT</w:t>
            </w:r>
            <w:r w:rsidR="006B3F20" w:rsidRPr="00F0226F">
              <w:rPr>
                <w:rFonts w:cs="Arial"/>
                <w:sz w:val="19"/>
                <w:szCs w:val="19"/>
                <w:lang w:val="fr-CH"/>
              </w:rPr>
              <w:t xml:space="preserve"> </w:t>
            </w:r>
            <w:r w:rsidR="00955C05" w:rsidRPr="00F0226F">
              <w:rPr>
                <w:rFonts w:cs="Arial"/>
                <w:sz w:val="19"/>
                <w:szCs w:val="19"/>
                <w:lang w:val="fr-CH"/>
              </w:rPr>
              <w:t>2</w:t>
            </w:r>
          </w:p>
        </w:tc>
        <w:tc>
          <w:tcPr>
            <w:tcW w:w="8222" w:type="dxa"/>
            <w:shd w:val="clear" w:color="auto" w:fill="auto"/>
          </w:tcPr>
          <w:p w14:paraId="00F2D9F2" w14:textId="50A238A1" w:rsidR="00955C05" w:rsidRPr="00F0226F" w:rsidRDefault="008F417C" w:rsidP="00087AD3">
            <w:pPr>
              <w:spacing w:before="240"/>
              <w:rPr>
                <w:rFonts w:cs="Arial"/>
                <w:sz w:val="19"/>
                <w:szCs w:val="19"/>
                <w:lang w:val="fr-CH"/>
              </w:rPr>
            </w:pPr>
            <w:r>
              <w:rPr>
                <w:rFonts w:cs="Arial"/>
                <w:sz w:val="19"/>
                <w:szCs w:val="19"/>
                <w:lang w:val="fr-CH"/>
              </w:rPr>
              <w:t xml:space="preserve">Deuxième </w:t>
            </w:r>
            <w:r w:rsidR="002148AD">
              <w:rPr>
                <w:rFonts w:cs="Arial"/>
                <w:sz w:val="19"/>
                <w:szCs w:val="19"/>
                <w:lang w:val="fr-CH"/>
              </w:rPr>
              <w:t xml:space="preserve">étape de la </w:t>
            </w:r>
            <w:r>
              <w:rPr>
                <w:rFonts w:cs="Arial"/>
                <w:sz w:val="19"/>
                <w:szCs w:val="19"/>
                <w:lang w:val="fr-CH"/>
              </w:rPr>
              <w:t>révision partielle de la loi sur l’aménagement du territoire</w:t>
            </w:r>
          </w:p>
        </w:tc>
      </w:tr>
      <w:tr w:rsidR="00C32C6B" w:rsidRPr="008454A6" w14:paraId="75CB6536" w14:textId="77777777" w:rsidTr="29D59492">
        <w:tc>
          <w:tcPr>
            <w:tcW w:w="1271" w:type="dxa"/>
            <w:shd w:val="clear" w:color="auto" w:fill="auto"/>
          </w:tcPr>
          <w:p w14:paraId="732C84AA" w14:textId="08469B16" w:rsidR="00C32C6B" w:rsidRPr="00F0226F" w:rsidRDefault="008F417C" w:rsidP="00087AD3">
            <w:pPr>
              <w:spacing w:before="240"/>
              <w:rPr>
                <w:rFonts w:cs="Arial"/>
                <w:sz w:val="19"/>
                <w:szCs w:val="19"/>
                <w:lang w:val="fr-CH"/>
              </w:rPr>
            </w:pPr>
            <w:r>
              <w:rPr>
                <w:rFonts w:cs="Arial"/>
                <w:sz w:val="19"/>
                <w:szCs w:val="19"/>
                <w:lang w:val="fr-CH"/>
              </w:rPr>
              <w:t>OAT</w:t>
            </w:r>
          </w:p>
        </w:tc>
        <w:tc>
          <w:tcPr>
            <w:tcW w:w="8222" w:type="dxa"/>
            <w:shd w:val="clear" w:color="auto" w:fill="auto"/>
          </w:tcPr>
          <w:p w14:paraId="0DEA6FB0" w14:textId="59F043DD" w:rsidR="00C32C6B" w:rsidRPr="00F0226F" w:rsidRDefault="008F417C" w:rsidP="00087AD3">
            <w:pPr>
              <w:spacing w:before="240"/>
              <w:rPr>
                <w:rFonts w:cs="Arial"/>
                <w:sz w:val="19"/>
                <w:szCs w:val="19"/>
                <w:lang w:val="fr-CH"/>
              </w:rPr>
            </w:pPr>
            <w:r>
              <w:rPr>
                <w:rFonts w:cs="Arial"/>
                <w:sz w:val="19"/>
                <w:szCs w:val="19"/>
                <w:lang w:val="fr-CH"/>
              </w:rPr>
              <w:t>Ordonnance du</w:t>
            </w:r>
            <w:r w:rsidR="325E5E49" w:rsidRPr="00F0226F">
              <w:rPr>
                <w:rFonts w:cs="Arial"/>
                <w:sz w:val="19"/>
                <w:szCs w:val="19"/>
                <w:lang w:val="fr-CH"/>
              </w:rPr>
              <w:t xml:space="preserve"> 28</w:t>
            </w:r>
            <w:r>
              <w:rPr>
                <w:rFonts w:cs="Arial"/>
                <w:sz w:val="19"/>
                <w:szCs w:val="19"/>
                <w:lang w:val="fr-CH"/>
              </w:rPr>
              <w:t xml:space="preserve"> juin</w:t>
            </w:r>
            <w:r w:rsidR="00935DE4">
              <w:rPr>
                <w:rFonts w:cs="Arial"/>
                <w:sz w:val="19"/>
                <w:szCs w:val="19"/>
                <w:lang w:val="fr-CH"/>
              </w:rPr>
              <w:t xml:space="preserve"> </w:t>
            </w:r>
            <w:r w:rsidR="325E5E49" w:rsidRPr="00F0226F">
              <w:rPr>
                <w:rFonts w:cs="Arial"/>
                <w:sz w:val="19"/>
                <w:szCs w:val="19"/>
                <w:lang w:val="fr-CH"/>
              </w:rPr>
              <w:t>2000</w:t>
            </w:r>
            <w:r>
              <w:rPr>
                <w:rFonts w:cs="Arial"/>
                <w:sz w:val="19"/>
                <w:szCs w:val="19"/>
                <w:lang w:val="fr-CH"/>
              </w:rPr>
              <w:t xml:space="preserve"> sur l’aménagement du territoire </w:t>
            </w:r>
            <w:r w:rsidR="325E5E49" w:rsidRPr="00F0226F">
              <w:rPr>
                <w:rFonts w:cs="Arial"/>
                <w:sz w:val="19"/>
                <w:szCs w:val="19"/>
                <w:lang w:val="fr-CH"/>
              </w:rPr>
              <w:t xml:space="preserve">; </w:t>
            </w:r>
            <w:r>
              <w:rPr>
                <w:rFonts w:cs="Arial"/>
                <w:sz w:val="19"/>
                <w:szCs w:val="19"/>
                <w:lang w:val="fr-CH"/>
              </w:rPr>
              <w:t>RS</w:t>
            </w:r>
            <w:r w:rsidR="325E5E49" w:rsidRPr="00F0226F">
              <w:rPr>
                <w:rFonts w:cs="Arial"/>
                <w:sz w:val="19"/>
                <w:szCs w:val="19"/>
                <w:lang w:val="fr-CH"/>
              </w:rPr>
              <w:t xml:space="preserve"> 700.1</w:t>
            </w:r>
          </w:p>
        </w:tc>
      </w:tr>
      <w:tr w:rsidR="003C57E3" w:rsidRPr="00F0226F" w14:paraId="3BEE15C1" w14:textId="77777777" w:rsidTr="29D59492">
        <w:tc>
          <w:tcPr>
            <w:tcW w:w="1271" w:type="dxa"/>
            <w:shd w:val="clear" w:color="auto" w:fill="auto"/>
          </w:tcPr>
          <w:p w14:paraId="457E6760" w14:textId="0549E9A3" w:rsidR="003C57E3" w:rsidRPr="00F0226F" w:rsidRDefault="003C57E3" w:rsidP="00087AD3">
            <w:pPr>
              <w:spacing w:before="240"/>
              <w:rPr>
                <w:rFonts w:cs="Arial"/>
                <w:sz w:val="19"/>
                <w:szCs w:val="19"/>
                <w:lang w:val="fr-CH"/>
              </w:rPr>
            </w:pPr>
            <w:r w:rsidRPr="00F0226F">
              <w:rPr>
                <w:rFonts w:cs="Arial"/>
                <w:sz w:val="19"/>
                <w:szCs w:val="19"/>
                <w:lang w:val="fr-CH"/>
              </w:rPr>
              <w:t>SEM</w:t>
            </w:r>
          </w:p>
        </w:tc>
        <w:tc>
          <w:tcPr>
            <w:tcW w:w="8222" w:type="dxa"/>
            <w:shd w:val="clear" w:color="auto" w:fill="auto"/>
          </w:tcPr>
          <w:p w14:paraId="1D50B2F5" w14:textId="1729DBF4" w:rsidR="003C57E3" w:rsidRPr="00F0226F" w:rsidRDefault="003C57E3" w:rsidP="00087AD3">
            <w:pPr>
              <w:spacing w:before="240"/>
              <w:rPr>
                <w:rFonts w:cs="Arial"/>
                <w:sz w:val="19"/>
                <w:szCs w:val="19"/>
                <w:lang w:val="fr-CH"/>
              </w:rPr>
            </w:pPr>
            <w:r w:rsidRPr="00F0226F">
              <w:rPr>
                <w:rFonts w:cs="Arial"/>
                <w:sz w:val="19"/>
                <w:szCs w:val="19"/>
                <w:lang w:val="fr-CH"/>
              </w:rPr>
              <w:t>S</w:t>
            </w:r>
            <w:r w:rsidR="008F417C">
              <w:rPr>
                <w:rFonts w:cs="Arial"/>
                <w:sz w:val="19"/>
                <w:szCs w:val="19"/>
                <w:lang w:val="fr-CH"/>
              </w:rPr>
              <w:t>ecrétariat d’État aux m</w:t>
            </w:r>
            <w:r w:rsidRPr="00F0226F">
              <w:rPr>
                <w:rFonts w:cs="Arial"/>
                <w:sz w:val="19"/>
                <w:szCs w:val="19"/>
                <w:lang w:val="fr-CH"/>
              </w:rPr>
              <w:t>igration</w:t>
            </w:r>
            <w:r w:rsidR="008F417C">
              <w:rPr>
                <w:rFonts w:cs="Arial"/>
                <w:sz w:val="19"/>
                <w:szCs w:val="19"/>
                <w:lang w:val="fr-CH"/>
              </w:rPr>
              <w:t>s</w:t>
            </w:r>
          </w:p>
        </w:tc>
      </w:tr>
      <w:tr w:rsidR="006279CE" w:rsidRPr="008454A6" w14:paraId="19BDEEB6" w14:textId="77777777" w:rsidTr="29D59492">
        <w:tc>
          <w:tcPr>
            <w:tcW w:w="1271" w:type="dxa"/>
            <w:shd w:val="clear" w:color="auto" w:fill="auto"/>
          </w:tcPr>
          <w:p w14:paraId="0CF64D0E" w14:textId="1CD43A0C" w:rsidR="006279CE" w:rsidRPr="00F0226F" w:rsidRDefault="006279CE" w:rsidP="00087AD3">
            <w:pPr>
              <w:spacing w:before="240"/>
              <w:rPr>
                <w:rFonts w:cs="Arial"/>
                <w:sz w:val="19"/>
                <w:szCs w:val="19"/>
                <w:lang w:val="fr-CH"/>
              </w:rPr>
            </w:pPr>
            <w:r w:rsidRPr="00F0226F">
              <w:rPr>
                <w:rFonts w:cs="Arial"/>
                <w:sz w:val="19"/>
                <w:szCs w:val="19"/>
                <w:lang w:val="fr-CH"/>
              </w:rPr>
              <w:t>S</w:t>
            </w:r>
            <w:r w:rsidR="008F417C">
              <w:rPr>
                <w:rFonts w:cs="Arial"/>
                <w:sz w:val="19"/>
                <w:szCs w:val="19"/>
                <w:lang w:val="fr-CH"/>
              </w:rPr>
              <w:t>DD</w:t>
            </w:r>
          </w:p>
        </w:tc>
        <w:tc>
          <w:tcPr>
            <w:tcW w:w="8222" w:type="dxa"/>
            <w:shd w:val="clear" w:color="auto" w:fill="auto"/>
          </w:tcPr>
          <w:p w14:paraId="5FF6CA5B" w14:textId="1AD343D5" w:rsidR="006279CE" w:rsidRPr="00F0226F" w:rsidRDefault="006279CE" w:rsidP="00087AD3">
            <w:pPr>
              <w:spacing w:before="240"/>
              <w:rPr>
                <w:rFonts w:cs="Arial"/>
                <w:sz w:val="19"/>
                <w:szCs w:val="19"/>
                <w:lang w:val="fr-CH"/>
              </w:rPr>
            </w:pPr>
            <w:r w:rsidRPr="00F0226F">
              <w:rPr>
                <w:rFonts w:cs="Arial"/>
                <w:sz w:val="19"/>
                <w:szCs w:val="19"/>
                <w:lang w:val="fr-CH"/>
              </w:rPr>
              <w:t>Strat</w:t>
            </w:r>
            <w:r w:rsidR="008F417C">
              <w:rPr>
                <w:rFonts w:cs="Arial"/>
                <w:sz w:val="19"/>
                <w:szCs w:val="19"/>
                <w:lang w:val="fr-CH"/>
              </w:rPr>
              <w:t>é</w:t>
            </w:r>
            <w:r w:rsidRPr="00F0226F">
              <w:rPr>
                <w:rFonts w:cs="Arial"/>
                <w:sz w:val="19"/>
                <w:szCs w:val="19"/>
                <w:lang w:val="fr-CH"/>
              </w:rPr>
              <w:t xml:space="preserve">gie </w:t>
            </w:r>
            <w:r w:rsidR="008F417C">
              <w:rPr>
                <w:rFonts w:cs="Arial"/>
                <w:sz w:val="19"/>
                <w:szCs w:val="19"/>
                <w:lang w:val="fr-CH"/>
              </w:rPr>
              <w:t>pour le développement durable</w:t>
            </w:r>
            <w:r w:rsidR="007C7951" w:rsidRPr="00F0226F">
              <w:rPr>
                <w:rFonts w:cs="Arial"/>
                <w:sz w:val="19"/>
                <w:szCs w:val="19"/>
                <w:lang w:val="fr-CH"/>
              </w:rPr>
              <w:t>, 2016-2019</w:t>
            </w:r>
          </w:p>
        </w:tc>
      </w:tr>
      <w:tr w:rsidR="00291C91" w:rsidRPr="008454A6" w14:paraId="7919E647" w14:textId="77777777" w:rsidTr="29D59492">
        <w:tc>
          <w:tcPr>
            <w:tcW w:w="1271" w:type="dxa"/>
            <w:shd w:val="clear" w:color="auto" w:fill="auto"/>
          </w:tcPr>
          <w:p w14:paraId="75441732" w14:textId="6994A6F3" w:rsidR="00291C91" w:rsidRPr="00F0226F" w:rsidRDefault="00935DE4" w:rsidP="00087AD3">
            <w:pPr>
              <w:spacing w:before="240"/>
              <w:rPr>
                <w:rFonts w:cs="Arial"/>
                <w:sz w:val="19"/>
                <w:szCs w:val="19"/>
                <w:lang w:val="fr-CH"/>
              </w:rPr>
            </w:pPr>
            <w:r>
              <w:rPr>
                <w:rFonts w:cs="Arial"/>
                <w:sz w:val="19"/>
                <w:szCs w:val="19"/>
                <w:lang w:val="fr-CH"/>
              </w:rPr>
              <w:lastRenderedPageBreak/>
              <w:t>PS</w:t>
            </w:r>
            <w:r w:rsidR="00291C91" w:rsidRPr="00F0226F">
              <w:rPr>
                <w:rFonts w:cs="Arial"/>
                <w:sz w:val="19"/>
                <w:szCs w:val="19"/>
                <w:lang w:val="fr-CH"/>
              </w:rPr>
              <w:t xml:space="preserve"> </w:t>
            </w:r>
            <w:r>
              <w:rPr>
                <w:rFonts w:cs="Arial"/>
                <w:sz w:val="19"/>
                <w:szCs w:val="19"/>
                <w:lang w:val="fr-CH"/>
              </w:rPr>
              <w:t>SDA</w:t>
            </w:r>
          </w:p>
        </w:tc>
        <w:tc>
          <w:tcPr>
            <w:tcW w:w="8222" w:type="dxa"/>
            <w:shd w:val="clear" w:color="auto" w:fill="auto"/>
          </w:tcPr>
          <w:p w14:paraId="503AC163" w14:textId="0CB02C75" w:rsidR="00291C91" w:rsidRPr="00F0226F" w:rsidRDefault="00935DE4" w:rsidP="00087AD3">
            <w:pPr>
              <w:spacing w:before="240"/>
              <w:rPr>
                <w:rFonts w:cs="Arial"/>
                <w:sz w:val="19"/>
                <w:szCs w:val="19"/>
                <w:lang w:val="fr-CH"/>
              </w:rPr>
            </w:pPr>
            <w:r>
              <w:rPr>
                <w:rFonts w:cs="Arial"/>
                <w:sz w:val="19"/>
                <w:szCs w:val="19"/>
                <w:lang w:val="fr-CH"/>
              </w:rPr>
              <w:t>Plan sectoriel des surfaces d’assolement</w:t>
            </w:r>
          </w:p>
        </w:tc>
      </w:tr>
      <w:tr w:rsidR="00C32C6B" w:rsidRPr="008454A6" w14:paraId="44849A9F" w14:textId="77777777" w:rsidTr="29D59492">
        <w:tc>
          <w:tcPr>
            <w:tcW w:w="1271" w:type="dxa"/>
            <w:shd w:val="clear" w:color="auto" w:fill="auto"/>
          </w:tcPr>
          <w:p w14:paraId="4548A0F7" w14:textId="4949D60E" w:rsidR="00C32C6B" w:rsidRPr="00F0226F" w:rsidRDefault="00935DE4" w:rsidP="00087AD3">
            <w:pPr>
              <w:spacing w:before="240"/>
              <w:rPr>
                <w:rFonts w:cs="Arial"/>
                <w:sz w:val="19"/>
                <w:szCs w:val="19"/>
                <w:lang w:val="fr-CH"/>
              </w:rPr>
            </w:pPr>
            <w:r>
              <w:rPr>
                <w:rFonts w:cs="Arial"/>
                <w:sz w:val="19"/>
                <w:szCs w:val="19"/>
                <w:lang w:val="fr-CH"/>
              </w:rPr>
              <w:t>DET</w:t>
            </w:r>
            <w:r w:rsidR="000E5628" w:rsidRPr="00F0226F">
              <w:rPr>
                <w:rFonts w:cs="Arial"/>
                <w:sz w:val="19"/>
                <w:szCs w:val="19"/>
                <w:lang w:val="fr-CH"/>
              </w:rPr>
              <w:t>E</w:t>
            </w:r>
            <w:r>
              <w:rPr>
                <w:rFonts w:cs="Arial"/>
                <w:sz w:val="19"/>
                <w:szCs w:val="19"/>
                <w:lang w:val="fr-CH"/>
              </w:rPr>
              <w:t>C</w:t>
            </w:r>
          </w:p>
        </w:tc>
        <w:tc>
          <w:tcPr>
            <w:tcW w:w="8222" w:type="dxa"/>
            <w:shd w:val="clear" w:color="auto" w:fill="auto"/>
          </w:tcPr>
          <w:p w14:paraId="0E53EBAA" w14:textId="12CC68BC" w:rsidR="00C32C6B" w:rsidRPr="00F0226F" w:rsidRDefault="000E5628" w:rsidP="00087AD3">
            <w:pPr>
              <w:spacing w:before="240"/>
              <w:rPr>
                <w:rFonts w:cs="Arial"/>
                <w:sz w:val="19"/>
                <w:szCs w:val="19"/>
                <w:lang w:val="fr-CH"/>
              </w:rPr>
            </w:pPr>
            <w:r w:rsidRPr="00F0226F">
              <w:rPr>
                <w:rFonts w:cs="Arial"/>
                <w:sz w:val="19"/>
                <w:szCs w:val="19"/>
                <w:lang w:val="fr-CH"/>
              </w:rPr>
              <w:t>D</w:t>
            </w:r>
            <w:r w:rsidR="00935DE4">
              <w:rPr>
                <w:rFonts w:cs="Arial"/>
                <w:sz w:val="19"/>
                <w:szCs w:val="19"/>
                <w:lang w:val="fr-CH"/>
              </w:rPr>
              <w:t>é</w:t>
            </w:r>
            <w:r w:rsidRPr="00F0226F">
              <w:rPr>
                <w:rFonts w:cs="Arial"/>
                <w:sz w:val="19"/>
                <w:szCs w:val="19"/>
                <w:lang w:val="fr-CH"/>
              </w:rPr>
              <w:t>partement f</w:t>
            </w:r>
            <w:r w:rsidR="00935DE4">
              <w:rPr>
                <w:rFonts w:cs="Arial"/>
                <w:sz w:val="19"/>
                <w:szCs w:val="19"/>
                <w:lang w:val="fr-CH"/>
              </w:rPr>
              <w:t>édéral de l’environnement, des transports, de l’énergie et de la communication</w:t>
            </w:r>
          </w:p>
        </w:tc>
      </w:tr>
      <w:tr w:rsidR="001D38FE" w:rsidRPr="008454A6" w14:paraId="2A4BF690" w14:textId="77777777" w:rsidTr="29D59492">
        <w:tc>
          <w:tcPr>
            <w:tcW w:w="1271" w:type="dxa"/>
            <w:shd w:val="clear" w:color="auto" w:fill="auto"/>
          </w:tcPr>
          <w:p w14:paraId="4FB164FD" w14:textId="56A89928" w:rsidR="001D38FE" w:rsidRPr="00F0226F" w:rsidRDefault="00935DE4" w:rsidP="00087AD3">
            <w:pPr>
              <w:spacing w:before="240"/>
              <w:rPr>
                <w:rFonts w:cs="Arial"/>
                <w:sz w:val="19"/>
                <w:szCs w:val="19"/>
                <w:lang w:val="fr-CH"/>
              </w:rPr>
            </w:pPr>
            <w:r>
              <w:rPr>
                <w:rFonts w:cs="Arial"/>
                <w:sz w:val="19"/>
                <w:szCs w:val="19"/>
                <w:lang w:val="fr-CH"/>
              </w:rPr>
              <w:t>OSol</w:t>
            </w:r>
          </w:p>
        </w:tc>
        <w:tc>
          <w:tcPr>
            <w:tcW w:w="8222" w:type="dxa"/>
            <w:shd w:val="clear" w:color="auto" w:fill="auto"/>
          </w:tcPr>
          <w:p w14:paraId="637C155A" w14:textId="03224CB6" w:rsidR="001D38FE" w:rsidRPr="00F0226F" w:rsidRDefault="00935DE4" w:rsidP="00087AD3">
            <w:pPr>
              <w:spacing w:before="240"/>
              <w:rPr>
                <w:rFonts w:cs="Arial"/>
                <w:sz w:val="19"/>
                <w:szCs w:val="19"/>
                <w:lang w:val="fr-CH"/>
              </w:rPr>
            </w:pPr>
            <w:r>
              <w:rPr>
                <w:rFonts w:cs="Arial"/>
                <w:sz w:val="19"/>
                <w:szCs w:val="19"/>
                <w:lang w:val="fr-CH"/>
              </w:rPr>
              <w:t>Ordonnance du</w:t>
            </w:r>
            <w:r w:rsidR="001D38FE" w:rsidRPr="00F0226F">
              <w:rPr>
                <w:rFonts w:cs="Arial"/>
                <w:sz w:val="19"/>
                <w:szCs w:val="19"/>
                <w:lang w:val="fr-CH"/>
              </w:rPr>
              <w:t xml:space="preserve"> 1</w:t>
            </w:r>
            <w:r w:rsidRPr="00744798">
              <w:rPr>
                <w:rFonts w:cs="Arial"/>
                <w:sz w:val="19"/>
                <w:szCs w:val="19"/>
                <w:vertAlign w:val="superscript"/>
                <w:lang w:val="fr-CH"/>
              </w:rPr>
              <w:t>er</w:t>
            </w:r>
            <w:r>
              <w:rPr>
                <w:rFonts w:cs="Arial"/>
                <w:sz w:val="19"/>
                <w:szCs w:val="19"/>
                <w:lang w:val="fr-CH"/>
              </w:rPr>
              <w:t xml:space="preserve"> juillet </w:t>
            </w:r>
            <w:r w:rsidR="001D38FE" w:rsidRPr="00F0226F">
              <w:rPr>
                <w:rFonts w:cs="Arial"/>
                <w:sz w:val="19"/>
                <w:szCs w:val="19"/>
                <w:lang w:val="fr-CH"/>
              </w:rPr>
              <w:t>1998</w:t>
            </w:r>
            <w:r>
              <w:rPr>
                <w:rFonts w:cs="Arial"/>
                <w:sz w:val="19"/>
                <w:szCs w:val="19"/>
                <w:lang w:val="fr-CH"/>
              </w:rPr>
              <w:t xml:space="preserve"> sur les atteintes p</w:t>
            </w:r>
            <w:r w:rsidR="00F0315A">
              <w:rPr>
                <w:rFonts w:cs="Arial"/>
                <w:sz w:val="19"/>
                <w:szCs w:val="19"/>
                <w:lang w:val="fr-CH"/>
              </w:rPr>
              <w:t>or</w:t>
            </w:r>
            <w:r>
              <w:rPr>
                <w:rFonts w:cs="Arial"/>
                <w:sz w:val="19"/>
                <w:szCs w:val="19"/>
                <w:lang w:val="fr-CH"/>
              </w:rPr>
              <w:t xml:space="preserve">tées aux sols </w:t>
            </w:r>
            <w:r w:rsidR="00903FFD" w:rsidRPr="00F0226F">
              <w:rPr>
                <w:rFonts w:cs="Arial"/>
                <w:sz w:val="19"/>
                <w:szCs w:val="19"/>
                <w:lang w:val="fr-CH"/>
              </w:rPr>
              <w:t xml:space="preserve">; </w:t>
            </w:r>
            <w:r>
              <w:rPr>
                <w:rFonts w:cs="Arial"/>
                <w:sz w:val="19"/>
                <w:szCs w:val="19"/>
                <w:lang w:val="fr-CH"/>
              </w:rPr>
              <w:t>RS</w:t>
            </w:r>
            <w:r w:rsidR="00903FFD" w:rsidRPr="00F0226F">
              <w:rPr>
                <w:rFonts w:cs="Arial"/>
                <w:sz w:val="19"/>
                <w:szCs w:val="19"/>
                <w:lang w:val="fr-CH"/>
              </w:rPr>
              <w:t xml:space="preserve"> 814.12</w:t>
            </w:r>
          </w:p>
        </w:tc>
      </w:tr>
      <w:tr w:rsidR="00F052B8" w:rsidRPr="008454A6" w14:paraId="5D54A39A" w14:textId="77777777" w:rsidTr="29D59492">
        <w:tc>
          <w:tcPr>
            <w:tcW w:w="1271" w:type="dxa"/>
            <w:shd w:val="clear" w:color="auto" w:fill="auto"/>
          </w:tcPr>
          <w:p w14:paraId="190C5C48" w14:textId="4FE4B464" w:rsidR="00F052B8" w:rsidRPr="00F0226F" w:rsidRDefault="00935DE4" w:rsidP="00087AD3">
            <w:pPr>
              <w:spacing w:before="240"/>
              <w:rPr>
                <w:rFonts w:cs="Arial"/>
                <w:sz w:val="19"/>
                <w:szCs w:val="19"/>
                <w:lang w:val="fr-CH"/>
              </w:rPr>
            </w:pPr>
            <w:r>
              <w:rPr>
                <w:rFonts w:cs="Arial"/>
                <w:sz w:val="19"/>
                <w:szCs w:val="19"/>
                <w:lang w:val="fr-CH"/>
              </w:rPr>
              <w:t>DDP</w:t>
            </w:r>
            <w:r w:rsidR="00F052B8" w:rsidRPr="00F0226F">
              <w:rPr>
                <w:rFonts w:cs="Arial"/>
                <w:sz w:val="19"/>
                <w:szCs w:val="19"/>
                <w:lang w:val="fr-CH"/>
              </w:rPr>
              <w:t>S</w:t>
            </w:r>
          </w:p>
        </w:tc>
        <w:tc>
          <w:tcPr>
            <w:tcW w:w="8222" w:type="dxa"/>
            <w:shd w:val="clear" w:color="auto" w:fill="auto"/>
          </w:tcPr>
          <w:p w14:paraId="0A3CE61D" w14:textId="047A61B6" w:rsidR="00F052B8" w:rsidRPr="00F0226F" w:rsidRDefault="006279CE" w:rsidP="00087AD3">
            <w:pPr>
              <w:spacing w:before="240"/>
              <w:rPr>
                <w:rFonts w:cs="Arial"/>
                <w:sz w:val="19"/>
                <w:szCs w:val="19"/>
                <w:lang w:val="fr-CH"/>
              </w:rPr>
            </w:pPr>
            <w:r w:rsidRPr="00F0226F">
              <w:rPr>
                <w:rFonts w:cs="Arial"/>
                <w:sz w:val="19"/>
                <w:szCs w:val="19"/>
                <w:lang w:val="fr-CH"/>
              </w:rPr>
              <w:t>D</w:t>
            </w:r>
            <w:r w:rsidR="00935DE4">
              <w:rPr>
                <w:rFonts w:cs="Arial"/>
                <w:sz w:val="19"/>
                <w:szCs w:val="19"/>
                <w:lang w:val="fr-CH"/>
              </w:rPr>
              <w:t>é</w:t>
            </w:r>
            <w:r w:rsidRPr="00F0226F">
              <w:rPr>
                <w:rFonts w:cs="Arial"/>
                <w:sz w:val="19"/>
                <w:szCs w:val="19"/>
                <w:lang w:val="fr-CH"/>
              </w:rPr>
              <w:t xml:space="preserve">partement </w:t>
            </w:r>
            <w:r w:rsidR="00935DE4">
              <w:rPr>
                <w:rFonts w:cs="Arial"/>
                <w:sz w:val="19"/>
                <w:szCs w:val="19"/>
                <w:lang w:val="fr-CH"/>
              </w:rPr>
              <w:t>fédéral de la défense, de la protection de la population et des sports</w:t>
            </w:r>
          </w:p>
        </w:tc>
      </w:tr>
      <w:tr w:rsidR="00903FFD" w:rsidRPr="008454A6" w14:paraId="63BCA3D5" w14:textId="77777777" w:rsidTr="29D59492">
        <w:tc>
          <w:tcPr>
            <w:tcW w:w="1271" w:type="dxa"/>
            <w:shd w:val="clear" w:color="auto" w:fill="auto"/>
          </w:tcPr>
          <w:p w14:paraId="76E9A824" w14:textId="336F8A55" w:rsidR="00903FFD" w:rsidRPr="00F0226F" w:rsidRDefault="00935DE4" w:rsidP="00087AD3">
            <w:pPr>
              <w:spacing w:before="240"/>
              <w:rPr>
                <w:rFonts w:cs="Arial"/>
                <w:sz w:val="19"/>
                <w:szCs w:val="19"/>
                <w:lang w:val="fr-CH"/>
              </w:rPr>
            </w:pPr>
            <w:r>
              <w:rPr>
                <w:rFonts w:cs="Arial"/>
                <w:sz w:val="19"/>
                <w:szCs w:val="19"/>
                <w:lang w:val="fr-CH"/>
              </w:rPr>
              <w:t>OLED</w:t>
            </w:r>
          </w:p>
        </w:tc>
        <w:tc>
          <w:tcPr>
            <w:tcW w:w="8222" w:type="dxa"/>
            <w:shd w:val="clear" w:color="auto" w:fill="auto"/>
          </w:tcPr>
          <w:p w14:paraId="7CE4772B" w14:textId="31476EE5" w:rsidR="00903FFD" w:rsidRPr="00F0226F" w:rsidRDefault="00935DE4" w:rsidP="00087AD3">
            <w:pPr>
              <w:spacing w:before="240"/>
              <w:rPr>
                <w:rFonts w:cs="Arial"/>
                <w:sz w:val="19"/>
                <w:szCs w:val="19"/>
                <w:lang w:val="fr-CH"/>
              </w:rPr>
            </w:pPr>
            <w:r>
              <w:rPr>
                <w:rFonts w:cs="Arial"/>
                <w:sz w:val="19"/>
                <w:szCs w:val="19"/>
                <w:lang w:val="fr-CH"/>
              </w:rPr>
              <w:t>Ordonnance du</w:t>
            </w:r>
            <w:r w:rsidR="00903FFD" w:rsidRPr="00F0226F">
              <w:rPr>
                <w:rFonts w:cs="Arial"/>
                <w:sz w:val="19"/>
                <w:szCs w:val="19"/>
                <w:lang w:val="fr-CH"/>
              </w:rPr>
              <w:t xml:space="preserve"> 4</w:t>
            </w:r>
            <w:r>
              <w:rPr>
                <w:rFonts w:cs="Arial"/>
                <w:sz w:val="19"/>
                <w:szCs w:val="19"/>
                <w:lang w:val="fr-CH"/>
              </w:rPr>
              <w:t xml:space="preserve"> décembre</w:t>
            </w:r>
            <w:r w:rsidR="00903FFD" w:rsidRPr="00F0226F">
              <w:rPr>
                <w:rFonts w:cs="Arial"/>
                <w:sz w:val="19"/>
                <w:szCs w:val="19"/>
                <w:lang w:val="fr-CH"/>
              </w:rPr>
              <w:t xml:space="preserve"> 2015</w:t>
            </w:r>
            <w:r>
              <w:rPr>
                <w:rFonts w:cs="Arial"/>
                <w:sz w:val="19"/>
                <w:szCs w:val="19"/>
                <w:lang w:val="fr-CH"/>
              </w:rPr>
              <w:t xml:space="preserve"> sur la limitation et l’élimination des déchets </w:t>
            </w:r>
            <w:r w:rsidR="00903FFD" w:rsidRPr="00F0226F">
              <w:rPr>
                <w:rFonts w:cs="Arial"/>
                <w:sz w:val="19"/>
                <w:szCs w:val="19"/>
                <w:lang w:val="fr-CH"/>
              </w:rPr>
              <w:t xml:space="preserve">; </w:t>
            </w:r>
            <w:r>
              <w:rPr>
                <w:rFonts w:cs="Arial"/>
                <w:sz w:val="19"/>
                <w:szCs w:val="19"/>
                <w:lang w:val="fr-CH"/>
              </w:rPr>
              <w:t>RS</w:t>
            </w:r>
            <w:r w:rsidR="00903FFD" w:rsidRPr="00F0226F">
              <w:rPr>
                <w:rFonts w:cs="Arial"/>
                <w:sz w:val="19"/>
                <w:szCs w:val="19"/>
                <w:lang w:val="fr-CH"/>
              </w:rPr>
              <w:t xml:space="preserve"> 814.600</w:t>
            </w:r>
          </w:p>
        </w:tc>
      </w:tr>
      <w:tr w:rsidR="00E56478" w:rsidRPr="008454A6" w14:paraId="51C30CBC" w14:textId="77777777" w:rsidTr="29D59492">
        <w:tc>
          <w:tcPr>
            <w:tcW w:w="1271" w:type="dxa"/>
            <w:shd w:val="clear" w:color="auto" w:fill="auto"/>
          </w:tcPr>
          <w:p w14:paraId="1970266A" w14:textId="4844909D" w:rsidR="00E56478" w:rsidRPr="00F0226F" w:rsidRDefault="00935DE4" w:rsidP="00087AD3">
            <w:pPr>
              <w:spacing w:before="240"/>
              <w:rPr>
                <w:rFonts w:cs="Arial"/>
                <w:sz w:val="19"/>
                <w:szCs w:val="19"/>
                <w:lang w:val="fr-CH"/>
              </w:rPr>
            </w:pPr>
            <w:r>
              <w:rPr>
                <w:rFonts w:cs="Arial"/>
                <w:sz w:val="19"/>
                <w:szCs w:val="19"/>
                <w:lang w:val="fr-CH"/>
              </w:rPr>
              <w:t>LFo</w:t>
            </w:r>
          </w:p>
        </w:tc>
        <w:tc>
          <w:tcPr>
            <w:tcW w:w="8222" w:type="dxa"/>
            <w:shd w:val="clear" w:color="auto" w:fill="auto"/>
          </w:tcPr>
          <w:p w14:paraId="7E7E63AE" w14:textId="40BAD0FD" w:rsidR="00E56478" w:rsidRPr="00F0226F" w:rsidRDefault="00935DE4" w:rsidP="00087AD3">
            <w:pPr>
              <w:spacing w:before="240"/>
              <w:rPr>
                <w:rFonts w:cs="Arial"/>
                <w:sz w:val="19"/>
                <w:szCs w:val="19"/>
                <w:lang w:val="fr-CH"/>
              </w:rPr>
            </w:pPr>
            <w:r>
              <w:rPr>
                <w:rFonts w:cs="Arial"/>
                <w:sz w:val="19"/>
                <w:szCs w:val="19"/>
                <w:lang w:val="fr-CH"/>
              </w:rPr>
              <w:t>Loi fédérale du</w:t>
            </w:r>
            <w:r w:rsidR="00E56478" w:rsidRPr="00F0226F">
              <w:rPr>
                <w:rFonts w:cs="Arial"/>
                <w:sz w:val="19"/>
                <w:szCs w:val="19"/>
                <w:lang w:val="fr-CH"/>
              </w:rPr>
              <w:t xml:space="preserve"> 4</w:t>
            </w:r>
            <w:r>
              <w:rPr>
                <w:rFonts w:cs="Arial"/>
                <w:sz w:val="19"/>
                <w:szCs w:val="19"/>
                <w:lang w:val="fr-CH"/>
              </w:rPr>
              <w:t xml:space="preserve"> octobre</w:t>
            </w:r>
            <w:r w:rsidR="00E56478" w:rsidRPr="00F0226F">
              <w:rPr>
                <w:rFonts w:cs="Arial"/>
                <w:sz w:val="19"/>
                <w:szCs w:val="19"/>
                <w:lang w:val="fr-CH"/>
              </w:rPr>
              <w:t xml:space="preserve"> 1991</w:t>
            </w:r>
            <w:r>
              <w:rPr>
                <w:rFonts w:cs="Arial"/>
                <w:sz w:val="19"/>
                <w:szCs w:val="19"/>
                <w:lang w:val="fr-CH"/>
              </w:rPr>
              <w:t xml:space="preserve"> sur les forêts </w:t>
            </w:r>
            <w:r w:rsidR="00E56478" w:rsidRPr="00F0226F">
              <w:rPr>
                <w:rFonts w:cs="Arial"/>
                <w:sz w:val="19"/>
                <w:szCs w:val="19"/>
                <w:lang w:val="fr-CH"/>
              </w:rPr>
              <w:t xml:space="preserve">; </w:t>
            </w:r>
            <w:r>
              <w:rPr>
                <w:rFonts w:cs="Arial"/>
                <w:sz w:val="19"/>
                <w:szCs w:val="19"/>
                <w:lang w:val="fr-CH"/>
              </w:rPr>
              <w:t>RS</w:t>
            </w:r>
            <w:r w:rsidR="00E56478" w:rsidRPr="00F0226F">
              <w:rPr>
                <w:rFonts w:cs="Arial"/>
                <w:sz w:val="19"/>
                <w:szCs w:val="19"/>
                <w:lang w:val="fr-CH"/>
              </w:rPr>
              <w:t xml:space="preserve"> 921.0</w:t>
            </w:r>
          </w:p>
        </w:tc>
      </w:tr>
      <w:tr w:rsidR="00603731" w:rsidRPr="008454A6" w14:paraId="50CAD119" w14:textId="77777777" w:rsidTr="29D59492">
        <w:tc>
          <w:tcPr>
            <w:tcW w:w="1271" w:type="dxa"/>
            <w:shd w:val="clear" w:color="auto" w:fill="auto"/>
          </w:tcPr>
          <w:p w14:paraId="0769D748" w14:textId="346FF185" w:rsidR="00603731" w:rsidRPr="00F0226F" w:rsidRDefault="00603731" w:rsidP="00087AD3">
            <w:pPr>
              <w:spacing w:before="240"/>
              <w:rPr>
                <w:rFonts w:cs="Arial"/>
                <w:sz w:val="19"/>
                <w:szCs w:val="19"/>
                <w:lang w:val="fr-CH"/>
              </w:rPr>
            </w:pPr>
            <w:r w:rsidRPr="00F0226F">
              <w:rPr>
                <w:rFonts w:cs="Arial"/>
                <w:sz w:val="19"/>
                <w:szCs w:val="19"/>
                <w:lang w:val="fr-CH"/>
              </w:rPr>
              <w:t>WSL</w:t>
            </w:r>
          </w:p>
        </w:tc>
        <w:tc>
          <w:tcPr>
            <w:tcW w:w="8222" w:type="dxa"/>
            <w:shd w:val="clear" w:color="auto" w:fill="auto"/>
          </w:tcPr>
          <w:p w14:paraId="0274AAD8" w14:textId="7F357447" w:rsidR="00603731" w:rsidRPr="00F0226F" w:rsidRDefault="00935DE4" w:rsidP="00087AD3">
            <w:pPr>
              <w:spacing w:before="240"/>
              <w:rPr>
                <w:rFonts w:cs="Arial"/>
                <w:sz w:val="19"/>
                <w:szCs w:val="19"/>
                <w:lang w:val="fr-CH"/>
              </w:rPr>
            </w:pPr>
            <w:r>
              <w:rPr>
                <w:rFonts w:cs="Arial"/>
                <w:sz w:val="19"/>
                <w:szCs w:val="19"/>
                <w:lang w:val="fr-CH"/>
              </w:rPr>
              <w:t>Institut fédéral de recherches sur la forêt, la neige et le paysage</w:t>
            </w:r>
          </w:p>
        </w:tc>
      </w:tr>
    </w:tbl>
    <w:p w14:paraId="4534A31F" w14:textId="02B204CD" w:rsidR="00DE61F1" w:rsidRPr="00F0226F" w:rsidRDefault="00DE61F1" w:rsidP="00E821AA">
      <w:pPr>
        <w:spacing w:after="160" w:line="259" w:lineRule="auto"/>
        <w:rPr>
          <w:lang w:val="fr-CH"/>
        </w:rPr>
      </w:pPr>
    </w:p>
    <w:sectPr w:rsidR="00DE61F1" w:rsidRPr="00F0226F" w:rsidSect="001E7906">
      <w:footerReference w:type="even" r:id="rId13"/>
      <w:footerReference w:type="default" r:id="rId14"/>
      <w:pgSz w:w="11907" w:h="16839" w:code="9"/>
      <w:pgMar w:top="1531" w:right="1191" w:bottom="1304" w:left="1191"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4D83" w14:textId="77777777" w:rsidR="00A45DC6" w:rsidRDefault="00A45DC6" w:rsidP="005B17D7">
      <w:pPr>
        <w:spacing w:line="240" w:lineRule="auto"/>
      </w:pPr>
      <w:r>
        <w:separator/>
      </w:r>
    </w:p>
  </w:endnote>
  <w:endnote w:type="continuationSeparator" w:id="0">
    <w:p w14:paraId="6EF8D11D" w14:textId="77777777" w:rsidR="00A45DC6" w:rsidRDefault="00A45DC6" w:rsidP="005B17D7">
      <w:pPr>
        <w:spacing w:line="240" w:lineRule="auto"/>
      </w:pPr>
      <w:r>
        <w:continuationSeparator/>
      </w:r>
    </w:p>
  </w:endnote>
  <w:endnote w:type="continuationNotice" w:id="1">
    <w:p w14:paraId="46C1CEE3" w14:textId="77777777" w:rsidR="00A45DC6" w:rsidRDefault="00A45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808080" w:themeColor="background1" w:themeShade="80"/>
      </w:rPr>
      <w:id w:val="-665865260"/>
      <w:docPartObj>
        <w:docPartGallery w:val="Page Numbers (Bottom of Page)"/>
        <w:docPartUnique/>
      </w:docPartObj>
    </w:sdtPr>
    <w:sdtEndPr/>
    <w:sdtContent>
      <w:p w14:paraId="1B7C51EB" w14:textId="3F0E7D86" w:rsidR="0070469A" w:rsidRPr="00E24210" w:rsidRDefault="0070469A" w:rsidP="00FD773C">
        <w:pPr>
          <w:pStyle w:val="Fuzeile"/>
          <w:tabs>
            <w:tab w:val="right" w:pos="20979"/>
          </w:tabs>
          <w:rPr>
            <w:b/>
            <w:noProof w:val="0"/>
            <w:color w:val="808080" w:themeColor="background1" w:themeShade="80"/>
            <w:sz w:val="20"/>
            <w:szCs w:val="20"/>
          </w:rPr>
        </w:pPr>
        <w:r>
          <w:rPr>
            <w:b/>
            <w:color w:val="808080" w:themeColor="background1" w:themeShade="80"/>
            <w:sz w:val="16"/>
            <w:szCs w:val="16"/>
          </w:rPr>
          <w:t xml:space="preserve">Sachplan FFF – </w:t>
        </w:r>
        <w:r>
          <w:rPr>
            <w:b/>
            <w:color w:val="808080" w:themeColor="background1" w:themeShade="80"/>
            <w:sz w:val="16"/>
            <w:szCs w:val="16"/>
          </w:rPr>
          <w:fldChar w:fldCharType="begin"/>
        </w:r>
        <w:r>
          <w:rPr>
            <w:b/>
            <w:color w:val="808080" w:themeColor="background1" w:themeShade="80"/>
            <w:sz w:val="16"/>
            <w:szCs w:val="16"/>
          </w:rPr>
          <w:instrText xml:space="preserve"> TIME \@ "MMMM yy" </w:instrText>
        </w:r>
        <w:r>
          <w:rPr>
            <w:b/>
            <w:color w:val="808080" w:themeColor="background1" w:themeShade="80"/>
            <w:sz w:val="16"/>
            <w:szCs w:val="16"/>
          </w:rPr>
          <w:fldChar w:fldCharType="separate"/>
        </w:r>
        <w:r w:rsidR="00B94A10">
          <w:rPr>
            <w:b/>
            <w:color w:val="808080" w:themeColor="background1" w:themeShade="80"/>
            <w:sz w:val="16"/>
            <w:szCs w:val="16"/>
          </w:rPr>
          <w:t>Dezember 18</w:t>
        </w:r>
        <w:r>
          <w:rPr>
            <w:b/>
            <w:color w:val="808080" w:themeColor="background1" w:themeShade="80"/>
            <w:sz w:val="16"/>
            <w:szCs w:val="16"/>
          </w:rPr>
          <w:fldChar w:fldCharType="end"/>
        </w:r>
        <w:r>
          <w:rPr>
            <w:b/>
            <w:color w:val="808080" w:themeColor="background1" w:themeShade="80"/>
            <w:sz w:val="20"/>
          </w:rPr>
          <w:tab/>
        </w:r>
        <w:r w:rsidRPr="00CB0D73">
          <w:rPr>
            <w:b/>
            <w:color w:val="808080" w:themeColor="background1" w:themeShade="80"/>
            <w:sz w:val="20"/>
          </w:rPr>
          <w:fldChar w:fldCharType="begin"/>
        </w:r>
        <w:r w:rsidRPr="00CB0D73">
          <w:rPr>
            <w:b/>
            <w:color w:val="808080" w:themeColor="background1" w:themeShade="80"/>
            <w:sz w:val="20"/>
          </w:rPr>
          <w:instrText>PAGE   \* MERGEFORMAT</w:instrText>
        </w:r>
        <w:r w:rsidRPr="00CB0D73">
          <w:rPr>
            <w:b/>
            <w:color w:val="808080" w:themeColor="background1" w:themeShade="80"/>
            <w:sz w:val="20"/>
          </w:rPr>
          <w:fldChar w:fldCharType="separate"/>
        </w:r>
        <w:r w:rsidRPr="00E136A1">
          <w:rPr>
            <w:b/>
            <w:color w:val="808080" w:themeColor="background1" w:themeShade="80"/>
            <w:sz w:val="20"/>
            <w:lang w:val="de-DE"/>
          </w:rPr>
          <w:t>2</w:t>
        </w:r>
        <w:r w:rsidRPr="00CB0D73">
          <w:rPr>
            <w:b/>
            <w:color w:val="808080" w:themeColor="background1" w:themeShade="80"/>
            <w:sz w:val="20"/>
          </w:rPr>
          <w:fldChar w:fldCharType="end"/>
        </w:r>
      </w:p>
    </w:sdtContent>
  </w:sdt>
  <w:p w14:paraId="0B5F6869" w14:textId="77777777" w:rsidR="0070469A" w:rsidRPr="00FD773C" w:rsidRDefault="0070469A">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0409" w14:textId="6A298877" w:rsidR="0070469A" w:rsidRPr="00CF09A3" w:rsidRDefault="0070469A" w:rsidP="00A74208">
    <w:pPr>
      <w:pStyle w:val="Fuzeile"/>
      <w:spacing w:before="240"/>
      <w:ind w:left="-426" w:right="27"/>
      <w:jc w:val="right"/>
      <w:rPr>
        <w:sz w:val="16"/>
        <w:lang w:val="fr-CH"/>
      </w:rPr>
    </w:pPr>
    <w:r w:rsidRPr="00CF09A3">
      <w:rPr>
        <w:sz w:val="16"/>
        <w:lang w:val="fr-CH"/>
      </w:rPr>
      <w:t>Plan sect</w:t>
    </w:r>
    <w:r>
      <w:rPr>
        <w:sz w:val="16"/>
        <w:lang w:val="fr-CH"/>
      </w:rPr>
      <w:t xml:space="preserve">oriel </w:t>
    </w:r>
    <w:r w:rsidRPr="00CF09A3">
      <w:rPr>
        <w:sz w:val="16"/>
        <w:szCs w:val="16"/>
        <w:lang w:val="fr-CH"/>
      </w:rPr>
      <w:t>SDA - Version</w:t>
    </w:r>
    <w:r w:rsidRPr="00CF09A3">
      <w:rPr>
        <w:sz w:val="16"/>
        <w:lang w:val="fr-CH"/>
      </w:rPr>
      <w:t xml:space="preserve"> </w:t>
    </w:r>
    <w:r>
      <w:rPr>
        <w:lang w:val="fr-CH"/>
      </w:rPr>
      <w:fldChar w:fldCharType="begin"/>
    </w:r>
    <w:r>
      <w:rPr>
        <w:lang w:val="fr-CH"/>
      </w:rPr>
      <w:instrText xml:space="preserve"> TIME \@ "MMMM yy" </w:instrText>
    </w:r>
    <w:r>
      <w:rPr>
        <w:lang w:val="fr-CH"/>
      </w:rPr>
      <w:fldChar w:fldCharType="separate"/>
    </w:r>
    <w:r w:rsidR="00B94A10">
      <w:rPr>
        <w:lang w:val="fr-CH"/>
      </w:rPr>
      <w:t>décembre 18</w:t>
    </w:r>
    <w:r>
      <w:rPr>
        <w:lang w:val="fr-CH"/>
      </w:rPr>
      <w:fldChar w:fldCharType="end"/>
    </w:r>
    <w:r w:rsidR="00A74208">
      <w:rPr>
        <w:sz w:val="16"/>
        <w:lang w:val="fr-CH"/>
      </w:rPr>
      <w:tab/>
    </w:r>
    <w:r w:rsidR="00A74208">
      <w:rPr>
        <w:sz w:val="16"/>
        <w:lang w:val="fr-CH"/>
      </w:rPr>
      <w:tab/>
    </w:r>
    <w:r w:rsidR="00A74208">
      <w:rPr>
        <w:sz w:val="16"/>
        <w:lang w:val="fr-CH"/>
      </w:rPr>
      <w:tab/>
    </w:r>
    <w:r w:rsidR="00A74208">
      <w:rPr>
        <w:sz w:val="16"/>
        <w:lang w:val="fr-CH"/>
      </w:rPr>
      <w:tab/>
    </w:r>
    <w:r w:rsidR="00A74208">
      <w:rPr>
        <w:sz w:val="16"/>
        <w:lang w:val="fr-CH"/>
      </w:rPr>
      <w:tab/>
    </w:r>
    <w:r w:rsidR="00A74208">
      <w:rPr>
        <w:sz w:val="16"/>
        <w:lang w:val="fr-CH"/>
      </w:rPr>
      <w:tab/>
    </w:r>
    <w:r w:rsidR="00A74208">
      <w:rPr>
        <w:sz w:val="16"/>
        <w:lang w:val="fr-CH"/>
      </w:rPr>
      <w:tab/>
    </w:r>
    <w:r w:rsidRPr="00CF09A3">
      <w:rPr>
        <w:sz w:val="16"/>
        <w:lang w:val="fr-CH"/>
      </w:rPr>
      <w:tab/>
    </w:r>
    <w:r w:rsidRPr="00CF09A3">
      <w:rPr>
        <w:sz w:val="16"/>
        <w:lang w:val="fr-CH"/>
      </w:rPr>
      <w:tab/>
    </w:r>
    <w:sdt>
      <w:sdtPr>
        <w:rPr>
          <w:sz w:val="16"/>
        </w:rPr>
        <w:id w:val="2042855560"/>
        <w:docPartObj>
          <w:docPartGallery w:val="Page Numbers (Bottom of Page)"/>
          <w:docPartUnique/>
        </w:docPartObj>
      </w:sdtPr>
      <w:sdtEndPr/>
      <w:sdtContent>
        <w:r w:rsidRPr="00E136A1">
          <w:rPr>
            <w:sz w:val="16"/>
          </w:rPr>
          <w:fldChar w:fldCharType="begin"/>
        </w:r>
        <w:r w:rsidRPr="00CF09A3">
          <w:rPr>
            <w:sz w:val="16"/>
            <w:lang w:val="fr-CH"/>
          </w:rPr>
          <w:instrText>PAGE   \* MERGEFORMAT</w:instrText>
        </w:r>
        <w:r w:rsidRPr="00E136A1">
          <w:rPr>
            <w:sz w:val="16"/>
          </w:rPr>
          <w:fldChar w:fldCharType="separate"/>
        </w:r>
        <w:r w:rsidR="00B94A10">
          <w:rPr>
            <w:sz w:val="16"/>
            <w:lang w:val="fr-CH"/>
          </w:rPr>
          <w:t>22</w:t>
        </w:r>
        <w:r w:rsidRPr="00E136A1">
          <w:rPr>
            <w:sz w:val="16"/>
          </w:rPr>
          <w:fldChar w:fldCharType="end"/>
        </w:r>
      </w:sdtContent>
    </w:sdt>
  </w:p>
  <w:p w14:paraId="223C2517" w14:textId="4BD7C735" w:rsidR="0070469A" w:rsidRPr="00CF09A3" w:rsidRDefault="0070469A" w:rsidP="00E24210">
    <w:pPr>
      <w:pStyle w:val="Fuzeile"/>
      <w:tabs>
        <w:tab w:val="right" w:pos="20979"/>
      </w:tabs>
      <w:rPr>
        <w:noProof w:val="0"/>
        <w:color w:val="808080" w:themeColor="background1" w:themeShade="80"/>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2840A" w14:textId="77777777" w:rsidR="00A45DC6" w:rsidRDefault="00A45DC6" w:rsidP="005B17D7">
      <w:pPr>
        <w:spacing w:line="240" w:lineRule="auto"/>
      </w:pPr>
      <w:r>
        <w:separator/>
      </w:r>
    </w:p>
  </w:footnote>
  <w:footnote w:type="continuationSeparator" w:id="0">
    <w:p w14:paraId="2A3368F4" w14:textId="77777777" w:rsidR="00A45DC6" w:rsidRDefault="00A45DC6" w:rsidP="005B17D7">
      <w:pPr>
        <w:spacing w:line="240" w:lineRule="auto"/>
      </w:pPr>
      <w:r>
        <w:continuationSeparator/>
      </w:r>
    </w:p>
  </w:footnote>
  <w:footnote w:type="continuationNotice" w:id="1">
    <w:p w14:paraId="7D27AA8E" w14:textId="77777777" w:rsidR="00A45DC6" w:rsidRDefault="00A45DC6">
      <w:pPr>
        <w:spacing w:after="0" w:line="240" w:lineRule="auto"/>
      </w:pPr>
    </w:p>
  </w:footnote>
  <w:footnote w:id="2">
    <w:p w14:paraId="6E0D9E5A" w14:textId="5825A4FE" w:rsidR="0070469A" w:rsidRPr="00E821AA" w:rsidRDefault="0070469A" w:rsidP="005011AE">
      <w:pPr>
        <w:pStyle w:val="KeinLeerraum"/>
        <w:rPr>
          <w:lang w:val="fr-CH"/>
        </w:rPr>
      </w:pPr>
      <w:r>
        <w:rPr>
          <w:rStyle w:val="Funotenzeichen"/>
        </w:rPr>
        <w:footnoteRef/>
      </w:r>
      <w:r w:rsidRPr="00E821AA">
        <w:rPr>
          <w:lang w:val="fr-CH"/>
        </w:rPr>
        <w:t xml:space="preserve"> </w:t>
      </w:r>
      <w:r w:rsidRPr="00E821AA">
        <w:rPr>
          <w:lang w:val="fr-CH"/>
        </w:rPr>
        <w:tab/>
      </w:r>
      <w:r>
        <w:rPr>
          <w:lang w:val="fr-CH"/>
        </w:rPr>
        <w:t>Office fédéral de l’aménagement du territoire</w:t>
      </w:r>
      <w:r w:rsidRPr="00CF1032">
        <w:rPr>
          <w:lang w:val="fr-CH"/>
        </w:rPr>
        <w:t xml:space="preserve">, </w:t>
      </w:r>
      <w:r>
        <w:rPr>
          <w:lang w:val="fr-CH"/>
        </w:rPr>
        <w:t>Office fédéral de l’agriculture</w:t>
      </w:r>
      <w:r w:rsidRPr="00E821AA">
        <w:rPr>
          <w:lang w:val="fr-CH"/>
        </w:rPr>
        <w:t xml:space="preserve">, </w:t>
      </w:r>
      <w:r w:rsidRPr="00CF1032">
        <w:rPr>
          <w:lang w:val="fr-CH"/>
        </w:rPr>
        <w:t>OFAT/OFAG (1992)</w:t>
      </w:r>
      <w:r>
        <w:rPr>
          <w:lang w:val="fr-CH"/>
        </w:rPr>
        <w:t xml:space="preserve"> </w:t>
      </w:r>
      <w:r w:rsidRPr="00CF1032">
        <w:rPr>
          <w:lang w:val="fr-CH"/>
        </w:rPr>
        <w:t xml:space="preserve">: </w:t>
      </w:r>
      <w:r>
        <w:rPr>
          <w:lang w:val="fr-CH"/>
        </w:rPr>
        <w:t>Plan sectoriel des surfaces d’assolement (SDA). Surface totale minimale d’assolement et sa répartition entre les cantons</w:t>
      </w:r>
      <w:r w:rsidRPr="00CF1032">
        <w:rPr>
          <w:lang w:val="fr-CH"/>
        </w:rPr>
        <w:t>. Bern</w:t>
      </w:r>
      <w:r>
        <w:rPr>
          <w:lang w:val="fr-CH"/>
        </w:rPr>
        <w:t>e</w:t>
      </w:r>
      <w:r w:rsidRPr="00E821AA">
        <w:rPr>
          <w:lang w:val="fr-CH"/>
        </w:rPr>
        <w:t xml:space="preserve">.  </w:t>
      </w:r>
    </w:p>
  </w:footnote>
  <w:footnote w:id="3">
    <w:p w14:paraId="792989A9" w14:textId="2CF980CC" w:rsidR="0070469A" w:rsidRPr="00E821AA" w:rsidRDefault="0070469A">
      <w:pPr>
        <w:pStyle w:val="KeinLeerraum"/>
        <w:rPr>
          <w:rFonts w:ascii="Courier New" w:eastAsiaTheme="minorEastAsia" w:hAnsi="Courier New" w:cs="Courier New"/>
          <w:lang w:val="fr-CH"/>
        </w:rPr>
      </w:pPr>
      <w:r>
        <w:rPr>
          <w:rStyle w:val="Funotenzeichen"/>
        </w:rPr>
        <w:footnoteRef/>
      </w:r>
      <w:r w:rsidRPr="00E821AA">
        <w:rPr>
          <w:lang w:val="fr-CH"/>
        </w:rPr>
        <w:t xml:space="preserve">  </w:t>
      </w:r>
      <w:r w:rsidRPr="00E821AA">
        <w:rPr>
          <w:lang w:val="fr-CH"/>
        </w:rPr>
        <w:tab/>
      </w:r>
      <w:r>
        <w:rPr>
          <w:lang w:val="fr-CH"/>
        </w:rPr>
        <w:t>Office fédéral de l’aménagement du territoire, OFAT</w:t>
      </w:r>
      <w:r w:rsidRPr="00B054FC">
        <w:rPr>
          <w:lang w:val="fr-CH"/>
        </w:rPr>
        <w:t xml:space="preserve"> (1986)</w:t>
      </w:r>
      <w:r>
        <w:rPr>
          <w:lang w:val="fr-CH"/>
        </w:rPr>
        <w:t xml:space="preserve"> </w:t>
      </w:r>
      <w:r w:rsidRPr="00B054FC">
        <w:rPr>
          <w:lang w:val="fr-CH"/>
        </w:rPr>
        <w:t xml:space="preserve">: </w:t>
      </w:r>
      <w:r>
        <w:rPr>
          <w:lang w:val="fr-CH"/>
        </w:rPr>
        <w:t>Relevé et garantie des surfaces d’assolement. Articles</w:t>
      </w:r>
      <w:r w:rsidRPr="00B054FC">
        <w:rPr>
          <w:lang w:val="fr-CH"/>
        </w:rPr>
        <w:t xml:space="preserve"> 11</w:t>
      </w:r>
      <w:r>
        <w:rPr>
          <w:lang w:val="fr-CH"/>
        </w:rPr>
        <w:t xml:space="preserve"> à</w:t>
      </w:r>
      <w:r w:rsidRPr="00B054FC">
        <w:rPr>
          <w:lang w:val="fr-CH"/>
        </w:rPr>
        <w:t xml:space="preserve"> 16 </w:t>
      </w:r>
      <w:r>
        <w:rPr>
          <w:lang w:val="fr-CH"/>
        </w:rPr>
        <w:t>de l’ordonnance du</w:t>
      </w:r>
      <w:r w:rsidRPr="00B054FC">
        <w:rPr>
          <w:lang w:val="fr-CH"/>
        </w:rPr>
        <w:t xml:space="preserve"> 26</w:t>
      </w:r>
      <w:r>
        <w:rPr>
          <w:lang w:val="fr-CH"/>
        </w:rPr>
        <w:t xml:space="preserve"> mars</w:t>
      </w:r>
      <w:r w:rsidRPr="00B054FC">
        <w:rPr>
          <w:lang w:val="fr-CH"/>
        </w:rPr>
        <w:t xml:space="preserve"> 1986 </w:t>
      </w:r>
      <w:r>
        <w:rPr>
          <w:lang w:val="fr-CH"/>
        </w:rPr>
        <w:t>sur l’aménagement du territoire</w:t>
      </w:r>
      <w:r w:rsidRPr="00B054FC">
        <w:rPr>
          <w:lang w:val="fr-CH"/>
        </w:rPr>
        <w:t xml:space="preserve">. </w:t>
      </w:r>
      <w:r>
        <w:rPr>
          <w:lang w:val="fr-CH"/>
        </w:rPr>
        <w:t>Rapport explicatif de l’Office fédéral de l’aménagement du territoire</w:t>
      </w:r>
      <w:r w:rsidRPr="00E821AA">
        <w:rPr>
          <w:lang w:val="fr-CH"/>
        </w:rPr>
        <w:t xml:space="preserve">. </w:t>
      </w:r>
    </w:p>
  </w:footnote>
  <w:footnote w:id="4">
    <w:p w14:paraId="407C39B7" w14:textId="416FB625" w:rsidR="0070469A" w:rsidRPr="00E821AA" w:rsidRDefault="0070469A" w:rsidP="00201F73">
      <w:pPr>
        <w:pStyle w:val="KeinLeerraum"/>
        <w:rPr>
          <w:lang w:val="fr-CH"/>
        </w:rPr>
      </w:pPr>
      <w:r>
        <w:rPr>
          <w:rStyle w:val="Funotenzeichen"/>
        </w:rPr>
        <w:footnoteRef/>
      </w:r>
      <w:r w:rsidRPr="00E821AA">
        <w:rPr>
          <w:lang w:val="fr-CH"/>
        </w:rPr>
        <w:t xml:space="preserve"> </w:t>
      </w:r>
      <w:r w:rsidRPr="00E821AA">
        <w:rPr>
          <w:lang w:val="fr-CH"/>
        </w:rPr>
        <w:tab/>
        <w:t>Ibid.</w:t>
      </w:r>
    </w:p>
  </w:footnote>
  <w:footnote w:id="5">
    <w:p w14:paraId="77A2CDA9" w14:textId="31D750D1" w:rsidR="0070469A" w:rsidRPr="00E821AA" w:rsidRDefault="0070469A" w:rsidP="00744798">
      <w:pPr>
        <w:pStyle w:val="Funotentext"/>
        <w:spacing w:after="60"/>
        <w:ind w:left="227" w:hanging="227"/>
        <w:rPr>
          <w:sz w:val="18"/>
          <w:szCs w:val="18"/>
          <w:lang w:val="fr-CH"/>
        </w:rPr>
      </w:pPr>
      <w:r w:rsidRPr="00744798">
        <w:rPr>
          <w:rStyle w:val="Funotenzeichen"/>
          <w:sz w:val="18"/>
          <w:szCs w:val="18"/>
        </w:rPr>
        <w:footnoteRef/>
      </w:r>
      <w:r>
        <w:t xml:space="preserve"> </w:t>
      </w:r>
      <w:r>
        <w:tab/>
      </w:r>
      <w:r>
        <w:rPr>
          <w:sz w:val="18"/>
          <w:szCs w:val="18"/>
          <w:lang w:val="fr-CH"/>
        </w:rPr>
        <w:t>Ces chiffres se basent sur les résultats de la statistique de la superficie entre 1979/85 et 2004/09. La prochaine mise à jour de la statistique de la superficie sera effectuée pour 2013/18, mais les résultats ne sont pas encore publiés.</w:t>
      </w:r>
    </w:p>
  </w:footnote>
  <w:footnote w:id="6">
    <w:p w14:paraId="6FFFD2A3" w14:textId="79660285" w:rsidR="0070469A" w:rsidRPr="00E821AA" w:rsidRDefault="0070469A" w:rsidP="00201F73">
      <w:pPr>
        <w:pStyle w:val="KeinLeerraum"/>
        <w:rPr>
          <w:lang w:val="fr-CH"/>
        </w:rPr>
      </w:pPr>
      <w:r>
        <w:rPr>
          <w:rStyle w:val="Funotenzeichen"/>
        </w:rPr>
        <w:footnoteRef/>
      </w:r>
      <w:r w:rsidRPr="00E821AA">
        <w:rPr>
          <w:lang w:val="fr-CH"/>
        </w:rPr>
        <w:t xml:space="preserve"> </w:t>
      </w:r>
      <w:r w:rsidRPr="00E821AA">
        <w:rPr>
          <w:lang w:val="fr-CH"/>
        </w:rPr>
        <w:tab/>
      </w:r>
      <w:r w:rsidRPr="00971813">
        <w:rPr>
          <w:lang w:val="fr-CH"/>
        </w:rPr>
        <w:t>Office fédéral de la statistique, OFS (2015) : Statistique de la superficie</w:t>
      </w:r>
      <w:r w:rsidRPr="00E821AA">
        <w:rPr>
          <w:lang w:val="fr-CH"/>
        </w:rPr>
        <w:t>. Utilisation du sol en Suisse, exploitation et analyse, Office fédéral de la statistique OFS</w:t>
      </w:r>
      <w:r>
        <w:rPr>
          <w:lang w:val="fr-CH"/>
        </w:rPr>
        <w:t>, Neuchâtel,</w:t>
      </w:r>
      <w:r w:rsidRPr="00E821AA">
        <w:rPr>
          <w:lang w:val="fr-CH"/>
        </w:rPr>
        <w:t xml:space="preserve"> </w:t>
      </w:r>
      <w:hyperlink r:id="rId1" w:history="1">
        <w:r w:rsidRPr="00E821AA">
          <w:rPr>
            <w:rStyle w:val="Hyperlink"/>
            <w:lang w:val="fr-CH"/>
          </w:rPr>
          <w:t>https://www.bfs.admin.ch/bfs/fr/home/statistiques/espace-environnement/utilisation-couverture-sol.assetdetail.348986.html</w:t>
        </w:r>
      </w:hyperlink>
      <w:r>
        <w:rPr>
          <w:lang w:val="fr-CH"/>
        </w:rPr>
        <w:t>, consulté le 18.10.2018.</w:t>
      </w:r>
    </w:p>
  </w:footnote>
  <w:footnote w:id="7">
    <w:p w14:paraId="16DE316E" w14:textId="04DB6EC5" w:rsidR="0070469A" w:rsidRPr="00E821AA" w:rsidRDefault="0070469A" w:rsidP="00134157">
      <w:pPr>
        <w:pStyle w:val="KeinLeerraum"/>
        <w:rPr>
          <w:lang w:val="fr-CH"/>
        </w:rPr>
      </w:pPr>
      <w:r>
        <w:rPr>
          <w:rStyle w:val="Funotenzeichen"/>
        </w:rPr>
        <w:footnoteRef/>
      </w:r>
      <w:r w:rsidRPr="00E821AA">
        <w:rPr>
          <w:lang w:val="fr-CH"/>
        </w:rPr>
        <w:t xml:space="preserve"> </w:t>
      </w:r>
      <w:r w:rsidRPr="00E821AA">
        <w:rPr>
          <w:lang w:val="fr-CH"/>
        </w:rPr>
        <w:tab/>
      </w:r>
      <w:r>
        <w:rPr>
          <w:lang w:val="fr-CH"/>
        </w:rPr>
        <w:t>Office fédéral pour l’approvisionnement économique du pays,</w:t>
      </w:r>
      <w:r w:rsidRPr="00191235">
        <w:rPr>
          <w:lang w:val="fr-CH"/>
        </w:rPr>
        <w:t xml:space="preserve"> </w:t>
      </w:r>
      <w:r>
        <w:rPr>
          <w:lang w:val="fr-CH"/>
        </w:rPr>
        <w:t>OFAE</w:t>
      </w:r>
      <w:r w:rsidRPr="00191235">
        <w:rPr>
          <w:lang w:val="fr-CH"/>
        </w:rPr>
        <w:t xml:space="preserve"> (201</w:t>
      </w:r>
      <w:r>
        <w:rPr>
          <w:lang w:val="fr-CH"/>
        </w:rPr>
        <w:t>8</w:t>
      </w:r>
      <w:r w:rsidRPr="00191235">
        <w:rPr>
          <w:lang w:val="fr-CH"/>
        </w:rPr>
        <w:t>)</w:t>
      </w:r>
      <w:r>
        <w:rPr>
          <w:lang w:val="fr-CH"/>
        </w:rPr>
        <w:t xml:space="preserve"> </w:t>
      </w:r>
      <w:r w:rsidRPr="00191235">
        <w:rPr>
          <w:lang w:val="fr-CH"/>
        </w:rPr>
        <w:t xml:space="preserve">: </w:t>
      </w:r>
      <w:r>
        <w:rPr>
          <w:lang w:val="fr-CH"/>
        </w:rPr>
        <w:t>Stratégie suisse de nutrition (mise à jour tous les quatre ans)</w:t>
      </w:r>
      <w:r w:rsidRPr="00E821AA">
        <w:rPr>
          <w:lang w:val="fr-CH"/>
        </w:rPr>
        <w:t>.</w:t>
      </w:r>
    </w:p>
  </w:footnote>
  <w:footnote w:id="8">
    <w:p w14:paraId="00134A50" w14:textId="3E1068A9" w:rsidR="0070469A" w:rsidRPr="00E821AA" w:rsidRDefault="0070469A" w:rsidP="00683853">
      <w:pPr>
        <w:pStyle w:val="KeinLeerraum"/>
        <w:ind w:left="284" w:hanging="284"/>
        <w:rPr>
          <w:lang w:val="fr-CH"/>
        </w:rPr>
      </w:pPr>
      <w:r w:rsidRPr="005221BC">
        <w:rPr>
          <w:rStyle w:val="Funotenzeichen"/>
        </w:rPr>
        <w:footnoteRef/>
      </w:r>
      <w:r w:rsidRPr="00E821AA">
        <w:rPr>
          <w:lang w:val="fr-CH"/>
        </w:rPr>
        <w:t xml:space="preserve"> </w:t>
      </w:r>
      <w:r w:rsidRPr="00E821AA">
        <w:rPr>
          <w:lang w:val="fr-CH"/>
        </w:rPr>
        <w:tab/>
      </w:r>
      <w:r w:rsidRPr="000B65FB">
        <w:rPr>
          <w:lang w:val="fr-CH"/>
        </w:rPr>
        <w:t xml:space="preserve">Office fédéral pour l’approvisionnement économique du pays, OFAE (2017) : Potentiel alimentaire des surfaces agricoles cultivées. Analyse </w:t>
      </w:r>
      <w:r>
        <w:rPr>
          <w:lang w:val="fr-CH"/>
        </w:rPr>
        <w:t>d’optimisation de la production alimentaire indigène suisse</w:t>
      </w:r>
      <w:r w:rsidRPr="000B65FB">
        <w:rPr>
          <w:lang w:val="fr-CH"/>
        </w:rPr>
        <w:t xml:space="preserve"> e</w:t>
      </w:r>
      <w:r>
        <w:rPr>
          <w:lang w:val="fr-CH"/>
        </w:rPr>
        <w:t>n cas de pé</w:t>
      </w:r>
      <w:r w:rsidRPr="000B65FB">
        <w:rPr>
          <w:lang w:val="fr-CH"/>
        </w:rPr>
        <w:t>n</w:t>
      </w:r>
      <w:r>
        <w:rPr>
          <w:lang w:val="fr-CH"/>
        </w:rPr>
        <w:t>urie grave</w:t>
      </w:r>
      <w:r w:rsidRPr="00E821AA">
        <w:rPr>
          <w:lang w:val="fr-CH"/>
        </w:rPr>
        <w:t>.</w:t>
      </w:r>
    </w:p>
  </w:footnote>
  <w:footnote w:id="9">
    <w:p w14:paraId="0C9B8940" w14:textId="05E0193D" w:rsidR="0070469A" w:rsidRPr="00DC3E12" w:rsidRDefault="0070469A" w:rsidP="00456836">
      <w:pPr>
        <w:pStyle w:val="KeinLeerraum"/>
        <w:rPr>
          <w:lang w:val="fr-CH"/>
        </w:rPr>
      </w:pPr>
      <w:r>
        <w:rPr>
          <w:rStyle w:val="Funotenzeichen"/>
        </w:rPr>
        <w:footnoteRef/>
      </w:r>
      <w:r w:rsidRPr="00E821AA">
        <w:rPr>
          <w:lang w:val="fr-CH"/>
        </w:rPr>
        <w:t xml:space="preserve"> </w:t>
      </w:r>
      <w:r w:rsidRPr="00E821AA">
        <w:rPr>
          <w:lang w:val="fr-CH"/>
        </w:rPr>
        <w:tab/>
      </w:r>
      <w:r w:rsidRPr="00DC3E12">
        <w:rPr>
          <w:lang w:val="fr-CH"/>
        </w:rPr>
        <w:t>Office fédéral de la statistique OFS (2015)</w:t>
      </w:r>
      <w:r>
        <w:rPr>
          <w:lang w:val="fr-CH"/>
        </w:rPr>
        <w:t xml:space="preserve"> </w:t>
      </w:r>
      <w:r w:rsidRPr="00DC3E12">
        <w:rPr>
          <w:lang w:val="fr-CH"/>
        </w:rPr>
        <w:t xml:space="preserve">: </w:t>
      </w:r>
      <w:r>
        <w:rPr>
          <w:lang w:val="fr-CH"/>
        </w:rPr>
        <w:t>Scénarios de l’évolution de la population de la Suisse</w:t>
      </w:r>
      <w:r w:rsidRPr="00DC3E12">
        <w:rPr>
          <w:lang w:val="fr-CH"/>
        </w:rPr>
        <w:t xml:space="preserve"> 2015 – 2045</w:t>
      </w:r>
      <w:r>
        <w:rPr>
          <w:lang w:val="fr-CH"/>
        </w:rPr>
        <w:t>,</w:t>
      </w:r>
      <w:r w:rsidRPr="00DC3E12">
        <w:rPr>
          <w:lang w:val="fr-CH"/>
        </w:rPr>
        <w:t xml:space="preserve"> Neuchâte</w:t>
      </w:r>
      <w:r>
        <w:rPr>
          <w:lang w:val="fr-CH"/>
        </w:rPr>
        <w:t>l</w:t>
      </w:r>
      <w:r w:rsidRPr="00DC3E12">
        <w:rPr>
          <w:lang w:val="fr-CH"/>
        </w:rPr>
        <w:t>.</w:t>
      </w:r>
    </w:p>
  </w:footnote>
  <w:footnote w:id="10">
    <w:p w14:paraId="45ED20E2" w14:textId="59AD59BE" w:rsidR="0070469A" w:rsidRPr="00D63B92" w:rsidRDefault="0070469A" w:rsidP="3120AD34">
      <w:pPr>
        <w:pStyle w:val="KeinLeerraum"/>
        <w:rPr>
          <w:lang w:val="fr-CH"/>
        </w:rPr>
      </w:pPr>
      <w:r>
        <w:rPr>
          <w:rStyle w:val="Funotenzeichen"/>
        </w:rPr>
        <w:footnoteRef/>
      </w:r>
      <w:r w:rsidRPr="29D59492">
        <w:t xml:space="preserve"> </w:t>
      </w:r>
      <w:r>
        <w:tab/>
      </w:r>
      <w:r w:rsidRPr="00E821AA">
        <w:t xml:space="preserve">Schuffenhauer, A., Maier, M., Goldhofer, H., Sutor, P (2012) : Auswirkungen internationaler Märkte auf die bayerische Land- und Ernährungswirtschaft. Weizen. Schriftenreihe der Bayerischen Landesanstalt für Landwirtschaft. / Brisson, N., Gate, P., Gouache, D., Charmet, G., Oury, F.X., Huard, F. (2010) : Why are wheat yields stagnating in Europe ? </w:t>
      </w:r>
      <w:r w:rsidRPr="00D63B92">
        <w:rPr>
          <w:lang w:val="fr-CH"/>
        </w:rPr>
        <w:t>A comprehensive data analysis for France. Pourquoi les rendements du blé stagnant en Europe</w:t>
      </w:r>
      <w:r>
        <w:rPr>
          <w:lang w:val="fr-CH"/>
        </w:rPr>
        <w:t xml:space="preserve"> </w:t>
      </w:r>
      <w:r w:rsidRPr="00D63B92">
        <w:rPr>
          <w:lang w:val="fr-CH"/>
        </w:rPr>
        <w:t xml:space="preserve">? Field Crops Res., </w:t>
      </w:r>
      <w:r>
        <w:rPr>
          <w:lang w:val="fr-CH"/>
        </w:rPr>
        <w:t xml:space="preserve">volume </w:t>
      </w:r>
      <w:r w:rsidRPr="00D63B92">
        <w:rPr>
          <w:lang w:val="fr-CH"/>
        </w:rPr>
        <w:t>119,</w:t>
      </w:r>
      <w:r>
        <w:rPr>
          <w:lang w:val="fr-CH"/>
        </w:rPr>
        <w:t xml:space="preserve"> p.</w:t>
      </w:r>
      <w:r w:rsidRPr="00D63B92">
        <w:rPr>
          <w:lang w:val="fr-CH"/>
        </w:rPr>
        <w:t xml:space="preserve"> 201-212.</w:t>
      </w:r>
    </w:p>
  </w:footnote>
  <w:footnote w:id="11">
    <w:p w14:paraId="35D81558" w14:textId="10162537" w:rsidR="0070469A" w:rsidRPr="00E503B8" w:rsidRDefault="0070469A" w:rsidP="0078738E">
      <w:pPr>
        <w:pStyle w:val="KeinLeerraum"/>
        <w:rPr>
          <w:lang w:val="fr-CH"/>
        </w:rPr>
      </w:pPr>
      <w:r>
        <w:rPr>
          <w:rStyle w:val="Funotenzeichen"/>
        </w:rPr>
        <w:footnoteRef/>
      </w:r>
      <w:r w:rsidRPr="00E821AA">
        <w:rPr>
          <w:lang w:val="fr-CH"/>
        </w:rPr>
        <w:t xml:space="preserve"> </w:t>
      </w:r>
      <w:r w:rsidRPr="00E821AA">
        <w:rPr>
          <w:lang w:val="fr-CH"/>
        </w:rPr>
        <w:tab/>
      </w:r>
      <w:r w:rsidRPr="00E503B8">
        <w:rPr>
          <w:lang w:val="fr-CH"/>
        </w:rPr>
        <w:t>Office fédéral de l’aménagement du territoire/Office fédéral de l’agriculture (1983)</w:t>
      </w:r>
      <w:r>
        <w:rPr>
          <w:lang w:val="fr-CH"/>
        </w:rPr>
        <w:t xml:space="preserve"> </w:t>
      </w:r>
      <w:r w:rsidRPr="00E503B8">
        <w:rPr>
          <w:lang w:val="fr-CH"/>
        </w:rPr>
        <w:t xml:space="preserve">: </w:t>
      </w:r>
      <w:r>
        <w:rPr>
          <w:lang w:val="fr-CH"/>
        </w:rPr>
        <w:t>Aménagement du territoire et agriculture –</w:t>
      </w:r>
      <w:r w:rsidRPr="00E503B8">
        <w:rPr>
          <w:lang w:val="fr-CH"/>
        </w:rPr>
        <w:t xml:space="preserve"> </w:t>
      </w:r>
      <w:r>
        <w:rPr>
          <w:lang w:val="fr-CH"/>
        </w:rPr>
        <w:t>Aide à la mise en œuvre</w:t>
      </w:r>
      <w:r w:rsidRPr="00E503B8">
        <w:rPr>
          <w:lang w:val="fr-CH"/>
        </w:rPr>
        <w:t>, Bern</w:t>
      </w:r>
      <w:r>
        <w:rPr>
          <w:lang w:val="fr-CH"/>
        </w:rPr>
        <w:t>e</w:t>
      </w:r>
      <w:r w:rsidRPr="00E503B8">
        <w:rPr>
          <w:lang w:val="fr-CH"/>
        </w:rPr>
        <w:t>.</w:t>
      </w:r>
    </w:p>
  </w:footnote>
  <w:footnote w:id="12">
    <w:p w14:paraId="0428F764" w14:textId="04E52BE8" w:rsidR="0070469A" w:rsidRPr="00E503B8" w:rsidRDefault="0070469A" w:rsidP="0078738E">
      <w:pPr>
        <w:pStyle w:val="KeinLeerraum"/>
        <w:rPr>
          <w:lang w:val="fr-CH"/>
        </w:rPr>
      </w:pPr>
      <w:r>
        <w:rPr>
          <w:rStyle w:val="Funotenzeichen"/>
        </w:rPr>
        <w:footnoteRef/>
      </w:r>
      <w:r w:rsidRPr="00E821AA">
        <w:rPr>
          <w:lang w:val="fr-CH"/>
        </w:rPr>
        <w:t xml:space="preserve"> </w:t>
      </w:r>
      <w:r w:rsidRPr="00E821AA">
        <w:rPr>
          <w:lang w:val="fr-CH"/>
        </w:rPr>
        <w:tab/>
      </w:r>
      <w:r w:rsidRPr="00E503B8">
        <w:rPr>
          <w:lang w:val="fr-CH"/>
        </w:rPr>
        <w:t>Office fédéral de l’aménagement du territoire</w:t>
      </w:r>
      <w:r>
        <w:rPr>
          <w:lang w:val="fr-CH"/>
        </w:rPr>
        <w:t xml:space="preserve"> (1986)</w:t>
      </w:r>
      <w:r w:rsidRPr="00E503B8">
        <w:rPr>
          <w:lang w:val="fr-CH"/>
        </w:rPr>
        <w:t xml:space="preserve"> : Relevé et garantie des surfaces d’assolement (art</w:t>
      </w:r>
      <w:r>
        <w:rPr>
          <w:lang w:val="fr-CH"/>
        </w:rPr>
        <w:t>.</w:t>
      </w:r>
      <w:r w:rsidRPr="00E503B8">
        <w:rPr>
          <w:lang w:val="fr-CH"/>
        </w:rPr>
        <w:t xml:space="preserve"> 11 à 16 de l’ordonnance du 26 mars 1986 sur l’aménagement du territoire</w:t>
      </w:r>
      <w:r>
        <w:rPr>
          <w:lang w:val="fr-CH"/>
        </w:rPr>
        <w:t>)</w:t>
      </w:r>
      <w:r w:rsidRPr="00E503B8">
        <w:rPr>
          <w:lang w:val="fr-CH"/>
        </w:rPr>
        <w:t>. Rapport explicatif de l’Office fédéral de l’aménagement du territoire. Berne.</w:t>
      </w:r>
    </w:p>
  </w:footnote>
  <w:footnote w:id="13">
    <w:p w14:paraId="04ABA0F9" w14:textId="5CDF0B86" w:rsidR="0070469A" w:rsidRPr="006F3950" w:rsidRDefault="0070469A" w:rsidP="3120AD34">
      <w:pPr>
        <w:pStyle w:val="KeinLeerraum"/>
        <w:rPr>
          <w:rFonts w:cs="Arial"/>
          <w:lang w:val="fr-CH"/>
        </w:rPr>
      </w:pPr>
      <w:r w:rsidRPr="009804CF">
        <w:rPr>
          <w:rStyle w:val="Funotenzeichen"/>
        </w:rPr>
        <w:footnoteRef/>
      </w:r>
      <w:r w:rsidRPr="00E821AA">
        <w:rPr>
          <w:lang w:val="fr-CH"/>
        </w:rPr>
        <w:t xml:space="preserve"> </w:t>
      </w:r>
      <w:r w:rsidRPr="00E821AA">
        <w:rPr>
          <w:lang w:val="fr-CH"/>
        </w:rPr>
        <w:tab/>
      </w:r>
      <w:r w:rsidRPr="006F3950">
        <w:rPr>
          <w:lang w:val="fr-CH"/>
        </w:rPr>
        <w:t>Messer, A.M., Bonriposi, M., Chenal, J., Hasler, S., Niederoest, R. (2016)</w:t>
      </w:r>
      <w:r>
        <w:rPr>
          <w:lang w:val="fr-CH"/>
        </w:rPr>
        <w:t xml:space="preserve"> </w:t>
      </w:r>
      <w:r w:rsidRPr="006F3950">
        <w:rPr>
          <w:lang w:val="fr-CH"/>
        </w:rPr>
        <w:t xml:space="preserve">: </w:t>
      </w:r>
      <w:r>
        <w:rPr>
          <w:lang w:val="fr-CH"/>
        </w:rPr>
        <w:t>Gérer les meilleures terres agricoles en Suisse. Pratiques cantonales et perspectives d’évolution</w:t>
      </w:r>
      <w:r w:rsidRPr="006F3950">
        <w:rPr>
          <w:lang w:val="fr-CH"/>
        </w:rPr>
        <w:t xml:space="preserve">. </w:t>
      </w:r>
      <w:r w:rsidRPr="00114C22">
        <w:rPr>
          <w:lang w:val="fr-CH"/>
        </w:rPr>
        <w:t xml:space="preserve">Lausanne : EPFL/CEAT [112 p.]. / myx GmbH (2016): Agrarpedologische Analyse der Fruchtfolgeflächen. </w:t>
      </w:r>
      <w:r>
        <w:rPr>
          <w:lang w:val="fr-CH"/>
        </w:rPr>
        <w:t>Mandat de l’Office fédéral du développement territorial</w:t>
      </w:r>
      <w:r w:rsidRPr="006F3950">
        <w:rPr>
          <w:lang w:val="fr-CH"/>
        </w:rPr>
        <w:t xml:space="preserve"> (ARE)/ </w:t>
      </w:r>
      <w:r w:rsidRPr="006F3950">
        <w:rPr>
          <w:rFonts w:cs="Arial"/>
          <w:lang w:val="fr-CH"/>
        </w:rPr>
        <w:t>Planteam S AG, Boden+Landwirtschaft Vogt (2013)</w:t>
      </w:r>
      <w:r>
        <w:rPr>
          <w:rFonts w:cs="Arial"/>
          <w:lang w:val="fr-CH"/>
        </w:rPr>
        <w:t xml:space="preserve"> </w:t>
      </w:r>
      <w:r w:rsidRPr="006F3950">
        <w:rPr>
          <w:rFonts w:cs="Arial"/>
          <w:lang w:val="fr-CH"/>
        </w:rPr>
        <w:t xml:space="preserve">: </w:t>
      </w:r>
      <w:r>
        <w:rPr>
          <w:rFonts w:cs="Arial"/>
          <w:lang w:val="fr-CH"/>
        </w:rPr>
        <w:t xml:space="preserve">Plan sectoriel des surfaces d’assolement </w:t>
      </w:r>
      <w:r w:rsidRPr="006F3950">
        <w:rPr>
          <w:rFonts w:cs="Arial"/>
          <w:lang w:val="fr-CH"/>
        </w:rPr>
        <w:t xml:space="preserve">: </w:t>
      </w:r>
      <w:r>
        <w:rPr>
          <w:rFonts w:cs="Arial"/>
          <w:lang w:val="fr-CH"/>
        </w:rPr>
        <w:t>rapport sur l’état de la mie en œuvre du plan sectoriel</w:t>
      </w:r>
      <w:r w:rsidRPr="006F3950">
        <w:rPr>
          <w:rFonts w:cs="Arial"/>
          <w:lang w:val="fr-CH"/>
        </w:rPr>
        <w:t>. Bern</w:t>
      </w:r>
      <w:r>
        <w:rPr>
          <w:rFonts w:cs="Arial"/>
          <w:lang w:val="fr-CH"/>
        </w:rPr>
        <w:t>e</w:t>
      </w:r>
      <w:r w:rsidRPr="006F3950">
        <w:rPr>
          <w:rFonts w:cs="Arial"/>
          <w:lang w:val="fr-CH"/>
        </w:rPr>
        <w:t xml:space="preserve">. </w:t>
      </w:r>
      <w:r>
        <w:rPr>
          <w:rFonts w:cs="Arial"/>
          <w:lang w:val="fr-CH"/>
        </w:rPr>
        <w:t xml:space="preserve">Rapport à l’attention de l’Office fédéral du développement territorial </w:t>
      </w:r>
      <w:r w:rsidRPr="006F3950">
        <w:rPr>
          <w:rFonts w:cs="Arial"/>
          <w:lang w:val="fr-CH"/>
        </w:rPr>
        <w:t>(ARE).</w:t>
      </w:r>
    </w:p>
  </w:footnote>
  <w:footnote w:id="14">
    <w:p w14:paraId="5919791B" w14:textId="77777777" w:rsidR="0070469A" w:rsidRDefault="0070469A" w:rsidP="0057762B">
      <w:pPr>
        <w:pStyle w:val="Funotentext"/>
        <w:spacing w:after="60"/>
        <w:ind w:left="227" w:hanging="227"/>
      </w:pPr>
      <w:r w:rsidRPr="45821094">
        <w:rPr>
          <w:rStyle w:val="Funotenzeichen"/>
          <w:sz w:val="18"/>
          <w:szCs w:val="18"/>
        </w:rPr>
        <w:footnoteRef/>
      </w:r>
      <w:r w:rsidRPr="29D59492">
        <w:t xml:space="preserve"> </w:t>
      </w:r>
      <w:r w:rsidRPr="00E774ED">
        <w:rPr>
          <w:sz w:val="18"/>
          <w:szCs w:val="18"/>
        </w:rPr>
        <w:t>Grob</w:t>
      </w:r>
      <w:r>
        <w:rPr>
          <w:sz w:val="18"/>
          <w:szCs w:val="18"/>
        </w:rPr>
        <w:t>,</w:t>
      </w:r>
      <w:r w:rsidRPr="00E774ED">
        <w:rPr>
          <w:sz w:val="18"/>
          <w:szCs w:val="18"/>
        </w:rPr>
        <w:t xml:space="preserve"> U., Ruef., A.</w:t>
      </w:r>
      <w:r>
        <w:rPr>
          <w:sz w:val="18"/>
          <w:szCs w:val="18"/>
        </w:rPr>
        <w:t xml:space="preserve">, </w:t>
      </w:r>
      <w:r w:rsidRPr="00E774ED">
        <w:rPr>
          <w:sz w:val="18"/>
          <w:szCs w:val="18"/>
        </w:rPr>
        <w:t xml:space="preserve">Zihlmann, </w:t>
      </w:r>
      <w:r>
        <w:rPr>
          <w:sz w:val="18"/>
          <w:szCs w:val="18"/>
        </w:rPr>
        <w:t xml:space="preserve">U., </w:t>
      </w:r>
      <w:r w:rsidRPr="00E774ED">
        <w:rPr>
          <w:sz w:val="18"/>
          <w:szCs w:val="18"/>
        </w:rPr>
        <w:t>Klauser</w:t>
      </w:r>
      <w:r>
        <w:rPr>
          <w:sz w:val="18"/>
          <w:szCs w:val="18"/>
        </w:rPr>
        <w:t>, L.,</w:t>
      </w:r>
      <w:r w:rsidRPr="00E774ED">
        <w:rPr>
          <w:sz w:val="18"/>
          <w:szCs w:val="18"/>
        </w:rPr>
        <w:t xml:space="preserve"> Kel</w:t>
      </w:r>
      <w:r>
        <w:rPr>
          <w:sz w:val="18"/>
          <w:szCs w:val="18"/>
        </w:rPr>
        <w:t>ler, A.</w:t>
      </w:r>
      <w:r w:rsidRPr="00E774ED">
        <w:rPr>
          <w:sz w:val="18"/>
          <w:szCs w:val="18"/>
        </w:rPr>
        <w:t xml:space="preserve"> </w:t>
      </w:r>
      <w:r>
        <w:rPr>
          <w:sz w:val="18"/>
          <w:szCs w:val="18"/>
        </w:rPr>
        <w:t>(</w:t>
      </w:r>
      <w:r w:rsidRPr="00E774ED">
        <w:rPr>
          <w:sz w:val="18"/>
          <w:szCs w:val="18"/>
        </w:rPr>
        <w:t>2015</w:t>
      </w:r>
      <w:r>
        <w:rPr>
          <w:sz w:val="18"/>
          <w:szCs w:val="18"/>
        </w:rPr>
        <w:t>):</w:t>
      </w:r>
      <w:r w:rsidRPr="00E774ED">
        <w:rPr>
          <w:sz w:val="18"/>
          <w:szCs w:val="18"/>
        </w:rPr>
        <w:t xml:space="preserve"> Inventarisierung Agroscope Bodendatenarchiv. Institut für Nachhaltigkeitswissenschaften, Agroscope Science.</w:t>
      </w:r>
    </w:p>
  </w:footnote>
  <w:footnote w:id="15">
    <w:p w14:paraId="074C40BE" w14:textId="0E975A60" w:rsidR="0070469A" w:rsidRPr="00E821AA" w:rsidRDefault="0070469A" w:rsidP="00C22AA3">
      <w:pPr>
        <w:pStyle w:val="KeinLeerraum"/>
        <w:rPr>
          <w:lang w:val="fr-CH"/>
        </w:rPr>
      </w:pPr>
      <w:r>
        <w:rPr>
          <w:rStyle w:val="Funotenzeichen"/>
        </w:rPr>
        <w:footnoteRef/>
      </w:r>
      <w:r w:rsidRPr="00E821AA">
        <w:rPr>
          <w:lang w:val="fr-CH"/>
        </w:rPr>
        <w:t xml:space="preserve"> </w:t>
      </w:r>
      <w:r w:rsidRPr="00E821AA">
        <w:rPr>
          <w:lang w:val="fr-CH"/>
        </w:rPr>
        <w:tab/>
      </w:r>
      <w:r>
        <w:rPr>
          <w:lang w:val="fr-CH"/>
        </w:rPr>
        <w:t>Office fédéral de l’aménagement du territoire, Office fédéral de l’agriculture</w:t>
      </w:r>
      <w:r w:rsidRPr="00C501FB">
        <w:rPr>
          <w:lang w:val="fr-CH"/>
        </w:rPr>
        <w:t xml:space="preserve"> </w:t>
      </w:r>
      <w:r>
        <w:rPr>
          <w:lang w:val="fr-CH"/>
        </w:rPr>
        <w:t>OFAT</w:t>
      </w:r>
      <w:r w:rsidRPr="00C501FB">
        <w:rPr>
          <w:lang w:val="fr-CH"/>
        </w:rPr>
        <w:t>/</w:t>
      </w:r>
      <w:r>
        <w:rPr>
          <w:lang w:val="fr-CH"/>
        </w:rPr>
        <w:t>OFAG</w:t>
      </w:r>
      <w:r w:rsidRPr="00C501FB">
        <w:rPr>
          <w:lang w:val="fr-CH"/>
        </w:rPr>
        <w:t xml:space="preserve"> (1992)</w:t>
      </w:r>
      <w:r>
        <w:rPr>
          <w:lang w:val="fr-CH"/>
        </w:rPr>
        <w:t xml:space="preserve"> </w:t>
      </w:r>
      <w:r w:rsidRPr="00C501FB">
        <w:rPr>
          <w:lang w:val="fr-CH"/>
        </w:rPr>
        <w:t xml:space="preserve">: </w:t>
      </w:r>
      <w:r>
        <w:rPr>
          <w:lang w:val="fr-CH"/>
        </w:rPr>
        <w:t>Plan sectoriel des surfaces d’assolement</w:t>
      </w:r>
      <w:r w:rsidRPr="00C501FB">
        <w:rPr>
          <w:lang w:val="fr-CH"/>
        </w:rPr>
        <w:t xml:space="preserve"> (</w:t>
      </w:r>
      <w:r>
        <w:rPr>
          <w:lang w:val="fr-CH"/>
        </w:rPr>
        <w:t>SDA</w:t>
      </w:r>
      <w:r w:rsidRPr="00C501FB">
        <w:rPr>
          <w:lang w:val="fr-CH"/>
        </w:rPr>
        <w:t>)</w:t>
      </w:r>
      <w:r>
        <w:rPr>
          <w:lang w:val="fr-CH"/>
        </w:rPr>
        <w:t>. Surface totale minimale d’assolement et sa répartition entre les cantons</w:t>
      </w:r>
      <w:r w:rsidRPr="00C501FB">
        <w:rPr>
          <w:lang w:val="fr-CH"/>
        </w:rPr>
        <w:t>. Bern</w:t>
      </w:r>
      <w:r>
        <w:rPr>
          <w:lang w:val="fr-CH"/>
        </w:rPr>
        <w:t>e</w:t>
      </w:r>
      <w:r w:rsidRPr="00C501FB">
        <w:rPr>
          <w:lang w:val="fr-CH"/>
        </w:rPr>
        <w:t>.</w:t>
      </w:r>
      <w:r w:rsidRPr="00E821AA">
        <w:rPr>
          <w:lang w:val="fr-CH"/>
        </w:rPr>
        <w:t xml:space="preserve">  </w:t>
      </w:r>
    </w:p>
  </w:footnote>
  <w:footnote w:id="16">
    <w:p w14:paraId="161857F1" w14:textId="5A30316C" w:rsidR="0070469A" w:rsidRPr="00E821AA" w:rsidRDefault="0070469A" w:rsidP="003B15AE">
      <w:pPr>
        <w:pStyle w:val="KeinLeerraum"/>
        <w:rPr>
          <w:lang w:val="fr-CH"/>
        </w:rPr>
      </w:pPr>
      <w:r>
        <w:rPr>
          <w:rStyle w:val="Funotenzeichen"/>
        </w:rPr>
        <w:footnoteRef/>
      </w:r>
      <w:r w:rsidRPr="00E821AA">
        <w:rPr>
          <w:lang w:val="fr-CH"/>
        </w:rPr>
        <w:t xml:space="preserve"> </w:t>
      </w:r>
      <w:r>
        <w:rPr>
          <w:lang w:val="fr-CH"/>
        </w:rPr>
        <w:t>Le sol n’a pas qu’une fonction productive. Il remplit également de nombreuses autres fonctions, par exemple en régulant les cycles nutritif et hydrologique ou en contribuant à la biodiversité</w:t>
      </w:r>
      <w:r w:rsidRPr="00FC002B">
        <w:rPr>
          <w:lang w:val="fr-CH"/>
        </w:rPr>
        <w:t>.</w:t>
      </w:r>
    </w:p>
  </w:footnote>
  <w:footnote w:id="17">
    <w:p w14:paraId="2D4424CA" w14:textId="25C03DA7" w:rsidR="0070469A" w:rsidRPr="00E821AA" w:rsidRDefault="0070469A" w:rsidP="00A82D14">
      <w:pPr>
        <w:pStyle w:val="KeinLeerraum"/>
        <w:rPr>
          <w:lang w:val="fr-CH"/>
        </w:rPr>
      </w:pPr>
      <w:r w:rsidRPr="003E57E9">
        <w:rPr>
          <w:rStyle w:val="Funotenzeichen"/>
        </w:rPr>
        <w:footnoteRef/>
      </w:r>
      <w:r w:rsidRPr="00E821AA">
        <w:rPr>
          <w:lang w:val="fr-CH"/>
        </w:rPr>
        <w:t xml:space="preserve"> </w:t>
      </w:r>
      <w:r>
        <w:rPr>
          <w:lang w:val="fr-CH"/>
        </w:rPr>
        <w:t>Les raisons pour lesquelles ces surfaces peuvent être utilisées pour une compensation malgré le principe</w:t>
      </w:r>
      <w:r w:rsidRPr="007D466C">
        <w:rPr>
          <w:lang w:val="fr-CH"/>
        </w:rPr>
        <w:t xml:space="preserve"> </w:t>
      </w:r>
      <w:r w:rsidRPr="007D466C">
        <w:rPr>
          <w:lang w:val="fr-CH"/>
        </w:rPr>
        <w:fldChar w:fldCharType="begin"/>
      </w:r>
      <w:r w:rsidRPr="007D466C">
        <w:rPr>
          <w:lang w:val="fr-CH"/>
        </w:rPr>
        <w:instrText xml:space="preserve"> REF _Ref525227301 \r \h  \* MERGEFORMAT </w:instrText>
      </w:r>
      <w:r w:rsidRPr="007D466C">
        <w:rPr>
          <w:lang w:val="fr-CH"/>
        </w:rPr>
      </w:r>
      <w:r w:rsidRPr="007D466C">
        <w:rPr>
          <w:lang w:val="fr-CH"/>
        </w:rPr>
        <w:fldChar w:fldCharType="separate"/>
      </w:r>
      <w:r w:rsidR="001971CC">
        <w:rPr>
          <w:lang w:val="fr-CH"/>
        </w:rPr>
        <w:t>P4</w:t>
      </w:r>
      <w:r w:rsidRPr="007D466C">
        <w:rPr>
          <w:lang w:val="fr-CH"/>
        </w:rPr>
        <w:fldChar w:fldCharType="end"/>
      </w:r>
      <w:r w:rsidRPr="007D466C">
        <w:rPr>
          <w:lang w:val="fr-CH"/>
        </w:rPr>
        <w:t xml:space="preserve"> </w:t>
      </w:r>
      <w:r>
        <w:rPr>
          <w:lang w:val="fr-CH"/>
        </w:rPr>
        <w:t>so</w:t>
      </w:r>
      <w:r w:rsidRPr="007D466C">
        <w:rPr>
          <w:lang w:val="fr-CH"/>
        </w:rPr>
        <w:t>n</w:t>
      </w:r>
      <w:r>
        <w:rPr>
          <w:lang w:val="fr-CH"/>
        </w:rPr>
        <w:t>t présentées dans le rapport explicatif</w:t>
      </w:r>
      <w:r w:rsidRPr="007D466C">
        <w:rPr>
          <w:lang w:val="fr-CH"/>
        </w:rPr>
        <w:t>.</w:t>
      </w:r>
    </w:p>
  </w:footnote>
  <w:footnote w:id="18">
    <w:p w14:paraId="7DE92EF0" w14:textId="4C4ACD0D" w:rsidR="0070469A" w:rsidRPr="00114C22" w:rsidRDefault="0070469A" w:rsidP="00DE274F">
      <w:pPr>
        <w:pStyle w:val="KeinLeerraum"/>
        <w:rPr>
          <w:lang w:val="fr-CH"/>
        </w:rPr>
      </w:pPr>
      <w:r w:rsidRPr="00DE274F">
        <w:rPr>
          <w:rStyle w:val="Funotenzeichen"/>
          <w:color w:val="000000" w:themeColor="text1"/>
        </w:rPr>
        <w:footnoteRef/>
      </w:r>
      <w:r w:rsidRPr="00DE274F">
        <w:rPr>
          <w:color w:val="000000" w:themeColor="text1"/>
          <w:lang w:val="fr-CH"/>
        </w:rPr>
        <w:t xml:space="preserve"> </w:t>
      </w:r>
      <w:r w:rsidRPr="00DE274F">
        <w:rPr>
          <w:color w:val="000000" w:themeColor="text1"/>
          <w:lang w:val="fr-CH"/>
        </w:rPr>
        <w:tab/>
        <w:t xml:space="preserve">Selon l’art. 22, al. 2, OAT, les plans sectoriels ont également force obligatoire pour les organisations et les personnes de droit public ou de droit privé qui n’appartiennent pas à l’administration, lorsqu’elles assument des tâches publiques. Par conséquent, le </w:t>
      </w:r>
      <w:r>
        <w:rPr>
          <w:color w:val="000000" w:themeColor="text1"/>
          <w:lang w:val="fr-CH"/>
        </w:rPr>
        <w:t>P</w:t>
      </w:r>
      <w:r w:rsidRPr="00DE274F">
        <w:rPr>
          <w:color w:val="000000" w:themeColor="text1"/>
          <w:lang w:val="fr-CH"/>
        </w:rPr>
        <w:t xml:space="preserve">lan sectoriel des SDA vaut également pour une personne morale de droit privé </w:t>
      </w:r>
      <w:r w:rsidRPr="00DE274F">
        <w:rPr>
          <w:rFonts w:ascii="ArialMT" w:hAnsi="ArialMT"/>
          <w:color w:val="000000" w:themeColor="text1"/>
          <w:lang w:val="fr-CH"/>
        </w:rPr>
        <w:t>qui planifie un projet d’infrastructure, par exemple</w:t>
      </w:r>
      <w:r w:rsidRPr="00DE274F">
        <w:rPr>
          <w:color w:val="000000" w:themeColor="text1"/>
          <w:lang w:val="fr-CH"/>
        </w:rPr>
        <w:t xml:space="preserve"> un</w:t>
      </w:r>
      <w:r w:rsidRPr="00DE274F">
        <w:rPr>
          <w:rFonts w:ascii="ArialMT" w:hAnsi="ArialMT"/>
          <w:color w:val="000000" w:themeColor="text1"/>
          <w:lang w:val="fr-CH"/>
        </w:rPr>
        <w:t xml:space="preserve"> aéroport, les CFF et </w:t>
      </w:r>
      <w:r w:rsidRPr="00DE274F">
        <w:rPr>
          <w:color w:val="000000" w:themeColor="text1"/>
          <w:lang w:val="fr-CH"/>
        </w:rPr>
        <w:t>les fournisseurs d’électricité.</w:t>
      </w:r>
    </w:p>
  </w:footnote>
  <w:footnote w:id="19">
    <w:p w14:paraId="79D82CBC" w14:textId="1E867083" w:rsidR="0070469A" w:rsidRPr="00E821AA" w:rsidRDefault="0070469A" w:rsidP="008B5D85">
      <w:pPr>
        <w:pStyle w:val="KeinLeerraum"/>
        <w:rPr>
          <w:lang w:val="fr-CH"/>
        </w:rPr>
      </w:pPr>
      <w:r w:rsidRPr="003E57E9">
        <w:rPr>
          <w:rStyle w:val="Funotenzeichen"/>
        </w:rPr>
        <w:footnoteRef/>
      </w:r>
      <w:r w:rsidRPr="00E821AA">
        <w:rPr>
          <w:lang w:val="fr-CH"/>
        </w:rPr>
        <w:t xml:space="preserve"> </w:t>
      </w:r>
      <w:r>
        <w:rPr>
          <w:lang w:val="fr-CH"/>
        </w:rPr>
        <w:t>Les critères sont décrits en détail dans le rapport explicatif</w:t>
      </w:r>
      <w:r w:rsidRPr="007D466C">
        <w:rPr>
          <w:lang w:val="fr-CH"/>
        </w:rPr>
        <w:t>.</w:t>
      </w:r>
    </w:p>
  </w:footnote>
  <w:footnote w:id="20">
    <w:p w14:paraId="211FEF54" w14:textId="77777777" w:rsidR="0070469A" w:rsidRPr="00682AAE" w:rsidRDefault="0070469A" w:rsidP="00BE272D">
      <w:pPr>
        <w:pStyle w:val="KeinLeerraum"/>
        <w:rPr>
          <w:lang w:val="fr-CH"/>
        </w:rPr>
      </w:pPr>
      <w:r>
        <w:rPr>
          <w:rStyle w:val="Funotenzeichen"/>
        </w:rPr>
        <w:footnoteRef/>
      </w:r>
      <w:r w:rsidRPr="00E821AA">
        <w:rPr>
          <w:lang w:val="fr-CH"/>
        </w:rPr>
        <w:t xml:space="preserve">  Art. 22</w:t>
      </w:r>
      <w:r>
        <w:rPr>
          <w:lang w:val="fr-CH"/>
        </w:rPr>
        <w:t>,</w:t>
      </w:r>
      <w:r w:rsidRPr="00E821AA">
        <w:rPr>
          <w:lang w:val="fr-CH"/>
        </w:rPr>
        <w:t xml:space="preserve"> al 1</w:t>
      </w:r>
      <w:r>
        <w:rPr>
          <w:lang w:val="fr-CH"/>
        </w:rPr>
        <w:t>,</w:t>
      </w:r>
      <w:r w:rsidRPr="00E821AA">
        <w:rPr>
          <w:lang w:val="fr-CH"/>
        </w:rPr>
        <w:t xml:space="preserve"> OTerm : </w:t>
      </w:r>
      <w:r>
        <w:rPr>
          <w:lang w:val="fr-CH"/>
        </w:rPr>
        <w:t xml:space="preserve">Par cultures pérennes, on entend </w:t>
      </w:r>
      <w:r w:rsidRPr="00682AAE">
        <w:rPr>
          <w:lang w:val="fr-CH"/>
        </w:rPr>
        <w:t xml:space="preserve">: </w:t>
      </w:r>
      <w:r>
        <w:rPr>
          <w:lang w:val="fr-CH"/>
        </w:rPr>
        <w:t xml:space="preserve">les vignes </w:t>
      </w:r>
      <w:r w:rsidRPr="00682AAE">
        <w:rPr>
          <w:lang w:val="fr-CH"/>
        </w:rPr>
        <w:t xml:space="preserve">; </w:t>
      </w:r>
      <w:r>
        <w:rPr>
          <w:lang w:val="fr-CH"/>
        </w:rPr>
        <w:t xml:space="preserve">les cultures fruitières </w:t>
      </w:r>
      <w:r w:rsidRPr="00682AAE">
        <w:rPr>
          <w:lang w:val="fr-CH"/>
        </w:rPr>
        <w:t xml:space="preserve">; </w:t>
      </w:r>
      <w:r>
        <w:rPr>
          <w:lang w:val="fr-CH"/>
        </w:rPr>
        <w:t xml:space="preserve">les cultures de baies pluriannuelles </w:t>
      </w:r>
      <w:r w:rsidRPr="00682AAE">
        <w:rPr>
          <w:lang w:val="fr-CH"/>
        </w:rPr>
        <w:t xml:space="preserve">; </w:t>
      </w:r>
      <w:r>
        <w:rPr>
          <w:lang w:val="fr-CH"/>
        </w:rPr>
        <w:t xml:space="preserve">les plantes aromatiques et médicinales pluriannuelles </w:t>
      </w:r>
      <w:r w:rsidRPr="00682AAE">
        <w:rPr>
          <w:lang w:val="fr-CH"/>
        </w:rPr>
        <w:t xml:space="preserve">; </w:t>
      </w:r>
      <w:r>
        <w:rPr>
          <w:lang w:val="fr-CH"/>
        </w:rPr>
        <w:t xml:space="preserve">le houblon </w:t>
      </w:r>
      <w:r w:rsidRPr="00682AAE">
        <w:rPr>
          <w:lang w:val="fr-CH"/>
        </w:rPr>
        <w:t xml:space="preserve">; </w:t>
      </w:r>
      <w:r>
        <w:rPr>
          <w:lang w:val="fr-CH"/>
        </w:rPr>
        <w:t>les cultures maraîchères pluriannuelles telles que les asperges, la rhubarbe et les champignons de plein champ</w:t>
      </w:r>
      <w:r w:rsidRPr="00682AAE">
        <w:rPr>
          <w:lang w:val="fr-CH"/>
        </w:rPr>
        <w:t xml:space="preserve">; </w:t>
      </w:r>
      <w:r>
        <w:rPr>
          <w:lang w:val="fr-CH"/>
        </w:rPr>
        <w:t xml:space="preserve">les cultures horticoles de plein champ telles que les pépinières horticoles et forestières en dehors des zones boisées </w:t>
      </w:r>
      <w:r w:rsidRPr="00682AAE">
        <w:rPr>
          <w:lang w:val="fr-CH"/>
        </w:rPr>
        <w:t xml:space="preserve">; </w:t>
      </w:r>
      <w:r>
        <w:rPr>
          <w:lang w:val="fr-CH"/>
        </w:rPr>
        <w:t xml:space="preserve">les châtaigneraies et noiseraies entretenues comptant moins de </w:t>
      </w:r>
      <w:r w:rsidRPr="00682AAE">
        <w:rPr>
          <w:lang w:val="fr-CH"/>
        </w:rPr>
        <w:t xml:space="preserve">100 </w:t>
      </w:r>
      <w:r>
        <w:rPr>
          <w:lang w:val="fr-CH"/>
        </w:rPr>
        <w:t xml:space="preserve">arbres par hectare </w:t>
      </w:r>
      <w:r w:rsidRPr="00682AAE">
        <w:rPr>
          <w:lang w:val="fr-CH"/>
        </w:rPr>
        <w:t xml:space="preserve">; </w:t>
      </w:r>
      <w:r>
        <w:rPr>
          <w:lang w:val="fr-CH"/>
        </w:rPr>
        <w:t>les cultures pluriannuelles telles que les sapins de Noël et le roseau de Chine</w:t>
      </w:r>
      <w:r w:rsidRPr="00682AAE">
        <w:rPr>
          <w:lang w:val="fr-CH"/>
        </w:rPr>
        <w:t xml:space="preserve"> (Miscanthus).</w:t>
      </w:r>
    </w:p>
    <w:p w14:paraId="612D21C9" w14:textId="77777777" w:rsidR="0070469A" w:rsidRPr="00E821AA" w:rsidRDefault="0070469A" w:rsidP="00BE272D">
      <w:pPr>
        <w:pStyle w:val="Funotentext"/>
        <w:rPr>
          <w:lang w:val="fr-CH"/>
        </w:rPr>
      </w:pPr>
    </w:p>
  </w:footnote>
  <w:footnote w:id="21">
    <w:p w14:paraId="1B7605AC" w14:textId="77777777" w:rsidR="0070469A" w:rsidRPr="00E821AA" w:rsidRDefault="0070469A" w:rsidP="00BE272D">
      <w:pPr>
        <w:pStyle w:val="KeinLeerraum"/>
        <w:rPr>
          <w:lang w:val="fr-CH"/>
        </w:rPr>
      </w:pPr>
      <w:r>
        <w:rPr>
          <w:rStyle w:val="Funotenzeichen"/>
        </w:rPr>
        <w:footnoteRef/>
      </w:r>
      <w:r w:rsidRPr="00E821AA">
        <w:rPr>
          <w:lang w:val="fr-CH"/>
        </w:rPr>
        <w:t xml:space="preserve"> </w:t>
      </w:r>
      <w:r w:rsidRPr="00E821AA">
        <w:rPr>
          <w:lang w:val="fr-CH"/>
        </w:rPr>
        <w:tab/>
      </w:r>
      <w:r>
        <w:rPr>
          <w:lang w:val="fr-CH"/>
        </w:rPr>
        <w:t>Office fédéral de l’agriculture OFAG</w:t>
      </w:r>
      <w:r w:rsidRPr="008B538A">
        <w:rPr>
          <w:lang w:val="fr-CH"/>
        </w:rPr>
        <w:t xml:space="preserve"> (2017)</w:t>
      </w:r>
      <w:r>
        <w:rPr>
          <w:lang w:val="fr-CH"/>
        </w:rPr>
        <w:t xml:space="preserve"> </w:t>
      </w:r>
      <w:r w:rsidRPr="008B538A">
        <w:rPr>
          <w:lang w:val="fr-CH"/>
        </w:rPr>
        <w:t xml:space="preserve">: </w:t>
      </w:r>
      <w:r>
        <w:rPr>
          <w:lang w:val="fr-CH"/>
        </w:rPr>
        <w:t>Rappor</w:t>
      </w:r>
      <w:r w:rsidRPr="008B538A">
        <w:rPr>
          <w:lang w:val="fr-CH"/>
        </w:rPr>
        <w:t xml:space="preserve">t </w:t>
      </w:r>
      <w:r>
        <w:rPr>
          <w:lang w:val="fr-CH"/>
        </w:rPr>
        <w:t xml:space="preserve">agricole </w:t>
      </w:r>
      <w:r w:rsidRPr="008B538A">
        <w:rPr>
          <w:lang w:val="fr-CH"/>
        </w:rPr>
        <w:t xml:space="preserve">2017. </w:t>
      </w:r>
      <w:hyperlink r:id="rId2" w:history="1">
        <w:r w:rsidRPr="009E3411">
          <w:rPr>
            <w:rStyle w:val="Hyperlink"/>
            <w:lang w:val="fr-CH"/>
          </w:rPr>
          <w:t>https://agrarbericht.ch/fr/exploitation/structures/surface-agricole-utile</w:t>
        </w:r>
      </w:hyperlink>
      <w:r w:rsidRPr="008B538A">
        <w:rPr>
          <w:lang w:val="fr-CH"/>
        </w:rPr>
        <w:t xml:space="preserve">, </w:t>
      </w:r>
      <w:r>
        <w:rPr>
          <w:lang w:val="fr-CH"/>
        </w:rPr>
        <w:t>consulté le</w:t>
      </w:r>
      <w:r w:rsidRPr="008B538A">
        <w:rPr>
          <w:lang w:val="fr-CH"/>
        </w:rPr>
        <w:t xml:space="preserve"> 15.11.2017</w:t>
      </w:r>
      <w:r w:rsidRPr="00E821AA">
        <w:rPr>
          <w:lang w:val="fr-CH"/>
        </w:rPr>
        <w:t>.</w:t>
      </w:r>
    </w:p>
  </w:footnote>
  <w:footnote w:id="22">
    <w:p w14:paraId="19C44F4F" w14:textId="77777777" w:rsidR="0070469A" w:rsidRPr="00E821AA" w:rsidRDefault="0070469A" w:rsidP="00BE272D">
      <w:pPr>
        <w:pStyle w:val="KeinLeerraum"/>
        <w:rPr>
          <w:lang w:val="fr-CH"/>
        </w:rPr>
      </w:pPr>
      <w:r>
        <w:rPr>
          <w:rStyle w:val="Funotenzeichen"/>
        </w:rPr>
        <w:footnoteRef/>
      </w:r>
      <w:r w:rsidRPr="00E821AA">
        <w:rPr>
          <w:lang w:val="fr-CH"/>
        </w:rPr>
        <w:t xml:space="preserve"> </w:t>
      </w:r>
      <w:r w:rsidRPr="00E821AA">
        <w:rPr>
          <w:lang w:val="fr-CH"/>
        </w:rPr>
        <w:tab/>
      </w:r>
      <w:r>
        <w:rPr>
          <w:lang w:val="fr-CH"/>
        </w:rPr>
        <w:t>Office fédéral de la statistique O</w:t>
      </w:r>
      <w:r w:rsidRPr="008B538A">
        <w:rPr>
          <w:lang w:val="fr-CH"/>
        </w:rPr>
        <w:t>FS</w:t>
      </w:r>
      <w:r>
        <w:rPr>
          <w:lang w:val="fr-CH"/>
        </w:rPr>
        <w:t xml:space="preserve"> </w:t>
      </w:r>
      <w:r w:rsidRPr="008B538A">
        <w:rPr>
          <w:lang w:val="fr-CH"/>
        </w:rPr>
        <w:t xml:space="preserve">: </w:t>
      </w:r>
      <w:r>
        <w:rPr>
          <w:lang w:val="fr-CH"/>
        </w:rPr>
        <w:t xml:space="preserve">Statistique de la superficie </w:t>
      </w:r>
      <w:r w:rsidRPr="008B538A">
        <w:rPr>
          <w:lang w:val="fr-CH"/>
        </w:rPr>
        <w:t>(</w:t>
      </w:r>
      <w:r>
        <w:rPr>
          <w:lang w:val="fr-CH"/>
        </w:rPr>
        <w:t>état</w:t>
      </w:r>
      <w:r w:rsidRPr="008B538A">
        <w:rPr>
          <w:lang w:val="fr-CH"/>
        </w:rPr>
        <w:t xml:space="preserve"> 2004/09). (</w:t>
      </w:r>
      <w:r>
        <w:rPr>
          <w:lang w:val="fr-CH"/>
        </w:rPr>
        <w:t>Les terres cultivables sont désignées comme des surfaces agricoles dans la statistique de la superficie</w:t>
      </w:r>
      <w:r w:rsidRPr="008B538A">
        <w:rPr>
          <w:lang w:val="fr-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FCC7CA"/>
    <w:lvl w:ilvl="0">
      <w:start w:val="1"/>
      <w:numFmt w:val="decimal"/>
      <w:pStyle w:val="Listennummer3"/>
      <w:lvlText w:val="%1."/>
      <w:lvlJc w:val="left"/>
      <w:pPr>
        <w:tabs>
          <w:tab w:val="num" w:pos="926"/>
        </w:tabs>
        <w:ind w:left="926" w:hanging="360"/>
      </w:pPr>
    </w:lvl>
  </w:abstractNum>
  <w:abstractNum w:abstractNumId="1" w15:restartNumberingAfterBreak="0">
    <w:nsid w:val="FFFFFF89"/>
    <w:multiLevelType w:val="singleLevel"/>
    <w:tmpl w:val="03DC845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1A6D1B"/>
    <w:multiLevelType w:val="hybridMultilevel"/>
    <w:tmpl w:val="EC3684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3A62EAD"/>
    <w:multiLevelType w:val="hybridMultilevel"/>
    <w:tmpl w:val="BF4676B8"/>
    <w:lvl w:ilvl="0" w:tplc="E2962606">
      <w:start w:val="1"/>
      <w:numFmt w:val="bullet"/>
      <w:lvlText w:val="•"/>
      <w:lvlJc w:val="left"/>
      <w:pPr>
        <w:tabs>
          <w:tab w:val="num" w:pos="720"/>
        </w:tabs>
        <w:ind w:left="720" w:hanging="360"/>
      </w:pPr>
      <w:rPr>
        <w:rFonts w:ascii="Times New Roman" w:hAnsi="Times New Roman" w:hint="default"/>
      </w:rPr>
    </w:lvl>
    <w:lvl w:ilvl="1" w:tplc="2840A3B0" w:tentative="1">
      <w:start w:val="1"/>
      <w:numFmt w:val="bullet"/>
      <w:lvlText w:val="•"/>
      <w:lvlJc w:val="left"/>
      <w:pPr>
        <w:tabs>
          <w:tab w:val="num" w:pos="1440"/>
        </w:tabs>
        <w:ind w:left="1440" w:hanging="360"/>
      </w:pPr>
      <w:rPr>
        <w:rFonts w:ascii="Times New Roman" w:hAnsi="Times New Roman" w:hint="default"/>
      </w:rPr>
    </w:lvl>
    <w:lvl w:ilvl="2" w:tplc="2D60198A" w:tentative="1">
      <w:start w:val="1"/>
      <w:numFmt w:val="bullet"/>
      <w:lvlText w:val="•"/>
      <w:lvlJc w:val="left"/>
      <w:pPr>
        <w:tabs>
          <w:tab w:val="num" w:pos="2160"/>
        </w:tabs>
        <w:ind w:left="2160" w:hanging="360"/>
      </w:pPr>
      <w:rPr>
        <w:rFonts w:ascii="Times New Roman" w:hAnsi="Times New Roman" w:hint="default"/>
      </w:rPr>
    </w:lvl>
    <w:lvl w:ilvl="3" w:tplc="0A78DFF4" w:tentative="1">
      <w:start w:val="1"/>
      <w:numFmt w:val="bullet"/>
      <w:lvlText w:val="•"/>
      <w:lvlJc w:val="left"/>
      <w:pPr>
        <w:tabs>
          <w:tab w:val="num" w:pos="2880"/>
        </w:tabs>
        <w:ind w:left="2880" w:hanging="360"/>
      </w:pPr>
      <w:rPr>
        <w:rFonts w:ascii="Times New Roman" w:hAnsi="Times New Roman" w:hint="default"/>
      </w:rPr>
    </w:lvl>
    <w:lvl w:ilvl="4" w:tplc="2CD07E14" w:tentative="1">
      <w:start w:val="1"/>
      <w:numFmt w:val="bullet"/>
      <w:lvlText w:val="•"/>
      <w:lvlJc w:val="left"/>
      <w:pPr>
        <w:tabs>
          <w:tab w:val="num" w:pos="3600"/>
        </w:tabs>
        <w:ind w:left="3600" w:hanging="360"/>
      </w:pPr>
      <w:rPr>
        <w:rFonts w:ascii="Times New Roman" w:hAnsi="Times New Roman" w:hint="default"/>
      </w:rPr>
    </w:lvl>
    <w:lvl w:ilvl="5" w:tplc="37C4D17A" w:tentative="1">
      <w:start w:val="1"/>
      <w:numFmt w:val="bullet"/>
      <w:lvlText w:val="•"/>
      <w:lvlJc w:val="left"/>
      <w:pPr>
        <w:tabs>
          <w:tab w:val="num" w:pos="4320"/>
        </w:tabs>
        <w:ind w:left="4320" w:hanging="360"/>
      </w:pPr>
      <w:rPr>
        <w:rFonts w:ascii="Times New Roman" w:hAnsi="Times New Roman" w:hint="default"/>
      </w:rPr>
    </w:lvl>
    <w:lvl w:ilvl="6" w:tplc="ACC6C8A4" w:tentative="1">
      <w:start w:val="1"/>
      <w:numFmt w:val="bullet"/>
      <w:lvlText w:val="•"/>
      <w:lvlJc w:val="left"/>
      <w:pPr>
        <w:tabs>
          <w:tab w:val="num" w:pos="5040"/>
        </w:tabs>
        <w:ind w:left="5040" w:hanging="360"/>
      </w:pPr>
      <w:rPr>
        <w:rFonts w:ascii="Times New Roman" w:hAnsi="Times New Roman" w:hint="default"/>
      </w:rPr>
    </w:lvl>
    <w:lvl w:ilvl="7" w:tplc="DC36AF6A" w:tentative="1">
      <w:start w:val="1"/>
      <w:numFmt w:val="bullet"/>
      <w:lvlText w:val="•"/>
      <w:lvlJc w:val="left"/>
      <w:pPr>
        <w:tabs>
          <w:tab w:val="num" w:pos="5760"/>
        </w:tabs>
        <w:ind w:left="5760" w:hanging="360"/>
      </w:pPr>
      <w:rPr>
        <w:rFonts w:ascii="Times New Roman" w:hAnsi="Times New Roman" w:hint="default"/>
      </w:rPr>
    </w:lvl>
    <w:lvl w:ilvl="8" w:tplc="053890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15393A"/>
    <w:multiLevelType w:val="hybridMultilevel"/>
    <w:tmpl w:val="47BA0E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F1269E7"/>
    <w:multiLevelType w:val="hybridMultilevel"/>
    <w:tmpl w:val="41E8E9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E30155"/>
    <w:multiLevelType w:val="hybridMultilevel"/>
    <w:tmpl w:val="2174AB8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15807DF"/>
    <w:multiLevelType w:val="hybridMultilevel"/>
    <w:tmpl w:val="5EC4DABA"/>
    <w:lvl w:ilvl="0" w:tplc="C2D26C9E">
      <w:start w:val="1"/>
      <w:numFmt w:val="bullet"/>
      <w:lvlText w:val="•"/>
      <w:lvlJc w:val="left"/>
      <w:pPr>
        <w:tabs>
          <w:tab w:val="num" w:pos="720"/>
        </w:tabs>
        <w:ind w:left="720" w:hanging="360"/>
      </w:pPr>
      <w:rPr>
        <w:rFonts w:ascii="Times New Roman" w:hAnsi="Times New Roman" w:hint="default"/>
      </w:rPr>
    </w:lvl>
    <w:lvl w:ilvl="1" w:tplc="5FE65AA0">
      <w:start w:val="1"/>
      <w:numFmt w:val="bullet"/>
      <w:lvlText w:val="•"/>
      <w:lvlJc w:val="left"/>
      <w:pPr>
        <w:tabs>
          <w:tab w:val="num" w:pos="1440"/>
        </w:tabs>
        <w:ind w:left="1440" w:hanging="360"/>
      </w:pPr>
      <w:rPr>
        <w:rFonts w:ascii="Times New Roman" w:hAnsi="Times New Roman" w:hint="default"/>
      </w:rPr>
    </w:lvl>
    <w:lvl w:ilvl="2" w:tplc="0204914A" w:tentative="1">
      <w:start w:val="1"/>
      <w:numFmt w:val="bullet"/>
      <w:lvlText w:val="•"/>
      <w:lvlJc w:val="left"/>
      <w:pPr>
        <w:tabs>
          <w:tab w:val="num" w:pos="2160"/>
        </w:tabs>
        <w:ind w:left="2160" w:hanging="360"/>
      </w:pPr>
      <w:rPr>
        <w:rFonts w:ascii="Times New Roman" w:hAnsi="Times New Roman" w:hint="default"/>
      </w:rPr>
    </w:lvl>
    <w:lvl w:ilvl="3" w:tplc="5906AA02" w:tentative="1">
      <w:start w:val="1"/>
      <w:numFmt w:val="bullet"/>
      <w:lvlText w:val="•"/>
      <w:lvlJc w:val="left"/>
      <w:pPr>
        <w:tabs>
          <w:tab w:val="num" w:pos="2880"/>
        </w:tabs>
        <w:ind w:left="2880" w:hanging="360"/>
      </w:pPr>
      <w:rPr>
        <w:rFonts w:ascii="Times New Roman" w:hAnsi="Times New Roman" w:hint="default"/>
      </w:rPr>
    </w:lvl>
    <w:lvl w:ilvl="4" w:tplc="A684C5E6" w:tentative="1">
      <w:start w:val="1"/>
      <w:numFmt w:val="bullet"/>
      <w:lvlText w:val="•"/>
      <w:lvlJc w:val="left"/>
      <w:pPr>
        <w:tabs>
          <w:tab w:val="num" w:pos="3600"/>
        </w:tabs>
        <w:ind w:left="3600" w:hanging="360"/>
      </w:pPr>
      <w:rPr>
        <w:rFonts w:ascii="Times New Roman" w:hAnsi="Times New Roman" w:hint="default"/>
      </w:rPr>
    </w:lvl>
    <w:lvl w:ilvl="5" w:tplc="7A383B14" w:tentative="1">
      <w:start w:val="1"/>
      <w:numFmt w:val="bullet"/>
      <w:lvlText w:val="•"/>
      <w:lvlJc w:val="left"/>
      <w:pPr>
        <w:tabs>
          <w:tab w:val="num" w:pos="4320"/>
        </w:tabs>
        <w:ind w:left="4320" w:hanging="360"/>
      </w:pPr>
      <w:rPr>
        <w:rFonts w:ascii="Times New Roman" w:hAnsi="Times New Roman" w:hint="default"/>
      </w:rPr>
    </w:lvl>
    <w:lvl w:ilvl="6" w:tplc="BFA6C4AE" w:tentative="1">
      <w:start w:val="1"/>
      <w:numFmt w:val="bullet"/>
      <w:lvlText w:val="•"/>
      <w:lvlJc w:val="left"/>
      <w:pPr>
        <w:tabs>
          <w:tab w:val="num" w:pos="5040"/>
        </w:tabs>
        <w:ind w:left="5040" w:hanging="360"/>
      </w:pPr>
      <w:rPr>
        <w:rFonts w:ascii="Times New Roman" w:hAnsi="Times New Roman" w:hint="default"/>
      </w:rPr>
    </w:lvl>
    <w:lvl w:ilvl="7" w:tplc="C98EC0A8" w:tentative="1">
      <w:start w:val="1"/>
      <w:numFmt w:val="bullet"/>
      <w:lvlText w:val="•"/>
      <w:lvlJc w:val="left"/>
      <w:pPr>
        <w:tabs>
          <w:tab w:val="num" w:pos="5760"/>
        </w:tabs>
        <w:ind w:left="5760" w:hanging="360"/>
      </w:pPr>
      <w:rPr>
        <w:rFonts w:ascii="Times New Roman" w:hAnsi="Times New Roman" w:hint="default"/>
      </w:rPr>
    </w:lvl>
    <w:lvl w:ilvl="8" w:tplc="81889C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D65AFD"/>
    <w:multiLevelType w:val="multilevel"/>
    <w:tmpl w:val="67C6A2C6"/>
    <w:lvl w:ilvl="0">
      <w:start w:val="1"/>
      <w:numFmt w:val="lowerLetter"/>
      <w:pStyle w:val="ListeAlphabet"/>
      <w:lvlText w:val="%1)"/>
      <w:lvlJc w:val="left"/>
      <w:pPr>
        <w:tabs>
          <w:tab w:val="num" w:pos="851"/>
        </w:tabs>
        <w:ind w:left="851" w:hanging="851"/>
      </w:pPr>
      <w:rPr>
        <w:rFonts w:ascii="Arial" w:hAnsi="Arial" w:hint="default"/>
        <w:b w:val="0"/>
        <w:i w:val="0"/>
        <w:color w:val="000000"/>
        <w:sz w:val="20"/>
        <w:u w:color="000000"/>
      </w:rPr>
    </w:lvl>
    <w:lvl w:ilvl="1">
      <w:start w:val="1"/>
      <w:numFmt w:val="lowerLetter"/>
      <w:lvlText w:val="%2)"/>
      <w:lvlJc w:val="left"/>
      <w:pPr>
        <w:tabs>
          <w:tab w:val="num" w:pos="720"/>
        </w:tabs>
        <w:ind w:left="720" w:hanging="360"/>
      </w:pPr>
      <w:rPr>
        <w:rFonts w:hint="default"/>
        <w:b w:val="0"/>
        <w:i w:val="0"/>
        <w:color w:val="000000"/>
        <w:sz w:val="20"/>
        <w:u w:color="000000"/>
      </w:rPr>
    </w:lvl>
    <w:lvl w:ilvl="2">
      <w:start w:val="1"/>
      <w:numFmt w:val="lowerRoman"/>
      <w:lvlText w:val="%3)"/>
      <w:lvlJc w:val="left"/>
      <w:pPr>
        <w:tabs>
          <w:tab w:val="num" w:pos="1080"/>
        </w:tabs>
        <w:ind w:left="1080" w:hanging="360"/>
      </w:pPr>
      <w:rPr>
        <w:rFonts w:hint="default"/>
        <w:b w:val="0"/>
        <w:i w:val="0"/>
        <w:color w:val="000000"/>
        <w:sz w:val="20"/>
        <w:u w:color="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FD30AB"/>
    <w:multiLevelType w:val="hybridMultilevel"/>
    <w:tmpl w:val="A8F06932"/>
    <w:lvl w:ilvl="0" w:tplc="3710C616">
      <w:start w:val="1"/>
      <w:numFmt w:val="bullet"/>
      <w:lvlText w:val="•"/>
      <w:lvlJc w:val="left"/>
      <w:pPr>
        <w:tabs>
          <w:tab w:val="num" w:pos="720"/>
        </w:tabs>
        <w:ind w:left="720" w:hanging="360"/>
      </w:pPr>
      <w:rPr>
        <w:rFonts w:ascii="Arial" w:hAnsi="Arial" w:hint="default"/>
      </w:rPr>
    </w:lvl>
    <w:lvl w:ilvl="1" w:tplc="BCF24860">
      <w:start w:val="114"/>
      <w:numFmt w:val="bullet"/>
      <w:lvlText w:val=""/>
      <w:lvlJc w:val="left"/>
      <w:pPr>
        <w:tabs>
          <w:tab w:val="num" w:pos="1440"/>
        </w:tabs>
        <w:ind w:left="1440" w:hanging="360"/>
      </w:pPr>
      <w:rPr>
        <w:rFonts w:ascii="Symbol" w:hAnsi="Symbol" w:hint="default"/>
      </w:rPr>
    </w:lvl>
    <w:lvl w:ilvl="2" w:tplc="EC44AD5C" w:tentative="1">
      <w:start w:val="1"/>
      <w:numFmt w:val="bullet"/>
      <w:lvlText w:val="•"/>
      <w:lvlJc w:val="left"/>
      <w:pPr>
        <w:tabs>
          <w:tab w:val="num" w:pos="2160"/>
        </w:tabs>
        <w:ind w:left="2160" w:hanging="360"/>
      </w:pPr>
      <w:rPr>
        <w:rFonts w:ascii="Arial" w:hAnsi="Arial" w:hint="default"/>
      </w:rPr>
    </w:lvl>
    <w:lvl w:ilvl="3" w:tplc="25B26504" w:tentative="1">
      <w:start w:val="1"/>
      <w:numFmt w:val="bullet"/>
      <w:lvlText w:val="•"/>
      <w:lvlJc w:val="left"/>
      <w:pPr>
        <w:tabs>
          <w:tab w:val="num" w:pos="2880"/>
        </w:tabs>
        <w:ind w:left="2880" w:hanging="360"/>
      </w:pPr>
      <w:rPr>
        <w:rFonts w:ascii="Arial" w:hAnsi="Arial" w:hint="default"/>
      </w:rPr>
    </w:lvl>
    <w:lvl w:ilvl="4" w:tplc="C13A406A" w:tentative="1">
      <w:start w:val="1"/>
      <w:numFmt w:val="bullet"/>
      <w:lvlText w:val="•"/>
      <w:lvlJc w:val="left"/>
      <w:pPr>
        <w:tabs>
          <w:tab w:val="num" w:pos="3600"/>
        </w:tabs>
        <w:ind w:left="3600" w:hanging="360"/>
      </w:pPr>
      <w:rPr>
        <w:rFonts w:ascii="Arial" w:hAnsi="Arial" w:hint="default"/>
      </w:rPr>
    </w:lvl>
    <w:lvl w:ilvl="5" w:tplc="B6148BC6" w:tentative="1">
      <w:start w:val="1"/>
      <w:numFmt w:val="bullet"/>
      <w:lvlText w:val="•"/>
      <w:lvlJc w:val="left"/>
      <w:pPr>
        <w:tabs>
          <w:tab w:val="num" w:pos="4320"/>
        </w:tabs>
        <w:ind w:left="4320" w:hanging="360"/>
      </w:pPr>
      <w:rPr>
        <w:rFonts w:ascii="Arial" w:hAnsi="Arial" w:hint="default"/>
      </w:rPr>
    </w:lvl>
    <w:lvl w:ilvl="6" w:tplc="B080B590" w:tentative="1">
      <w:start w:val="1"/>
      <w:numFmt w:val="bullet"/>
      <w:lvlText w:val="•"/>
      <w:lvlJc w:val="left"/>
      <w:pPr>
        <w:tabs>
          <w:tab w:val="num" w:pos="5040"/>
        </w:tabs>
        <w:ind w:left="5040" w:hanging="360"/>
      </w:pPr>
      <w:rPr>
        <w:rFonts w:ascii="Arial" w:hAnsi="Arial" w:hint="default"/>
      </w:rPr>
    </w:lvl>
    <w:lvl w:ilvl="7" w:tplc="CD2CC804" w:tentative="1">
      <w:start w:val="1"/>
      <w:numFmt w:val="bullet"/>
      <w:lvlText w:val="•"/>
      <w:lvlJc w:val="left"/>
      <w:pPr>
        <w:tabs>
          <w:tab w:val="num" w:pos="5760"/>
        </w:tabs>
        <w:ind w:left="5760" w:hanging="360"/>
      </w:pPr>
      <w:rPr>
        <w:rFonts w:ascii="Arial" w:hAnsi="Arial" w:hint="default"/>
      </w:rPr>
    </w:lvl>
    <w:lvl w:ilvl="8" w:tplc="C50618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C0FE5"/>
    <w:multiLevelType w:val="hybridMultilevel"/>
    <w:tmpl w:val="F166643C"/>
    <w:lvl w:ilvl="0" w:tplc="0807000B">
      <w:start w:val="2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9697E"/>
    <w:multiLevelType w:val="hybridMultilevel"/>
    <w:tmpl w:val="9BD23850"/>
    <w:lvl w:ilvl="0" w:tplc="7BC4A9A8">
      <w:start w:val="1"/>
      <w:numFmt w:val="decimal"/>
      <w:lvlText w:val="I%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FB774FC"/>
    <w:multiLevelType w:val="multilevel"/>
    <w:tmpl w:val="AA08941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135"/>
        </w:tabs>
        <w:ind w:left="1135" w:hanging="709"/>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21B0109A"/>
    <w:multiLevelType w:val="hybridMultilevel"/>
    <w:tmpl w:val="9B72DF00"/>
    <w:lvl w:ilvl="0" w:tplc="7BC4A9A8">
      <w:start w:val="1"/>
      <w:numFmt w:val="decimal"/>
      <w:lvlText w:val="I%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2AD84C42"/>
    <w:multiLevelType w:val="hybridMultilevel"/>
    <w:tmpl w:val="B0040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3B313DF"/>
    <w:multiLevelType w:val="hybridMultilevel"/>
    <w:tmpl w:val="720E14AE"/>
    <w:lvl w:ilvl="0" w:tplc="0807000B">
      <w:start w:val="2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7C3811"/>
    <w:multiLevelType w:val="hybridMultilevel"/>
    <w:tmpl w:val="63F04D58"/>
    <w:lvl w:ilvl="0" w:tplc="57ACD4C6">
      <w:start w:val="1"/>
      <w:numFmt w:val="decimal"/>
      <w:lvlText w:val="G%1"/>
      <w:lvlJc w:val="left"/>
      <w:pPr>
        <w:ind w:left="36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6E05DAF"/>
    <w:multiLevelType w:val="hybridMultilevel"/>
    <w:tmpl w:val="A6C4294A"/>
    <w:lvl w:ilvl="0" w:tplc="76540950">
      <w:start w:val="1"/>
      <w:numFmt w:val="bullet"/>
      <w:lvlText w:val="-"/>
      <w:lvlJc w:val="left"/>
      <w:pPr>
        <w:tabs>
          <w:tab w:val="num" w:pos="720"/>
        </w:tabs>
        <w:ind w:left="720" w:hanging="360"/>
      </w:pPr>
      <w:rPr>
        <w:rFonts w:ascii="Times New Roman" w:hAnsi="Times New Roman" w:hint="default"/>
      </w:rPr>
    </w:lvl>
    <w:lvl w:ilvl="1" w:tplc="897834C8" w:tentative="1">
      <w:start w:val="1"/>
      <w:numFmt w:val="bullet"/>
      <w:lvlText w:val="-"/>
      <w:lvlJc w:val="left"/>
      <w:pPr>
        <w:tabs>
          <w:tab w:val="num" w:pos="1440"/>
        </w:tabs>
        <w:ind w:left="1440" w:hanging="360"/>
      </w:pPr>
      <w:rPr>
        <w:rFonts w:ascii="Times New Roman" w:hAnsi="Times New Roman" w:hint="default"/>
      </w:rPr>
    </w:lvl>
    <w:lvl w:ilvl="2" w:tplc="4396602C" w:tentative="1">
      <w:start w:val="1"/>
      <w:numFmt w:val="bullet"/>
      <w:lvlText w:val="-"/>
      <w:lvlJc w:val="left"/>
      <w:pPr>
        <w:tabs>
          <w:tab w:val="num" w:pos="2160"/>
        </w:tabs>
        <w:ind w:left="2160" w:hanging="360"/>
      </w:pPr>
      <w:rPr>
        <w:rFonts w:ascii="Times New Roman" w:hAnsi="Times New Roman" w:hint="default"/>
      </w:rPr>
    </w:lvl>
    <w:lvl w:ilvl="3" w:tplc="CCBAA1F4" w:tentative="1">
      <w:start w:val="1"/>
      <w:numFmt w:val="bullet"/>
      <w:lvlText w:val="-"/>
      <w:lvlJc w:val="left"/>
      <w:pPr>
        <w:tabs>
          <w:tab w:val="num" w:pos="2880"/>
        </w:tabs>
        <w:ind w:left="2880" w:hanging="360"/>
      </w:pPr>
      <w:rPr>
        <w:rFonts w:ascii="Times New Roman" w:hAnsi="Times New Roman" w:hint="default"/>
      </w:rPr>
    </w:lvl>
    <w:lvl w:ilvl="4" w:tplc="7C008C54" w:tentative="1">
      <w:start w:val="1"/>
      <w:numFmt w:val="bullet"/>
      <w:lvlText w:val="-"/>
      <w:lvlJc w:val="left"/>
      <w:pPr>
        <w:tabs>
          <w:tab w:val="num" w:pos="3600"/>
        </w:tabs>
        <w:ind w:left="3600" w:hanging="360"/>
      </w:pPr>
      <w:rPr>
        <w:rFonts w:ascii="Times New Roman" w:hAnsi="Times New Roman" w:hint="default"/>
      </w:rPr>
    </w:lvl>
    <w:lvl w:ilvl="5" w:tplc="E60CD760" w:tentative="1">
      <w:start w:val="1"/>
      <w:numFmt w:val="bullet"/>
      <w:lvlText w:val="-"/>
      <w:lvlJc w:val="left"/>
      <w:pPr>
        <w:tabs>
          <w:tab w:val="num" w:pos="4320"/>
        </w:tabs>
        <w:ind w:left="4320" w:hanging="360"/>
      </w:pPr>
      <w:rPr>
        <w:rFonts w:ascii="Times New Roman" w:hAnsi="Times New Roman" w:hint="default"/>
      </w:rPr>
    </w:lvl>
    <w:lvl w:ilvl="6" w:tplc="01F42D52" w:tentative="1">
      <w:start w:val="1"/>
      <w:numFmt w:val="bullet"/>
      <w:lvlText w:val="-"/>
      <w:lvlJc w:val="left"/>
      <w:pPr>
        <w:tabs>
          <w:tab w:val="num" w:pos="5040"/>
        </w:tabs>
        <w:ind w:left="5040" w:hanging="360"/>
      </w:pPr>
      <w:rPr>
        <w:rFonts w:ascii="Times New Roman" w:hAnsi="Times New Roman" w:hint="default"/>
      </w:rPr>
    </w:lvl>
    <w:lvl w:ilvl="7" w:tplc="EB2CAA3A" w:tentative="1">
      <w:start w:val="1"/>
      <w:numFmt w:val="bullet"/>
      <w:lvlText w:val="-"/>
      <w:lvlJc w:val="left"/>
      <w:pPr>
        <w:tabs>
          <w:tab w:val="num" w:pos="5760"/>
        </w:tabs>
        <w:ind w:left="5760" w:hanging="360"/>
      </w:pPr>
      <w:rPr>
        <w:rFonts w:ascii="Times New Roman" w:hAnsi="Times New Roman" w:hint="default"/>
      </w:rPr>
    </w:lvl>
    <w:lvl w:ilvl="8" w:tplc="00865B7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9" w15:restartNumberingAfterBreak="0">
    <w:nsid w:val="3D6F12C4"/>
    <w:multiLevelType w:val="hybridMultilevel"/>
    <w:tmpl w:val="58F4DF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FDB6D14"/>
    <w:multiLevelType w:val="hybridMultilevel"/>
    <w:tmpl w:val="634A8656"/>
    <w:lvl w:ilvl="0" w:tplc="0918276C">
      <w:start w:val="1"/>
      <w:numFmt w:val="decimal"/>
      <w:lvlText w:val="P%1"/>
      <w:lvlJc w:val="left"/>
      <w:pPr>
        <w:ind w:left="360" w:hanging="360"/>
      </w:pPr>
      <w:rPr>
        <w:rFonts w:ascii="Arial" w:hAnsi="Arial" w:hint="default"/>
        <w:b/>
        <w:i/>
        <w:caps w:val="0"/>
        <w:strike w:val="0"/>
        <w:dstrike w:val="0"/>
        <w:vanish w:val="0"/>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15643FF"/>
    <w:multiLevelType w:val="hybridMultilevel"/>
    <w:tmpl w:val="1D1076A4"/>
    <w:lvl w:ilvl="0" w:tplc="207CA4B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B361FAC"/>
    <w:multiLevelType w:val="hybridMultilevel"/>
    <w:tmpl w:val="A878804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3" w15:restartNumberingAfterBreak="0">
    <w:nsid w:val="4FED0F1D"/>
    <w:multiLevelType w:val="hybridMultilevel"/>
    <w:tmpl w:val="EC88B0BC"/>
    <w:lvl w:ilvl="0" w:tplc="E6F86B18">
      <w:start w:val="1"/>
      <w:numFmt w:val="bullet"/>
      <w:pStyle w:val="ListePunkt"/>
      <w:lvlText w:val=""/>
      <w:lvlJc w:val="left"/>
      <w:pPr>
        <w:tabs>
          <w:tab w:val="num" w:pos="785"/>
        </w:tabs>
        <w:ind w:left="785" w:hanging="360"/>
      </w:pPr>
      <w:rPr>
        <w:rFonts w:ascii="Wingdings" w:hAnsi="Wingdings"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E302B"/>
    <w:multiLevelType w:val="hybridMultilevel"/>
    <w:tmpl w:val="19508E06"/>
    <w:lvl w:ilvl="0" w:tplc="E3A49914">
      <w:start w:val="1"/>
      <w:numFmt w:val="bullet"/>
      <w:lvlText w:val="•"/>
      <w:lvlJc w:val="left"/>
      <w:pPr>
        <w:tabs>
          <w:tab w:val="num" w:pos="720"/>
        </w:tabs>
        <w:ind w:left="720" w:hanging="360"/>
      </w:pPr>
      <w:rPr>
        <w:rFonts w:ascii="Times New Roman" w:hAnsi="Times New Roman" w:hint="default"/>
      </w:rPr>
    </w:lvl>
    <w:lvl w:ilvl="1" w:tplc="103E82D0">
      <w:start w:val="114"/>
      <w:numFmt w:val="bullet"/>
      <w:lvlText w:val=""/>
      <w:lvlJc w:val="left"/>
      <w:pPr>
        <w:tabs>
          <w:tab w:val="num" w:pos="1440"/>
        </w:tabs>
        <w:ind w:left="1440" w:hanging="360"/>
      </w:pPr>
      <w:rPr>
        <w:rFonts w:ascii="Symbol" w:hAnsi="Symbol" w:hint="default"/>
      </w:rPr>
    </w:lvl>
    <w:lvl w:ilvl="2" w:tplc="E3223F22" w:tentative="1">
      <w:start w:val="1"/>
      <w:numFmt w:val="bullet"/>
      <w:lvlText w:val="•"/>
      <w:lvlJc w:val="left"/>
      <w:pPr>
        <w:tabs>
          <w:tab w:val="num" w:pos="2160"/>
        </w:tabs>
        <w:ind w:left="2160" w:hanging="360"/>
      </w:pPr>
      <w:rPr>
        <w:rFonts w:ascii="Times New Roman" w:hAnsi="Times New Roman" w:hint="default"/>
      </w:rPr>
    </w:lvl>
    <w:lvl w:ilvl="3" w:tplc="7BE69154" w:tentative="1">
      <w:start w:val="1"/>
      <w:numFmt w:val="bullet"/>
      <w:lvlText w:val="•"/>
      <w:lvlJc w:val="left"/>
      <w:pPr>
        <w:tabs>
          <w:tab w:val="num" w:pos="2880"/>
        </w:tabs>
        <w:ind w:left="2880" w:hanging="360"/>
      </w:pPr>
      <w:rPr>
        <w:rFonts w:ascii="Times New Roman" w:hAnsi="Times New Roman" w:hint="default"/>
      </w:rPr>
    </w:lvl>
    <w:lvl w:ilvl="4" w:tplc="E670E36E" w:tentative="1">
      <w:start w:val="1"/>
      <w:numFmt w:val="bullet"/>
      <w:lvlText w:val="•"/>
      <w:lvlJc w:val="left"/>
      <w:pPr>
        <w:tabs>
          <w:tab w:val="num" w:pos="3600"/>
        </w:tabs>
        <w:ind w:left="3600" w:hanging="360"/>
      </w:pPr>
      <w:rPr>
        <w:rFonts w:ascii="Times New Roman" w:hAnsi="Times New Roman" w:hint="default"/>
      </w:rPr>
    </w:lvl>
    <w:lvl w:ilvl="5" w:tplc="77B2652C" w:tentative="1">
      <w:start w:val="1"/>
      <w:numFmt w:val="bullet"/>
      <w:lvlText w:val="•"/>
      <w:lvlJc w:val="left"/>
      <w:pPr>
        <w:tabs>
          <w:tab w:val="num" w:pos="4320"/>
        </w:tabs>
        <w:ind w:left="4320" w:hanging="360"/>
      </w:pPr>
      <w:rPr>
        <w:rFonts w:ascii="Times New Roman" w:hAnsi="Times New Roman" w:hint="default"/>
      </w:rPr>
    </w:lvl>
    <w:lvl w:ilvl="6" w:tplc="E7B6E6B6" w:tentative="1">
      <w:start w:val="1"/>
      <w:numFmt w:val="bullet"/>
      <w:lvlText w:val="•"/>
      <w:lvlJc w:val="left"/>
      <w:pPr>
        <w:tabs>
          <w:tab w:val="num" w:pos="5040"/>
        </w:tabs>
        <w:ind w:left="5040" w:hanging="360"/>
      </w:pPr>
      <w:rPr>
        <w:rFonts w:ascii="Times New Roman" w:hAnsi="Times New Roman" w:hint="default"/>
      </w:rPr>
    </w:lvl>
    <w:lvl w:ilvl="7" w:tplc="976A26F4" w:tentative="1">
      <w:start w:val="1"/>
      <w:numFmt w:val="bullet"/>
      <w:lvlText w:val="•"/>
      <w:lvlJc w:val="left"/>
      <w:pPr>
        <w:tabs>
          <w:tab w:val="num" w:pos="5760"/>
        </w:tabs>
        <w:ind w:left="5760" w:hanging="360"/>
      </w:pPr>
      <w:rPr>
        <w:rFonts w:ascii="Times New Roman" w:hAnsi="Times New Roman" w:hint="default"/>
      </w:rPr>
    </w:lvl>
    <w:lvl w:ilvl="8" w:tplc="D1B4A2C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F7F670D"/>
    <w:multiLevelType w:val="hybridMultilevel"/>
    <w:tmpl w:val="6C08D64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6"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41EF6"/>
    <w:multiLevelType w:val="hybridMultilevel"/>
    <w:tmpl w:val="E7E27A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5204DBF"/>
    <w:multiLevelType w:val="hybridMultilevel"/>
    <w:tmpl w:val="A4641C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88E5A88"/>
    <w:multiLevelType w:val="hybridMultilevel"/>
    <w:tmpl w:val="C8B0A040"/>
    <w:lvl w:ilvl="0" w:tplc="4A3669A2">
      <w:start w:val="1"/>
      <w:numFmt w:val="decimal"/>
      <w:lvlText w:val="P%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711A33C4"/>
    <w:multiLevelType w:val="hybridMultilevel"/>
    <w:tmpl w:val="37645B42"/>
    <w:lvl w:ilvl="0" w:tplc="7BC4A9A8">
      <w:start w:val="1"/>
      <w:numFmt w:val="decimal"/>
      <w:lvlText w:val="I%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27C5985"/>
    <w:multiLevelType w:val="hybridMultilevel"/>
    <w:tmpl w:val="A22E66EC"/>
    <w:lvl w:ilvl="0" w:tplc="3E604168">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9E058A0"/>
    <w:multiLevelType w:val="hybridMultilevel"/>
    <w:tmpl w:val="1200D1CA"/>
    <w:lvl w:ilvl="0" w:tplc="7ED6701A">
      <w:start w:val="1"/>
      <w:numFmt w:val="decimal"/>
      <w:lvlText w:val="F%1"/>
      <w:lvlJc w:val="left"/>
      <w:pPr>
        <w:ind w:left="36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7E487266"/>
    <w:multiLevelType w:val="hybridMultilevel"/>
    <w:tmpl w:val="553C42F4"/>
    <w:lvl w:ilvl="0" w:tplc="9C14301A">
      <w:start w:val="1"/>
      <w:numFmt w:val="bullet"/>
      <w:pStyle w:val="Punkt"/>
      <w:lvlText w:val=""/>
      <w:lvlJc w:val="left"/>
      <w:pPr>
        <w:tabs>
          <w:tab w:val="num" w:pos="284"/>
        </w:tabs>
        <w:ind w:left="284" w:hanging="284"/>
      </w:pPr>
      <w:rPr>
        <w:rFonts w:ascii="Symbol" w:hAnsi="Symbol" w:hint="default"/>
        <w:b w:val="0"/>
        <w:i w:val="0"/>
        <w:sz w:val="20"/>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0"/>
  </w:num>
  <w:num w:numId="4">
    <w:abstractNumId w:val="8"/>
  </w:num>
  <w:num w:numId="5">
    <w:abstractNumId w:val="33"/>
  </w:num>
  <w:num w:numId="6">
    <w:abstractNumId w:val="23"/>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2"/>
  </w:num>
  <w:num w:numId="11">
    <w:abstractNumId w:val="17"/>
  </w:num>
  <w:num w:numId="12">
    <w:abstractNumId w:val="28"/>
  </w:num>
  <w:num w:numId="13">
    <w:abstractNumId w:val="6"/>
  </w:num>
  <w:num w:numId="14">
    <w:abstractNumId w:val="22"/>
  </w:num>
  <w:num w:numId="15">
    <w:abstractNumId w:val="25"/>
  </w:num>
  <w:num w:numId="16">
    <w:abstractNumId w:val="19"/>
  </w:num>
  <w:num w:numId="17">
    <w:abstractNumId w:val="18"/>
  </w:num>
  <w:num w:numId="18">
    <w:abstractNumId w:val="21"/>
  </w:num>
  <w:num w:numId="19">
    <w:abstractNumId w:val="7"/>
  </w:num>
  <w:num w:numId="20">
    <w:abstractNumId w:val="9"/>
  </w:num>
  <w:num w:numId="21">
    <w:abstractNumId w:val="24"/>
  </w:num>
  <w:num w:numId="22">
    <w:abstractNumId w:val="3"/>
  </w:num>
  <w:num w:numId="23">
    <w:abstractNumId w:val="27"/>
  </w:num>
  <w:num w:numId="24">
    <w:abstractNumId w:val="4"/>
  </w:num>
  <w:num w:numId="25">
    <w:abstractNumId w:val="5"/>
  </w:num>
  <w:num w:numId="26">
    <w:abstractNumId w:val="31"/>
  </w:num>
  <w:num w:numId="27">
    <w:abstractNumId w:val="10"/>
  </w:num>
  <w:num w:numId="28">
    <w:abstractNumId w:val="15"/>
  </w:num>
  <w:num w:numId="29">
    <w:abstractNumId w:val="20"/>
  </w:num>
  <w:num w:numId="30">
    <w:abstractNumId w:val="14"/>
  </w:num>
  <w:num w:numId="31">
    <w:abstractNumId w:val="2"/>
  </w:num>
  <w:num w:numId="32">
    <w:abstractNumId w:val="11"/>
  </w:num>
  <w:num w:numId="33">
    <w:abstractNumId w:val="30"/>
  </w:num>
  <w:num w:numId="34">
    <w:abstractNumId w:val="29"/>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de-AT" w:vendorID="64" w:dllVersion="6" w:nlCheck="1" w:checkStyle="0"/>
  <w:activeWritingStyle w:appName="MSWord" w:lang="en-GB"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D7"/>
    <w:rsid w:val="000001B4"/>
    <w:rsid w:val="000016A8"/>
    <w:rsid w:val="0000179F"/>
    <w:rsid w:val="0000229A"/>
    <w:rsid w:val="00002807"/>
    <w:rsid w:val="000028BB"/>
    <w:rsid w:val="00002DF8"/>
    <w:rsid w:val="000036BA"/>
    <w:rsid w:val="00003A70"/>
    <w:rsid w:val="00004862"/>
    <w:rsid w:val="000048B9"/>
    <w:rsid w:val="000048F0"/>
    <w:rsid w:val="000052B9"/>
    <w:rsid w:val="00005784"/>
    <w:rsid w:val="00005C0E"/>
    <w:rsid w:val="0000614B"/>
    <w:rsid w:val="000065FE"/>
    <w:rsid w:val="0000663E"/>
    <w:rsid w:val="000066B7"/>
    <w:rsid w:val="00006D70"/>
    <w:rsid w:val="00006F94"/>
    <w:rsid w:val="00007049"/>
    <w:rsid w:val="000071CB"/>
    <w:rsid w:val="000072B4"/>
    <w:rsid w:val="00007793"/>
    <w:rsid w:val="00007C7E"/>
    <w:rsid w:val="00007DB0"/>
    <w:rsid w:val="00007EE0"/>
    <w:rsid w:val="00007EF9"/>
    <w:rsid w:val="0001070B"/>
    <w:rsid w:val="00010942"/>
    <w:rsid w:val="000119E3"/>
    <w:rsid w:val="00011B41"/>
    <w:rsid w:val="00011F6A"/>
    <w:rsid w:val="00012211"/>
    <w:rsid w:val="00012292"/>
    <w:rsid w:val="00012BF8"/>
    <w:rsid w:val="00012DD4"/>
    <w:rsid w:val="00014429"/>
    <w:rsid w:val="00014B95"/>
    <w:rsid w:val="00014D09"/>
    <w:rsid w:val="00014F0F"/>
    <w:rsid w:val="00014FF6"/>
    <w:rsid w:val="000163A0"/>
    <w:rsid w:val="0001655A"/>
    <w:rsid w:val="00016B6C"/>
    <w:rsid w:val="00016F82"/>
    <w:rsid w:val="000173AB"/>
    <w:rsid w:val="0001778C"/>
    <w:rsid w:val="00020624"/>
    <w:rsid w:val="00020D88"/>
    <w:rsid w:val="000210B1"/>
    <w:rsid w:val="00021C91"/>
    <w:rsid w:val="00021DC6"/>
    <w:rsid w:val="00022779"/>
    <w:rsid w:val="0002299F"/>
    <w:rsid w:val="00022E2A"/>
    <w:rsid w:val="00022FE3"/>
    <w:rsid w:val="000230E6"/>
    <w:rsid w:val="000232DA"/>
    <w:rsid w:val="00023C79"/>
    <w:rsid w:val="00023CBB"/>
    <w:rsid w:val="000241C4"/>
    <w:rsid w:val="000251E2"/>
    <w:rsid w:val="00025238"/>
    <w:rsid w:val="00026E0E"/>
    <w:rsid w:val="00026E17"/>
    <w:rsid w:val="00026E20"/>
    <w:rsid w:val="00026EF6"/>
    <w:rsid w:val="000300E6"/>
    <w:rsid w:val="00030261"/>
    <w:rsid w:val="00030287"/>
    <w:rsid w:val="000319AE"/>
    <w:rsid w:val="00031A67"/>
    <w:rsid w:val="00031A78"/>
    <w:rsid w:val="00031AFB"/>
    <w:rsid w:val="00032063"/>
    <w:rsid w:val="0003288C"/>
    <w:rsid w:val="00032C96"/>
    <w:rsid w:val="00032D3D"/>
    <w:rsid w:val="00033AB5"/>
    <w:rsid w:val="00034728"/>
    <w:rsid w:val="00034817"/>
    <w:rsid w:val="000349EF"/>
    <w:rsid w:val="00035024"/>
    <w:rsid w:val="00035D75"/>
    <w:rsid w:val="00036154"/>
    <w:rsid w:val="00036237"/>
    <w:rsid w:val="00036635"/>
    <w:rsid w:val="00037139"/>
    <w:rsid w:val="00037BBE"/>
    <w:rsid w:val="00040714"/>
    <w:rsid w:val="00040A46"/>
    <w:rsid w:val="0004150F"/>
    <w:rsid w:val="00041DC3"/>
    <w:rsid w:val="0004205B"/>
    <w:rsid w:val="00042346"/>
    <w:rsid w:val="00043073"/>
    <w:rsid w:val="00043846"/>
    <w:rsid w:val="00043A97"/>
    <w:rsid w:val="000441EB"/>
    <w:rsid w:val="00044221"/>
    <w:rsid w:val="0004503F"/>
    <w:rsid w:val="0004527B"/>
    <w:rsid w:val="0004550A"/>
    <w:rsid w:val="00046B5E"/>
    <w:rsid w:val="00046D30"/>
    <w:rsid w:val="000470F0"/>
    <w:rsid w:val="0004728C"/>
    <w:rsid w:val="00047716"/>
    <w:rsid w:val="000504C9"/>
    <w:rsid w:val="0005087B"/>
    <w:rsid w:val="00051DA6"/>
    <w:rsid w:val="00051EB9"/>
    <w:rsid w:val="00051EC4"/>
    <w:rsid w:val="0005229E"/>
    <w:rsid w:val="00052635"/>
    <w:rsid w:val="00052943"/>
    <w:rsid w:val="00053C84"/>
    <w:rsid w:val="000547DE"/>
    <w:rsid w:val="00055D68"/>
    <w:rsid w:val="00056029"/>
    <w:rsid w:val="00057967"/>
    <w:rsid w:val="0006003C"/>
    <w:rsid w:val="000602A0"/>
    <w:rsid w:val="000603E2"/>
    <w:rsid w:val="0006051C"/>
    <w:rsid w:val="000616BC"/>
    <w:rsid w:val="00061B22"/>
    <w:rsid w:val="00061BB2"/>
    <w:rsid w:val="000620EC"/>
    <w:rsid w:val="00062480"/>
    <w:rsid w:val="000625FF"/>
    <w:rsid w:val="0006314E"/>
    <w:rsid w:val="000631D1"/>
    <w:rsid w:val="0006394E"/>
    <w:rsid w:val="00063EC8"/>
    <w:rsid w:val="00063F21"/>
    <w:rsid w:val="0006460C"/>
    <w:rsid w:val="000646C2"/>
    <w:rsid w:val="00064E3E"/>
    <w:rsid w:val="00065ACA"/>
    <w:rsid w:val="00065E61"/>
    <w:rsid w:val="00065F24"/>
    <w:rsid w:val="000672B7"/>
    <w:rsid w:val="0006746E"/>
    <w:rsid w:val="0006770F"/>
    <w:rsid w:val="00067EBB"/>
    <w:rsid w:val="0007017F"/>
    <w:rsid w:val="00071756"/>
    <w:rsid w:val="000717DA"/>
    <w:rsid w:val="00071D1F"/>
    <w:rsid w:val="00072DDF"/>
    <w:rsid w:val="00072E10"/>
    <w:rsid w:val="000738B2"/>
    <w:rsid w:val="00073CF5"/>
    <w:rsid w:val="000746BD"/>
    <w:rsid w:val="00074852"/>
    <w:rsid w:val="00074949"/>
    <w:rsid w:val="00074B94"/>
    <w:rsid w:val="00074FD4"/>
    <w:rsid w:val="000756CF"/>
    <w:rsid w:val="00075A31"/>
    <w:rsid w:val="0007641D"/>
    <w:rsid w:val="00076595"/>
    <w:rsid w:val="000765A4"/>
    <w:rsid w:val="00076643"/>
    <w:rsid w:val="00076A20"/>
    <w:rsid w:val="00076CA7"/>
    <w:rsid w:val="00080596"/>
    <w:rsid w:val="00080809"/>
    <w:rsid w:val="00080DE0"/>
    <w:rsid w:val="00080EFC"/>
    <w:rsid w:val="00081177"/>
    <w:rsid w:val="00081244"/>
    <w:rsid w:val="00081609"/>
    <w:rsid w:val="00081A6C"/>
    <w:rsid w:val="000820D1"/>
    <w:rsid w:val="000822A1"/>
    <w:rsid w:val="00082AB6"/>
    <w:rsid w:val="00082C84"/>
    <w:rsid w:val="00082D1F"/>
    <w:rsid w:val="00082F30"/>
    <w:rsid w:val="00083717"/>
    <w:rsid w:val="000837A4"/>
    <w:rsid w:val="000838B5"/>
    <w:rsid w:val="00084BE2"/>
    <w:rsid w:val="00085185"/>
    <w:rsid w:val="000851E8"/>
    <w:rsid w:val="000859CB"/>
    <w:rsid w:val="00085EA5"/>
    <w:rsid w:val="00086D19"/>
    <w:rsid w:val="000872A3"/>
    <w:rsid w:val="00087781"/>
    <w:rsid w:val="000878FA"/>
    <w:rsid w:val="00087AD3"/>
    <w:rsid w:val="0009014A"/>
    <w:rsid w:val="00090161"/>
    <w:rsid w:val="00090612"/>
    <w:rsid w:val="00090FFF"/>
    <w:rsid w:val="00091266"/>
    <w:rsid w:val="00091EA5"/>
    <w:rsid w:val="00092A4D"/>
    <w:rsid w:val="000930E9"/>
    <w:rsid w:val="00093244"/>
    <w:rsid w:val="00093C03"/>
    <w:rsid w:val="000941C2"/>
    <w:rsid w:val="00094681"/>
    <w:rsid w:val="00096AAD"/>
    <w:rsid w:val="000A0086"/>
    <w:rsid w:val="000A05D0"/>
    <w:rsid w:val="000A0A3A"/>
    <w:rsid w:val="000A102E"/>
    <w:rsid w:val="000A2B94"/>
    <w:rsid w:val="000A59AC"/>
    <w:rsid w:val="000A5C95"/>
    <w:rsid w:val="000A6F53"/>
    <w:rsid w:val="000A6FD1"/>
    <w:rsid w:val="000A7143"/>
    <w:rsid w:val="000A7D67"/>
    <w:rsid w:val="000B0C07"/>
    <w:rsid w:val="000B0FD6"/>
    <w:rsid w:val="000B144E"/>
    <w:rsid w:val="000B23A4"/>
    <w:rsid w:val="000B3E93"/>
    <w:rsid w:val="000B42A6"/>
    <w:rsid w:val="000B4619"/>
    <w:rsid w:val="000B4803"/>
    <w:rsid w:val="000B4C79"/>
    <w:rsid w:val="000B53DC"/>
    <w:rsid w:val="000B53EC"/>
    <w:rsid w:val="000B546B"/>
    <w:rsid w:val="000B56B2"/>
    <w:rsid w:val="000B5E89"/>
    <w:rsid w:val="000B6288"/>
    <w:rsid w:val="000B651B"/>
    <w:rsid w:val="000B65FB"/>
    <w:rsid w:val="000B67D6"/>
    <w:rsid w:val="000B7166"/>
    <w:rsid w:val="000B7B54"/>
    <w:rsid w:val="000C093D"/>
    <w:rsid w:val="000C14A1"/>
    <w:rsid w:val="000C15CD"/>
    <w:rsid w:val="000C1671"/>
    <w:rsid w:val="000C1D9A"/>
    <w:rsid w:val="000C1E94"/>
    <w:rsid w:val="000C2B83"/>
    <w:rsid w:val="000C2ECF"/>
    <w:rsid w:val="000C3832"/>
    <w:rsid w:val="000C3A00"/>
    <w:rsid w:val="000C3A22"/>
    <w:rsid w:val="000C448E"/>
    <w:rsid w:val="000C44F7"/>
    <w:rsid w:val="000C4B33"/>
    <w:rsid w:val="000C5A6F"/>
    <w:rsid w:val="000C5F6F"/>
    <w:rsid w:val="000C5FC5"/>
    <w:rsid w:val="000C70F0"/>
    <w:rsid w:val="000C7F1B"/>
    <w:rsid w:val="000D21B1"/>
    <w:rsid w:val="000D2276"/>
    <w:rsid w:val="000D2786"/>
    <w:rsid w:val="000D27F7"/>
    <w:rsid w:val="000D291E"/>
    <w:rsid w:val="000D3C44"/>
    <w:rsid w:val="000D42AC"/>
    <w:rsid w:val="000D45C0"/>
    <w:rsid w:val="000D45CA"/>
    <w:rsid w:val="000D47F6"/>
    <w:rsid w:val="000D4AF7"/>
    <w:rsid w:val="000D52EB"/>
    <w:rsid w:val="000D564C"/>
    <w:rsid w:val="000D725F"/>
    <w:rsid w:val="000D785F"/>
    <w:rsid w:val="000D7DEA"/>
    <w:rsid w:val="000E0797"/>
    <w:rsid w:val="000E07F0"/>
    <w:rsid w:val="000E0979"/>
    <w:rsid w:val="000E1110"/>
    <w:rsid w:val="000E14A2"/>
    <w:rsid w:val="000E1E7C"/>
    <w:rsid w:val="000E2609"/>
    <w:rsid w:val="000E2827"/>
    <w:rsid w:val="000E2C0A"/>
    <w:rsid w:val="000E2FDA"/>
    <w:rsid w:val="000E37DE"/>
    <w:rsid w:val="000E382B"/>
    <w:rsid w:val="000E3B15"/>
    <w:rsid w:val="000E4EB6"/>
    <w:rsid w:val="000E5628"/>
    <w:rsid w:val="000E58B2"/>
    <w:rsid w:val="000E6BC1"/>
    <w:rsid w:val="000E7334"/>
    <w:rsid w:val="000E737F"/>
    <w:rsid w:val="000E74E3"/>
    <w:rsid w:val="000E766A"/>
    <w:rsid w:val="000E7813"/>
    <w:rsid w:val="000F0B99"/>
    <w:rsid w:val="000F14B4"/>
    <w:rsid w:val="000F14E5"/>
    <w:rsid w:val="000F2785"/>
    <w:rsid w:val="000F2A74"/>
    <w:rsid w:val="000F2C72"/>
    <w:rsid w:val="000F2C84"/>
    <w:rsid w:val="000F39AC"/>
    <w:rsid w:val="000F3B5C"/>
    <w:rsid w:val="000F462A"/>
    <w:rsid w:val="000F4B0B"/>
    <w:rsid w:val="000F4FEE"/>
    <w:rsid w:val="000F66E9"/>
    <w:rsid w:val="000F68D2"/>
    <w:rsid w:val="000F6E9C"/>
    <w:rsid w:val="001005CF"/>
    <w:rsid w:val="001006BD"/>
    <w:rsid w:val="00100B42"/>
    <w:rsid w:val="001011EA"/>
    <w:rsid w:val="0010172D"/>
    <w:rsid w:val="0010190C"/>
    <w:rsid w:val="00101EB1"/>
    <w:rsid w:val="0010256F"/>
    <w:rsid w:val="00102578"/>
    <w:rsid w:val="00102A2F"/>
    <w:rsid w:val="00102BB4"/>
    <w:rsid w:val="00102C52"/>
    <w:rsid w:val="00103447"/>
    <w:rsid w:val="001035C5"/>
    <w:rsid w:val="0010397C"/>
    <w:rsid w:val="0010457E"/>
    <w:rsid w:val="0010465D"/>
    <w:rsid w:val="001057C2"/>
    <w:rsid w:val="00105DAD"/>
    <w:rsid w:val="001065E9"/>
    <w:rsid w:val="001073CC"/>
    <w:rsid w:val="00107E36"/>
    <w:rsid w:val="0011007A"/>
    <w:rsid w:val="00110209"/>
    <w:rsid w:val="00110CFA"/>
    <w:rsid w:val="00110F49"/>
    <w:rsid w:val="00110F83"/>
    <w:rsid w:val="00111115"/>
    <w:rsid w:val="0011118E"/>
    <w:rsid w:val="001119D0"/>
    <w:rsid w:val="00111DF1"/>
    <w:rsid w:val="00112DEE"/>
    <w:rsid w:val="001135FA"/>
    <w:rsid w:val="0011394E"/>
    <w:rsid w:val="00113B91"/>
    <w:rsid w:val="00113DFF"/>
    <w:rsid w:val="00114907"/>
    <w:rsid w:val="00114B9D"/>
    <w:rsid w:val="00114C22"/>
    <w:rsid w:val="0011595A"/>
    <w:rsid w:val="00115ACA"/>
    <w:rsid w:val="00116D99"/>
    <w:rsid w:val="00117696"/>
    <w:rsid w:val="0011770A"/>
    <w:rsid w:val="00120BD6"/>
    <w:rsid w:val="00120FDC"/>
    <w:rsid w:val="00121292"/>
    <w:rsid w:val="001222BD"/>
    <w:rsid w:val="001223D0"/>
    <w:rsid w:val="0012284C"/>
    <w:rsid w:val="001229D8"/>
    <w:rsid w:val="00122CC4"/>
    <w:rsid w:val="00122E33"/>
    <w:rsid w:val="00123481"/>
    <w:rsid w:val="0012368F"/>
    <w:rsid w:val="00123C88"/>
    <w:rsid w:val="00124B07"/>
    <w:rsid w:val="00124FFA"/>
    <w:rsid w:val="001259B6"/>
    <w:rsid w:val="001267C9"/>
    <w:rsid w:val="0012690F"/>
    <w:rsid w:val="00126C5B"/>
    <w:rsid w:val="00126D38"/>
    <w:rsid w:val="00127107"/>
    <w:rsid w:val="00127D0A"/>
    <w:rsid w:val="001303F7"/>
    <w:rsid w:val="001305B5"/>
    <w:rsid w:val="00130837"/>
    <w:rsid w:val="00130B97"/>
    <w:rsid w:val="00130CF1"/>
    <w:rsid w:val="001316A8"/>
    <w:rsid w:val="001319F7"/>
    <w:rsid w:val="00132382"/>
    <w:rsid w:val="00133E92"/>
    <w:rsid w:val="00134157"/>
    <w:rsid w:val="00134B66"/>
    <w:rsid w:val="00134D89"/>
    <w:rsid w:val="001351FB"/>
    <w:rsid w:val="00135388"/>
    <w:rsid w:val="00135409"/>
    <w:rsid w:val="00135878"/>
    <w:rsid w:val="001358BF"/>
    <w:rsid w:val="0013632D"/>
    <w:rsid w:val="001363AD"/>
    <w:rsid w:val="00136C50"/>
    <w:rsid w:val="00137455"/>
    <w:rsid w:val="00137D76"/>
    <w:rsid w:val="00137D84"/>
    <w:rsid w:val="00137ED5"/>
    <w:rsid w:val="001400B4"/>
    <w:rsid w:val="0014085E"/>
    <w:rsid w:val="00140C03"/>
    <w:rsid w:val="00140F9D"/>
    <w:rsid w:val="0014150F"/>
    <w:rsid w:val="001415C9"/>
    <w:rsid w:val="00141638"/>
    <w:rsid w:val="00141DC8"/>
    <w:rsid w:val="00142196"/>
    <w:rsid w:val="001429C0"/>
    <w:rsid w:val="001433C7"/>
    <w:rsid w:val="00143618"/>
    <w:rsid w:val="001436F4"/>
    <w:rsid w:val="00143CBA"/>
    <w:rsid w:val="00143DAD"/>
    <w:rsid w:val="001440FA"/>
    <w:rsid w:val="00144398"/>
    <w:rsid w:val="001445E3"/>
    <w:rsid w:val="001447BE"/>
    <w:rsid w:val="00144862"/>
    <w:rsid w:val="00144FAB"/>
    <w:rsid w:val="0014540C"/>
    <w:rsid w:val="0014558D"/>
    <w:rsid w:val="00146054"/>
    <w:rsid w:val="001464BC"/>
    <w:rsid w:val="00146614"/>
    <w:rsid w:val="00146E3B"/>
    <w:rsid w:val="00147031"/>
    <w:rsid w:val="001472EC"/>
    <w:rsid w:val="001473E0"/>
    <w:rsid w:val="00150BAB"/>
    <w:rsid w:val="00151DBA"/>
    <w:rsid w:val="00152856"/>
    <w:rsid w:val="0015335A"/>
    <w:rsid w:val="0015355A"/>
    <w:rsid w:val="0015364F"/>
    <w:rsid w:val="00153669"/>
    <w:rsid w:val="0015387A"/>
    <w:rsid w:val="001561AB"/>
    <w:rsid w:val="00157509"/>
    <w:rsid w:val="0015753A"/>
    <w:rsid w:val="0016016D"/>
    <w:rsid w:val="00160F53"/>
    <w:rsid w:val="00162A09"/>
    <w:rsid w:val="00162C4B"/>
    <w:rsid w:val="00162D33"/>
    <w:rsid w:val="00166649"/>
    <w:rsid w:val="00166797"/>
    <w:rsid w:val="00166C10"/>
    <w:rsid w:val="00166D5C"/>
    <w:rsid w:val="0016700E"/>
    <w:rsid w:val="001671FB"/>
    <w:rsid w:val="001677A1"/>
    <w:rsid w:val="00167F3B"/>
    <w:rsid w:val="0017052C"/>
    <w:rsid w:val="001710B9"/>
    <w:rsid w:val="00171751"/>
    <w:rsid w:val="00171B40"/>
    <w:rsid w:val="00171CF7"/>
    <w:rsid w:val="0017204A"/>
    <w:rsid w:val="00172FD9"/>
    <w:rsid w:val="001742A2"/>
    <w:rsid w:val="00174D86"/>
    <w:rsid w:val="00175823"/>
    <w:rsid w:val="00175864"/>
    <w:rsid w:val="00175A97"/>
    <w:rsid w:val="00175B9F"/>
    <w:rsid w:val="00175C94"/>
    <w:rsid w:val="00176186"/>
    <w:rsid w:val="00176FAA"/>
    <w:rsid w:val="00177EEE"/>
    <w:rsid w:val="001805F6"/>
    <w:rsid w:val="00180761"/>
    <w:rsid w:val="00180AA0"/>
    <w:rsid w:val="00180FA8"/>
    <w:rsid w:val="00181780"/>
    <w:rsid w:val="001823C5"/>
    <w:rsid w:val="0018241A"/>
    <w:rsid w:val="001825D3"/>
    <w:rsid w:val="00182D8D"/>
    <w:rsid w:val="00183A92"/>
    <w:rsid w:val="00183B4E"/>
    <w:rsid w:val="00183BC1"/>
    <w:rsid w:val="00183CC3"/>
    <w:rsid w:val="001842F9"/>
    <w:rsid w:val="00185341"/>
    <w:rsid w:val="0018713B"/>
    <w:rsid w:val="001876B4"/>
    <w:rsid w:val="00187A29"/>
    <w:rsid w:val="00187D4D"/>
    <w:rsid w:val="00187EF1"/>
    <w:rsid w:val="00187F5F"/>
    <w:rsid w:val="00190BB7"/>
    <w:rsid w:val="00191235"/>
    <w:rsid w:val="00192204"/>
    <w:rsid w:val="001922F4"/>
    <w:rsid w:val="0019267B"/>
    <w:rsid w:val="00192AFE"/>
    <w:rsid w:val="00192FA2"/>
    <w:rsid w:val="00193345"/>
    <w:rsid w:val="001942E3"/>
    <w:rsid w:val="00194583"/>
    <w:rsid w:val="00194CEA"/>
    <w:rsid w:val="00195738"/>
    <w:rsid w:val="00196119"/>
    <w:rsid w:val="0019625A"/>
    <w:rsid w:val="00196CA4"/>
    <w:rsid w:val="001971CC"/>
    <w:rsid w:val="00197F76"/>
    <w:rsid w:val="00197F7F"/>
    <w:rsid w:val="001A01CF"/>
    <w:rsid w:val="001A0C33"/>
    <w:rsid w:val="001A16DA"/>
    <w:rsid w:val="001A1910"/>
    <w:rsid w:val="001A1DE6"/>
    <w:rsid w:val="001A201C"/>
    <w:rsid w:val="001A26FA"/>
    <w:rsid w:val="001A291B"/>
    <w:rsid w:val="001A2E4A"/>
    <w:rsid w:val="001A33B7"/>
    <w:rsid w:val="001A33D1"/>
    <w:rsid w:val="001A33EE"/>
    <w:rsid w:val="001A3426"/>
    <w:rsid w:val="001A4F00"/>
    <w:rsid w:val="001A4F30"/>
    <w:rsid w:val="001A6519"/>
    <w:rsid w:val="001A6664"/>
    <w:rsid w:val="001B0804"/>
    <w:rsid w:val="001B0B16"/>
    <w:rsid w:val="001B1EB1"/>
    <w:rsid w:val="001B28F9"/>
    <w:rsid w:val="001B31DC"/>
    <w:rsid w:val="001B594D"/>
    <w:rsid w:val="001B6557"/>
    <w:rsid w:val="001B69F0"/>
    <w:rsid w:val="001B6BE0"/>
    <w:rsid w:val="001B6C8A"/>
    <w:rsid w:val="001B6D5D"/>
    <w:rsid w:val="001B6DF1"/>
    <w:rsid w:val="001B785C"/>
    <w:rsid w:val="001C000B"/>
    <w:rsid w:val="001C1077"/>
    <w:rsid w:val="001C14E0"/>
    <w:rsid w:val="001C1591"/>
    <w:rsid w:val="001C17CC"/>
    <w:rsid w:val="001C1ACA"/>
    <w:rsid w:val="001C1DAA"/>
    <w:rsid w:val="001C20F9"/>
    <w:rsid w:val="001C2345"/>
    <w:rsid w:val="001C2400"/>
    <w:rsid w:val="001C333F"/>
    <w:rsid w:val="001C3A94"/>
    <w:rsid w:val="001C3D37"/>
    <w:rsid w:val="001C4CA3"/>
    <w:rsid w:val="001C5519"/>
    <w:rsid w:val="001C57C7"/>
    <w:rsid w:val="001C5FF4"/>
    <w:rsid w:val="001C636F"/>
    <w:rsid w:val="001C672F"/>
    <w:rsid w:val="001C6AD1"/>
    <w:rsid w:val="001C6E79"/>
    <w:rsid w:val="001C7249"/>
    <w:rsid w:val="001C7306"/>
    <w:rsid w:val="001C7B29"/>
    <w:rsid w:val="001D0180"/>
    <w:rsid w:val="001D0CD5"/>
    <w:rsid w:val="001D11A4"/>
    <w:rsid w:val="001D244A"/>
    <w:rsid w:val="001D38FE"/>
    <w:rsid w:val="001D4CCE"/>
    <w:rsid w:val="001D4DDA"/>
    <w:rsid w:val="001D5593"/>
    <w:rsid w:val="001D61AE"/>
    <w:rsid w:val="001D687F"/>
    <w:rsid w:val="001D6906"/>
    <w:rsid w:val="001D6AC5"/>
    <w:rsid w:val="001D6CA7"/>
    <w:rsid w:val="001D6E1E"/>
    <w:rsid w:val="001D7FCD"/>
    <w:rsid w:val="001E0135"/>
    <w:rsid w:val="001E074E"/>
    <w:rsid w:val="001E0796"/>
    <w:rsid w:val="001E1F01"/>
    <w:rsid w:val="001E2680"/>
    <w:rsid w:val="001E2FBF"/>
    <w:rsid w:val="001E2FEE"/>
    <w:rsid w:val="001E5EC2"/>
    <w:rsid w:val="001E6236"/>
    <w:rsid w:val="001E64C2"/>
    <w:rsid w:val="001E7906"/>
    <w:rsid w:val="001E7E6C"/>
    <w:rsid w:val="001F0BC1"/>
    <w:rsid w:val="001F0FF8"/>
    <w:rsid w:val="001F1B98"/>
    <w:rsid w:val="001F20D2"/>
    <w:rsid w:val="001F219F"/>
    <w:rsid w:val="001F37B0"/>
    <w:rsid w:val="001F4B41"/>
    <w:rsid w:val="001F5660"/>
    <w:rsid w:val="001F5AEB"/>
    <w:rsid w:val="001F5BC4"/>
    <w:rsid w:val="001F5EF9"/>
    <w:rsid w:val="001F607A"/>
    <w:rsid w:val="001F703E"/>
    <w:rsid w:val="001F7177"/>
    <w:rsid w:val="001F717B"/>
    <w:rsid w:val="001F7712"/>
    <w:rsid w:val="001F783D"/>
    <w:rsid w:val="00200FC1"/>
    <w:rsid w:val="00201031"/>
    <w:rsid w:val="002014A5"/>
    <w:rsid w:val="00201802"/>
    <w:rsid w:val="00201A8E"/>
    <w:rsid w:val="00201F32"/>
    <w:rsid w:val="00201F73"/>
    <w:rsid w:val="00202C32"/>
    <w:rsid w:val="00202E4E"/>
    <w:rsid w:val="002031EB"/>
    <w:rsid w:val="00203528"/>
    <w:rsid w:val="00204EC2"/>
    <w:rsid w:val="00204F3E"/>
    <w:rsid w:val="0020538E"/>
    <w:rsid w:val="002054A2"/>
    <w:rsid w:val="00205837"/>
    <w:rsid w:val="0020584C"/>
    <w:rsid w:val="0020601A"/>
    <w:rsid w:val="00206A0B"/>
    <w:rsid w:val="00207962"/>
    <w:rsid w:val="0021099D"/>
    <w:rsid w:val="00211607"/>
    <w:rsid w:val="00212209"/>
    <w:rsid w:val="00212270"/>
    <w:rsid w:val="0021227C"/>
    <w:rsid w:val="0021279A"/>
    <w:rsid w:val="002127C7"/>
    <w:rsid w:val="00213385"/>
    <w:rsid w:val="002133B4"/>
    <w:rsid w:val="002135C9"/>
    <w:rsid w:val="00213744"/>
    <w:rsid w:val="0021441B"/>
    <w:rsid w:val="002148AD"/>
    <w:rsid w:val="00214BEB"/>
    <w:rsid w:val="00215928"/>
    <w:rsid w:val="00215B52"/>
    <w:rsid w:val="00215BC3"/>
    <w:rsid w:val="0021624A"/>
    <w:rsid w:val="00217389"/>
    <w:rsid w:val="0021762C"/>
    <w:rsid w:val="00217914"/>
    <w:rsid w:val="00217CBB"/>
    <w:rsid w:val="002209A4"/>
    <w:rsid w:val="00220AC9"/>
    <w:rsid w:val="00220CAE"/>
    <w:rsid w:val="002210E4"/>
    <w:rsid w:val="002213E0"/>
    <w:rsid w:val="00221729"/>
    <w:rsid w:val="00221901"/>
    <w:rsid w:val="00221C8E"/>
    <w:rsid w:val="00221CE3"/>
    <w:rsid w:val="00222BBE"/>
    <w:rsid w:val="00222DFE"/>
    <w:rsid w:val="00222ECC"/>
    <w:rsid w:val="002230C4"/>
    <w:rsid w:val="00223687"/>
    <w:rsid w:val="002237E2"/>
    <w:rsid w:val="00223986"/>
    <w:rsid w:val="00223D5A"/>
    <w:rsid w:val="00223D96"/>
    <w:rsid w:val="00223F23"/>
    <w:rsid w:val="00224428"/>
    <w:rsid w:val="00224B57"/>
    <w:rsid w:val="002254F5"/>
    <w:rsid w:val="00225788"/>
    <w:rsid w:val="002257BD"/>
    <w:rsid w:val="00225D18"/>
    <w:rsid w:val="00226BBC"/>
    <w:rsid w:val="00227394"/>
    <w:rsid w:val="002275E1"/>
    <w:rsid w:val="00227734"/>
    <w:rsid w:val="00227AFA"/>
    <w:rsid w:val="00227C24"/>
    <w:rsid w:val="002300C3"/>
    <w:rsid w:val="0023013D"/>
    <w:rsid w:val="00230609"/>
    <w:rsid w:val="002308DD"/>
    <w:rsid w:val="00230EBB"/>
    <w:rsid w:val="00231B15"/>
    <w:rsid w:val="002322DE"/>
    <w:rsid w:val="0023391F"/>
    <w:rsid w:val="00233B8D"/>
    <w:rsid w:val="00235300"/>
    <w:rsid w:val="0023539E"/>
    <w:rsid w:val="002355CA"/>
    <w:rsid w:val="002369F2"/>
    <w:rsid w:val="00236E4F"/>
    <w:rsid w:val="0023719A"/>
    <w:rsid w:val="00237714"/>
    <w:rsid w:val="0024085F"/>
    <w:rsid w:val="0024122D"/>
    <w:rsid w:val="00241360"/>
    <w:rsid w:val="002414F8"/>
    <w:rsid w:val="00242408"/>
    <w:rsid w:val="002427EA"/>
    <w:rsid w:val="002429BB"/>
    <w:rsid w:val="002434A7"/>
    <w:rsid w:val="0024389F"/>
    <w:rsid w:val="00243C8F"/>
    <w:rsid w:val="00243CC9"/>
    <w:rsid w:val="00244EE5"/>
    <w:rsid w:val="0024607B"/>
    <w:rsid w:val="00246323"/>
    <w:rsid w:val="00246812"/>
    <w:rsid w:val="002472BD"/>
    <w:rsid w:val="002475BF"/>
    <w:rsid w:val="00247D05"/>
    <w:rsid w:val="0025033E"/>
    <w:rsid w:val="0025165A"/>
    <w:rsid w:val="00251AC4"/>
    <w:rsid w:val="00251B0F"/>
    <w:rsid w:val="00253312"/>
    <w:rsid w:val="00253984"/>
    <w:rsid w:val="002539B3"/>
    <w:rsid w:val="002540EB"/>
    <w:rsid w:val="00254F54"/>
    <w:rsid w:val="00255768"/>
    <w:rsid w:val="0025583E"/>
    <w:rsid w:val="00255B48"/>
    <w:rsid w:val="00255CD5"/>
    <w:rsid w:val="00256355"/>
    <w:rsid w:val="002572A4"/>
    <w:rsid w:val="00257B96"/>
    <w:rsid w:val="002601AA"/>
    <w:rsid w:val="002606E2"/>
    <w:rsid w:val="00260A2E"/>
    <w:rsid w:val="0026145F"/>
    <w:rsid w:val="00261635"/>
    <w:rsid w:val="00261B32"/>
    <w:rsid w:val="002621A8"/>
    <w:rsid w:val="002621F2"/>
    <w:rsid w:val="0026232A"/>
    <w:rsid w:val="002624F4"/>
    <w:rsid w:val="00262554"/>
    <w:rsid w:val="0026295F"/>
    <w:rsid w:val="002632B7"/>
    <w:rsid w:val="00263927"/>
    <w:rsid w:val="002641FE"/>
    <w:rsid w:val="0026526F"/>
    <w:rsid w:val="00265346"/>
    <w:rsid w:val="00265751"/>
    <w:rsid w:val="00266756"/>
    <w:rsid w:val="002674B0"/>
    <w:rsid w:val="00267BEC"/>
    <w:rsid w:val="00267E8C"/>
    <w:rsid w:val="002703FE"/>
    <w:rsid w:val="00270FB0"/>
    <w:rsid w:val="0027162F"/>
    <w:rsid w:val="00271953"/>
    <w:rsid w:val="00272117"/>
    <w:rsid w:val="002722D8"/>
    <w:rsid w:val="00272691"/>
    <w:rsid w:val="00272ADF"/>
    <w:rsid w:val="002731D1"/>
    <w:rsid w:val="002735DF"/>
    <w:rsid w:val="002737CF"/>
    <w:rsid w:val="00274580"/>
    <w:rsid w:val="00274592"/>
    <w:rsid w:val="002761BC"/>
    <w:rsid w:val="00276638"/>
    <w:rsid w:val="00276FB7"/>
    <w:rsid w:val="002773F2"/>
    <w:rsid w:val="00277FBD"/>
    <w:rsid w:val="0028003A"/>
    <w:rsid w:val="00281E86"/>
    <w:rsid w:val="0028222B"/>
    <w:rsid w:val="002822D7"/>
    <w:rsid w:val="0028342C"/>
    <w:rsid w:val="00283B4B"/>
    <w:rsid w:val="00283DF6"/>
    <w:rsid w:val="00284B46"/>
    <w:rsid w:val="00284D74"/>
    <w:rsid w:val="00285023"/>
    <w:rsid w:val="00286192"/>
    <w:rsid w:val="00287343"/>
    <w:rsid w:val="00290673"/>
    <w:rsid w:val="00290A02"/>
    <w:rsid w:val="00290D80"/>
    <w:rsid w:val="00291719"/>
    <w:rsid w:val="00291920"/>
    <w:rsid w:val="00291BE4"/>
    <w:rsid w:val="00291C73"/>
    <w:rsid w:val="00291C91"/>
    <w:rsid w:val="0029226A"/>
    <w:rsid w:val="00292355"/>
    <w:rsid w:val="00292914"/>
    <w:rsid w:val="00292AEF"/>
    <w:rsid w:val="00292C4F"/>
    <w:rsid w:val="00293558"/>
    <w:rsid w:val="00293EDC"/>
    <w:rsid w:val="00294610"/>
    <w:rsid w:val="00294CC0"/>
    <w:rsid w:val="00295038"/>
    <w:rsid w:val="00296951"/>
    <w:rsid w:val="002969CB"/>
    <w:rsid w:val="002A00D6"/>
    <w:rsid w:val="002A07D0"/>
    <w:rsid w:val="002A0D08"/>
    <w:rsid w:val="002A14CC"/>
    <w:rsid w:val="002A1AF0"/>
    <w:rsid w:val="002A1C63"/>
    <w:rsid w:val="002A1D5C"/>
    <w:rsid w:val="002A3B6D"/>
    <w:rsid w:val="002A500D"/>
    <w:rsid w:val="002A5220"/>
    <w:rsid w:val="002A5A6A"/>
    <w:rsid w:val="002A761F"/>
    <w:rsid w:val="002B07EE"/>
    <w:rsid w:val="002B147F"/>
    <w:rsid w:val="002B1C63"/>
    <w:rsid w:val="002B1E06"/>
    <w:rsid w:val="002B1EAC"/>
    <w:rsid w:val="002B32D9"/>
    <w:rsid w:val="002B349C"/>
    <w:rsid w:val="002B3758"/>
    <w:rsid w:val="002B47C5"/>
    <w:rsid w:val="002B4BC7"/>
    <w:rsid w:val="002B586C"/>
    <w:rsid w:val="002B59B3"/>
    <w:rsid w:val="002B6069"/>
    <w:rsid w:val="002B6A49"/>
    <w:rsid w:val="002B7218"/>
    <w:rsid w:val="002B79B8"/>
    <w:rsid w:val="002B7AF5"/>
    <w:rsid w:val="002B7B8D"/>
    <w:rsid w:val="002B7D55"/>
    <w:rsid w:val="002B7F3D"/>
    <w:rsid w:val="002C0CE7"/>
    <w:rsid w:val="002C126F"/>
    <w:rsid w:val="002C1686"/>
    <w:rsid w:val="002C2396"/>
    <w:rsid w:val="002C25C7"/>
    <w:rsid w:val="002C261A"/>
    <w:rsid w:val="002C2AFF"/>
    <w:rsid w:val="002C2DBA"/>
    <w:rsid w:val="002C3752"/>
    <w:rsid w:val="002C39DD"/>
    <w:rsid w:val="002C3A81"/>
    <w:rsid w:val="002C3B6F"/>
    <w:rsid w:val="002C3D46"/>
    <w:rsid w:val="002C4001"/>
    <w:rsid w:val="002C427F"/>
    <w:rsid w:val="002C42A9"/>
    <w:rsid w:val="002C47C5"/>
    <w:rsid w:val="002C4837"/>
    <w:rsid w:val="002C4D85"/>
    <w:rsid w:val="002C549F"/>
    <w:rsid w:val="002C5608"/>
    <w:rsid w:val="002C6E4A"/>
    <w:rsid w:val="002C6F60"/>
    <w:rsid w:val="002C6FDF"/>
    <w:rsid w:val="002C712C"/>
    <w:rsid w:val="002C735B"/>
    <w:rsid w:val="002C7602"/>
    <w:rsid w:val="002C786B"/>
    <w:rsid w:val="002C7D92"/>
    <w:rsid w:val="002D0752"/>
    <w:rsid w:val="002D1002"/>
    <w:rsid w:val="002D1E99"/>
    <w:rsid w:val="002D209F"/>
    <w:rsid w:val="002D2A35"/>
    <w:rsid w:val="002D2CF1"/>
    <w:rsid w:val="002D2D93"/>
    <w:rsid w:val="002D4200"/>
    <w:rsid w:val="002D4592"/>
    <w:rsid w:val="002D4839"/>
    <w:rsid w:val="002D4C51"/>
    <w:rsid w:val="002D5176"/>
    <w:rsid w:val="002D54E2"/>
    <w:rsid w:val="002D6202"/>
    <w:rsid w:val="002D693F"/>
    <w:rsid w:val="002D6A5A"/>
    <w:rsid w:val="002D79C5"/>
    <w:rsid w:val="002D7CFC"/>
    <w:rsid w:val="002E04AC"/>
    <w:rsid w:val="002E0BF7"/>
    <w:rsid w:val="002E0E38"/>
    <w:rsid w:val="002E1705"/>
    <w:rsid w:val="002E175E"/>
    <w:rsid w:val="002E294C"/>
    <w:rsid w:val="002E30FE"/>
    <w:rsid w:val="002E3DEA"/>
    <w:rsid w:val="002E4573"/>
    <w:rsid w:val="002E4DFF"/>
    <w:rsid w:val="002E5143"/>
    <w:rsid w:val="002E6C23"/>
    <w:rsid w:val="002E6E78"/>
    <w:rsid w:val="002E7A87"/>
    <w:rsid w:val="002E7E39"/>
    <w:rsid w:val="002F01E2"/>
    <w:rsid w:val="002F1124"/>
    <w:rsid w:val="002F119A"/>
    <w:rsid w:val="002F22D4"/>
    <w:rsid w:val="002F292A"/>
    <w:rsid w:val="002F29D5"/>
    <w:rsid w:val="002F2AFA"/>
    <w:rsid w:val="002F2CC7"/>
    <w:rsid w:val="002F339B"/>
    <w:rsid w:val="002F343F"/>
    <w:rsid w:val="002F36BC"/>
    <w:rsid w:val="002F3802"/>
    <w:rsid w:val="002F3E29"/>
    <w:rsid w:val="002F3E7C"/>
    <w:rsid w:val="002F41B2"/>
    <w:rsid w:val="002F49F1"/>
    <w:rsid w:val="002F4EEC"/>
    <w:rsid w:val="002F531C"/>
    <w:rsid w:val="002F55A6"/>
    <w:rsid w:val="002F59D8"/>
    <w:rsid w:val="002F5BD4"/>
    <w:rsid w:val="002F6277"/>
    <w:rsid w:val="002F645E"/>
    <w:rsid w:val="002F66AE"/>
    <w:rsid w:val="002F6A37"/>
    <w:rsid w:val="002F6FC1"/>
    <w:rsid w:val="002F7A56"/>
    <w:rsid w:val="002F7BD4"/>
    <w:rsid w:val="003005F4"/>
    <w:rsid w:val="003008D1"/>
    <w:rsid w:val="00300D1F"/>
    <w:rsid w:val="0030191E"/>
    <w:rsid w:val="00301B9F"/>
    <w:rsid w:val="0030204F"/>
    <w:rsid w:val="00302076"/>
    <w:rsid w:val="003020F2"/>
    <w:rsid w:val="00303177"/>
    <w:rsid w:val="003041DE"/>
    <w:rsid w:val="00304376"/>
    <w:rsid w:val="00304588"/>
    <w:rsid w:val="00304C3A"/>
    <w:rsid w:val="003050DC"/>
    <w:rsid w:val="00305E4D"/>
    <w:rsid w:val="00306392"/>
    <w:rsid w:val="00307147"/>
    <w:rsid w:val="0030737A"/>
    <w:rsid w:val="0030777D"/>
    <w:rsid w:val="003078C4"/>
    <w:rsid w:val="00310195"/>
    <w:rsid w:val="0031038D"/>
    <w:rsid w:val="0031061E"/>
    <w:rsid w:val="003111E1"/>
    <w:rsid w:val="00311DA0"/>
    <w:rsid w:val="003120B2"/>
    <w:rsid w:val="003139DF"/>
    <w:rsid w:val="00314090"/>
    <w:rsid w:val="0031448D"/>
    <w:rsid w:val="00314862"/>
    <w:rsid w:val="00314884"/>
    <w:rsid w:val="00314935"/>
    <w:rsid w:val="00314A8E"/>
    <w:rsid w:val="0031535B"/>
    <w:rsid w:val="00315855"/>
    <w:rsid w:val="003158DC"/>
    <w:rsid w:val="00315969"/>
    <w:rsid w:val="003159CC"/>
    <w:rsid w:val="00315A91"/>
    <w:rsid w:val="00316CA0"/>
    <w:rsid w:val="00316CDF"/>
    <w:rsid w:val="00316CFE"/>
    <w:rsid w:val="00317353"/>
    <w:rsid w:val="0031741D"/>
    <w:rsid w:val="00320268"/>
    <w:rsid w:val="00320590"/>
    <w:rsid w:val="00320A30"/>
    <w:rsid w:val="00320E6A"/>
    <w:rsid w:val="00321CE9"/>
    <w:rsid w:val="00321EB3"/>
    <w:rsid w:val="00321ED8"/>
    <w:rsid w:val="003220E6"/>
    <w:rsid w:val="00322342"/>
    <w:rsid w:val="003223AA"/>
    <w:rsid w:val="00322486"/>
    <w:rsid w:val="00323DEE"/>
    <w:rsid w:val="00325A1D"/>
    <w:rsid w:val="003271C8"/>
    <w:rsid w:val="003274E8"/>
    <w:rsid w:val="00327EE7"/>
    <w:rsid w:val="003319C2"/>
    <w:rsid w:val="0033206A"/>
    <w:rsid w:val="00332206"/>
    <w:rsid w:val="003328CD"/>
    <w:rsid w:val="00332CEF"/>
    <w:rsid w:val="0033355A"/>
    <w:rsid w:val="00334293"/>
    <w:rsid w:val="00335039"/>
    <w:rsid w:val="003354CE"/>
    <w:rsid w:val="00335C7A"/>
    <w:rsid w:val="00335E39"/>
    <w:rsid w:val="00336AD1"/>
    <w:rsid w:val="00337D9B"/>
    <w:rsid w:val="00340180"/>
    <w:rsid w:val="00340535"/>
    <w:rsid w:val="003407C1"/>
    <w:rsid w:val="00340DE0"/>
    <w:rsid w:val="0034149F"/>
    <w:rsid w:val="0034195C"/>
    <w:rsid w:val="00341D20"/>
    <w:rsid w:val="0034204F"/>
    <w:rsid w:val="00342FDC"/>
    <w:rsid w:val="003431B0"/>
    <w:rsid w:val="003433B7"/>
    <w:rsid w:val="00344626"/>
    <w:rsid w:val="00344896"/>
    <w:rsid w:val="00344B6B"/>
    <w:rsid w:val="00344C9E"/>
    <w:rsid w:val="0034540B"/>
    <w:rsid w:val="00345468"/>
    <w:rsid w:val="00345884"/>
    <w:rsid w:val="00346190"/>
    <w:rsid w:val="00346259"/>
    <w:rsid w:val="003465BD"/>
    <w:rsid w:val="0034660B"/>
    <w:rsid w:val="00346896"/>
    <w:rsid w:val="003468E9"/>
    <w:rsid w:val="00346B75"/>
    <w:rsid w:val="00347330"/>
    <w:rsid w:val="003475D6"/>
    <w:rsid w:val="0034782C"/>
    <w:rsid w:val="00347B35"/>
    <w:rsid w:val="0035069E"/>
    <w:rsid w:val="00350CD3"/>
    <w:rsid w:val="0035106F"/>
    <w:rsid w:val="00351797"/>
    <w:rsid w:val="003517E1"/>
    <w:rsid w:val="0035181B"/>
    <w:rsid w:val="0035219B"/>
    <w:rsid w:val="003521A4"/>
    <w:rsid w:val="003527BC"/>
    <w:rsid w:val="00352AAF"/>
    <w:rsid w:val="00352BBC"/>
    <w:rsid w:val="00353122"/>
    <w:rsid w:val="0035368E"/>
    <w:rsid w:val="003540FA"/>
    <w:rsid w:val="003548EC"/>
    <w:rsid w:val="0035532E"/>
    <w:rsid w:val="00355364"/>
    <w:rsid w:val="00356F7E"/>
    <w:rsid w:val="00356FA9"/>
    <w:rsid w:val="00360D3F"/>
    <w:rsid w:val="0036102C"/>
    <w:rsid w:val="00361373"/>
    <w:rsid w:val="0036219A"/>
    <w:rsid w:val="00363BED"/>
    <w:rsid w:val="0036416F"/>
    <w:rsid w:val="00364DCF"/>
    <w:rsid w:val="00365588"/>
    <w:rsid w:val="00365B8B"/>
    <w:rsid w:val="00365F3F"/>
    <w:rsid w:val="00366085"/>
    <w:rsid w:val="00366111"/>
    <w:rsid w:val="00366729"/>
    <w:rsid w:val="00366F6E"/>
    <w:rsid w:val="00366FA1"/>
    <w:rsid w:val="00367907"/>
    <w:rsid w:val="0037011F"/>
    <w:rsid w:val="0037032D"/>
    <w:rsid w:val="003706DA"/>
    <w:rsid w:val="00370AD8"/>
    <w:rsid w:val="00370C13"/>
    <w:rsid w:val="00371988"/>
    <w:rsid w:val="0037309B"/>
    <w:rsid w:val="00373216"/>
    <w:rsid w:val="00373999"/>
    <w:rsid w:val="00373EEE"/>
    <w:rsid w:val="003745F1"/>
    <w:rsid w:val="00374B7E"/>
    <w:rsid w:val="0037521C"/>
    <w:rsid w:val="003752AB"/>
    <w:rsid w:val="003754D5"/>
    <w:rsid w:val="00376500"/>
    <w:rsid w:val="00376A31"/>
    <w:rsid w:val="00376C53"/>
    <w:rsid w:val="00376CEF"/>
    <w:rsid w:val="00376DB5"/>
    <w:rsid w:val="00377429"/>
    <w:rsid w:val="003775BF"/>
    <w:rsid w:val="00377DB1"/>
    <w:rsid w:val="00380B26"/>
    <w:rsid w:val="00380CF3"/>
    <w:rsid w:val="00381217"/>
    <w:rsid w:val="0038126D"/>
    <w:rsid w:val="00381658"/>
    <w:rsid w:val="003817F0"/>
    <w:rsid w:val="0038197E"/>
    <w:rsid w:val="00381AF2"/>
    <w:rsid w:val="00381DCF"/>
    <w:rsid w:val="0038206E"/>
    <w:rsid w:val="003820AC"/>
    <w:rsid w:val="003829ED"/>
    <w:rsid w:val="003833E6"/>
    <w:rsid w:val="0038432A"/>
    <w:rsid w:val="003847A2"/>
    <w:rsid w:val="00384858"/>
    <w:rsid w:val="0038558F"/>
    <w:rsid w:val="00385DAE"/>
    <w:rsid w:val="0038663E"/>
    <w:rsid w:val="00386745"/>
    <w:rsid w:val="0038678E"/>
    <w:rsid w:val="00387132"/>
    <w:rsid w:val="00387195"/>
    <w:rsid w:val="00387BF1"/>
    <w:rsid w:val="00387DBB"/>
    <w:rsid w:val="00387EB2"/>
    <w:rsid w:val="0039048D"/>
    <w:rsid w:val="00390A1B"/>
    <w:rsid w:val="00390DBB"/>
    <w:rsid w:val="00390FE8"/>
    <w:rsid w:val="00391ED6"/>
    <w:rsid w:val="00392195"/>
    <w:rsid w:val="0039267C"/>
    <w:rsid w:val="0039273D"/>
    <w:rsid w:val="00392C0E"/>
    <w:rsid w:val="00393660"/>
    <w:rsid w:val="003937FC"/>
    <w:rsid w:val="00393AAA"/>
    <w:rsid w:val="003941CC"/>
    <w:rsid w:val="00395327"/>
    <w:rsid w:val="00395352"/>
    <w:rsid w:val="003953D2"/>
    <w:rsid w:val="0039574B"/>
    <w:rsid w:val="00395F06"/>
    <w:rsid w:val="00396350"/>
    <w:rsid w:val="00396D7D"/>
    <w:rsid w:val="00396EDE"/>
    <w:rsid w:val="0039701F"/>
    <w:rsid w:val="00397E52"/>
    <w:rsid w:val="003A00E6"/>
    <w:rsid w:val="003A06CF"/>
    <w:rsid w:val="003A1E5E"/>
    <w:rsid w:val="003A1F02"/>
    <w:rsid w:val="003A2BF2"/>
    <w:rsid w:val="003A3414"/>
    <w:rsid w:val="003A35DA"/>
    <w:rsid w:val="003A3654"/>
    <w:rsid w:val="003A3873"/>
    <w:rsid w:val="003A446E"/>
    <w:rsid w:val="003A4AB8"/>
    <w:rsid w:val="003A4FDE"/>
    <w:rsid w:val="003A6EAB"/>
    <w:rsid w:val="003A745F"/>
    <w:rsid w:val="003A750F"/>
    <w:rsid w:val="003A761F"/>
    <w:rsid w:val="003A78CF"/>
    <w:rsid w:val="003B082C"/>
    <w:rsid w:val="003B0F9C"/>
    <w:rsid w:val="003B137B"/>
    <w:rsid w:val="003B144E"/>
    <w:rsid w:val="003B15AE"/>
    <w:rsid w:val="003B184B"/>
    <w:rsid w:val="003B1B7F"/>
    <w:rsid w:val="003B1EC6"/>
    <w:rsid w:val="003B27F2"/>
    <w:rsid w:val="003B2D1E"/>
    <w:rsid w:val="003B2F1E"/>
    <w:rsid w:val="003B36D1"/>
    <w:rsid w:val="003B3C92"/>
    <w:rsid w:val="003B5517"/>
    <w:rsid w:val="003B576B"/>
    <w:rsid w:val="003B6447"/>
    <w:rsid w:val="003B71BF"/>
    <w:rsid w:val="003B7825"/>
    <w:rsid w:val="003C0832"/>
    <w:rsid w:val="003C0F10"/>
    <w:rsid w:val="003C11C3"/>
    <w:rsid w:val="003C2465"/>
    <w:rsid w:val="003C391C"/>
    <w:rsid w:val="003C3F99"/>
    <w:rsid w:val="003C471B"/>
    <w:rsid w:val="003C4C97"/>
    <w:rsid w:val="003C4F34"/>
    <w:rsid w:val="003C5494"/>
    <w:rsid w:val="003C5672"/>
    <w:rsid w:val="003C57E3"/>
    <w:rsid w:val="003C59FF"/>
    <w:rsid w:val="003C7743"/>
    <w:rsid w:val="003C785D"/>
    <w:rsid w:val="003C7A74"/>
    <w:rsid w:val="003C7F99"/>
    <w:rsid w:val="003D1EFB"/>
    <w:rsid w:val="003D242D"/>
    <w:rsid w:val="003D399D"/>
    <w:rsid w:val="003D3EB6"/>
    <w:rsid w:val="003D4102"/>
    <w:rsid w:val="003D5198"/>
    <w:rsid w:val="003D558D"/>
    <w:rsid w:val="003D55FE"/>
    <w:rsid w:val="003D68A0"/>
    <w:rsid w:val="003D7880"/>
    <w:rsid w:val="003E0409"/>
    <w:rsid w:val="003E08BF"/>
    <w:rsid w:val="003E1520"/>
    <w:rsid w:val="003E1885"/>
    <w:rsid w:val="003E1A3F"/>
    <w:rsid w:val="003E23AB"/>
    <w:rsid w:val="003E25E7"/>
    <w:rsid w:val="003E260B"/>
    <w:rsid w:val="003E2D1F"/>
    <w:rsid w:val="003E36EF"/>
    <w:rsid w:val="003E3816"/>
    <w:rsid w:val="003E49FF"/>
    <w:rsid w:val="003E5526"/>
    <w:rsid w:val="003E557C"/>
    <w:rsid w:val="003E5767"/>
    <w:rsid w:val="003E57D4"/>
    <w:rsid w:val="003E57E9"/>
    <w:rsid w:val="003E59F5"/>
    <w:rsid w:val="003E5DA8"/>
    <w:rsid w:val="003E70D4"/>
    <w:rsid w:val="003E739E"/>
    <w:rsid w:val="003E7726"/>
    <w:rsid w:val="003E7A8E"/>
    <w:rsid w:val="003F0621"/>
    <w:rsid w:val="003F0BCF"/>
    <w:rsid w:val="003F1092"/>
    <w:rsid w:val="003F1653"/>
    <w:rsid w:val="003F1819"/>
    <w:rsid w:val="003F18BE"/>
    <w:rsid w:val="003F2272"/>
    <w:rsid w:val="003F23BC"/>
    <w:rsid w:val="003F264D"/>
    <w:rsid w:val="003F3409"/>
    <w:rsid w:val="003F36F5"/>
    <w:rsid w:val="003F3C6D"/>
    <w:rsid w:val="003F3F90"/>
    <w:rsid w:val="003F3FA7"/>
    <w:rsid w:val="003F41B5"/>
    <w:rsid w:val="003F436E"/>
    <w:rsid w:val="003F4775"/>
    <w:rsid w:val="003F4A94"/>
    <w:rsid w:val="003F50A6"/>
    <w:rsid w:val="003F51DB"/>
    <w:rsid w:val="003F56A1"/>
    <w:rsid w:val="003F59AA"/>
    <w:rsid w:val="003F68ED"/>
    <w:rsid w:val="003F6C72"/>
    <w:rsid w:val="003F6D0B"/>
    <w:rsid w:val="003F7FE2"/>
    <w:rsid w:val="00400125"/>
    <w:rsid w:val="00400A9D"/>
    <w:rsid w:val="00400AF7"/>
    <w:rsid w:val="00401397"/>
    <w:rsid w:val="00402E29"/>
    <w:rsid w:val="00402FFC"/>
    <w:rsid w:val="00403143"/>
    <w:rsid w:val="004033E5"/>
    <w:rsid w:val="00403677"/>
    <w:rsid w:val="0040374A"/>
    <w:rsid w:val="00403CB1"/>
    <w:rsid w:val="00403E0C"/>
    <w:rsid w:val="00403E9B"/>
    <w:rsid w:val="00404764"/>
    <w:rsid w:val="00405504"/>
    <w:rsid w:val="004057D0"/>
    <w:rsid w:val="0040607E"/>
    <w:rsid w:val="004065C0"/>
    <w:rsid w:val="00406656"/>
    <w:rsid w:val="00406821"/>
    <w:rsid w:val="0040796D"/>
    <w:rsid w:val="00407ECE"/>
    <w:rsid w:val="004105B5"/>
    <w:rsid w:val="0041061C"/>
    <w:rsid w:val="00410C28"/>
    <w:rsid w:val="00411987"/>
    <w:rsid w:val="00411DDE"/>
    <w:rsid w:val="00411E1B"/>
    <w:rsid w:val="004121B0"/>
    <w:rsid w:val="00412A1A"/>
    <w:rsid w:val="00412D20"/>
    <w:rsid w:val="004131F9"/>
    <w:rsid w:val="00413A56"/>
    <w:rsid w:val="00413B83"/>
    <w:rsid w:val="00413C1B"/>
    <w:rsid w:val="00413EE0"/>
    <w:rsid w:val="00414056"/>
    <w:rsid w:val="00414E18"/>
    <w:rsid w:val="0041507A"/>
    <w:rsid w:val="00415706"/>
    <w:rsid w:val="00415CDF"/>
    <w:rsid w:val="00415DF9"/>
    <w:rsid w:val="00416725"/>
    <w:rsid w:val="00416E83"/>
    <w:rsid w:val="00417126"/>
    <w:rsid w:val="004172B6"/>
    <w:rsid w:val="0041751E"/>
    <w:rsid w:val="00417FCD"/>
    <w:rsid w:val="00420C89"/>
    <w:rsid w:val="004212A9"/>
    <w:rsid w:val="004227C8"/>
    <w:rsid w:val="00422BE5"/>
    <w:rsid w:val="00422DBC"/>
    <w:rsid w:val="00423CF1"/>
    <w:rsid w:val="00423DE3"/>
    <w:rsid w:val="00423F0D"/>
    <w:rsid w:val="00425385"/>
    <w:rsid w:val="004258EA"/>
    <w:rsid w:val="00426181"/>
    <w:rsid w:val="004264EF"/>
    <w:rsid w:val="00426735"/>
    <w:rsid w:val="0042757D"/>
    <w:rsid w:val="00427599"/>
    <w:rsid w:val="004277DF"/>
    <w:rsid w:val="004279CB"/>
    <w:rsid w:val="00427D20"/>
    <w:rsid w:val="00430DF1"/>
    <w:rsid w:val="00430E6B"/>
    <w:rsid w:val="00431406"/>
    <w:rsid w:val="00431BEE"/>
    <w:rsid w:val="00432D8E"/>
    <w:rsid w:val="00432F21"/>
    <w:rsid w:val="004330B8"/>
    <w:rsid w:val="004338EF"/>
    <w:rsid w:val="00433939"/>
    <w:rsid w:val="00433E22"/>
    <w:rsid w:val="00433E26"/>
    <w:rsid w:val="004343EA"/>
    <w:rsid w:val="004348AD"/>
    <w:rsid w:val="00434D16"/>
    <w:rsid w:val="004352F0"/>
    <w:rsid w:val="004354B5"/>
    <w:rsid w:val="004356FA"/>
    <w:rsid w:val="00435C9D"/>
    <w:rsid w:val="00435F36"/>
    <w:rsid w:val="00435F78"/>
    <w:rsid w:val="00436848"/>
    <w:rsid w:val="00436D1E"/>
    <w:rsid w:val="00437184"/>
    <w:rsid w:val="0044079F"/>
    <w:rsid w:val="00440BDE"/>
    <w:rsid w:val="004410B2"/>
    <w:rsid w:val="00441B19"/>
    <w:rsid w:val="00441C32"/>
    <w:rsid w:val="00442CC4"/>
    <w:rsid w:val="0044397F"/>
    <w:rsid w:val="00445470"/>
    <w:rsid w:val="00447180"/>
    <w:rsid w:val="00447E59"/>
    <w:rsid w:val="00450638"/>
    <w:rsid w:val="00450E7C"/>
    <w:rsid w:val="00451D85"/>
    <w:rsid w:val="00451EDE"/>
    <w:rsid w:val="00451F37"/>
    <w:rsid w:val="00452C8A"/>
    <w:rsid w:val="00453040"/>
    <w:rsid w:val="00454847"/>
    <w:rsid w:val="00454A88"/>
    <w:rsid w:val="00454AD6"/>
    <w:rsid w:val="00454B7F"/>
    <w:rsid w:val="00454E2B"/>
    <w:rsid w:val="0045528A"/>
    <w:rsid w:val="0045560C"/>
    <w:rsid w:val="00455618"/>
    <w:rsid w:val="00455D77"/>
    <w:rsid w:val="0045614F"/>
    <w:rsid w:val="004561E7"/>
    <w:rsid w:val="00456836"/>
    <w:rsid w:val="00457E26"/>
    <w:rsid w:val="004602BA"/>
    <w:rsid w:val="00460EB9"/>
    <w:rsid w:val="00460EFF"/>
    <w:rsid w:val="00461135"/>
    <w:rsid w:val="0046205F"/>
    <w:rsid w:val="0046246E"/>
    <w:rsid w:val="004626BF"/>
    <w:rsid w:val="004626E1"/>
    <w:rsid w:val="00462952"/>
    <w:rsid w:val="0046307F"/>
    <w:rsid w:val="0046318E"/>
    <w:rsid w:val="00463B33"/>
    <w:rsid w:val="00463DB6"/>
    <w:rsid w:val="00463FF0"/>
    <w:rsid w:val="00464DA8"/>
    <w:rsid w:val="00465305"/>
    <w:rsid w:val="004665ED"/>
    <w:rsid w:val="00467285"/>
    <w:rsid w:val="00470136"/>
    <w:rsid w:val="00471A9E"/>
    <w:rsid w:val="00472112"/>
    <w:rsid w:val="00472CA3"/>
    <w:rsid w:val="00475444"/>
    <w:rsid w:val="0047554D"/>
    <w:rsid w:val="0047640B"/>
    <w:rsid w:val="00476F50"/>
    <w:rsid w:val="00477006"/>
    <w:rsid w:val="00477B32"/>
    <w:rsid w:val="00477F28"/>
    <w:rsid w:val="0048010D"/>
    <w:rsid w:val="00480499"/>
    <w:rsid w:val="00480A99"/>
    <w:rsid w:val="004812C6"/>
    <w:rsid w:val="00481792"/>
    <w:rsid w:val="004819BA"/>
    <w:rsid w:val="00481EEC"/>
    <w:rsid w:val="00482201"/>
    <w:rsid w:val="00482439"/>
    <w:rsid w:val="00482A47"/>
    <w:rsid w:val="00482DF1"/>
    <w:rsid w:val="00482E0A"/>
    <w:rsid w:val="0048343E"/>
    <w:rsid w:val="00483A96"/>
    <w:rsid w:val="00483D40"/>
    <w:rsid w:val="004840CC"/>
    <w:rsid w:val="00484A75"/>
    <w:rsid w:val="00484C77"/>
    <w:rsid w:val="00485497"/>
    <w:rsid w:val="0048575E"/>
    <w:rsid w:val="00485928"/>
    <w:rsid w:val="00485D81"/>
    <w:rsid w:val="0048657B"/>
    <w:rsid w:val="00486995"/>
    <w:rsid w:val="00486BB5"/>
    <w:rsid w:val="004874C1"/>
    <w:rsid w:val="00490867"/>
    <w:rsid w:val="0049119B"/>
    <w:rsid w:val="00491B16"/>
    <w:rsid w:val="00491B5E"/>
    <w:rsid w:val="00492621"/>
    <w:rsid w:val="00492A4E"/>
    <w:rsid w:val="00494050"/>
    <w:rsid w:val="00494977"/>
    <w:rsid w:val="00494DF5"/>
    <w:rsid w:val="004951F5"/>
    <w:rsid w:val="004955A4"/>
    <w:rsid w:val="00495B0C"/>
    <w:rsid w:val="0049653C"/>
    <w:rsid w:val="00497134"/>
    <w:rsid w:val="004972C6"/>
    <w:rsid w:val="0049742A"/>
    <w:rsid w:val="004974B5"/>
    <w:rsid w:val="004977CB"/>
    <w:rsid w:val="004A08AB"/>
    <w:rsid w:val="004A12A9"/>
    <w:rsid w:val="004A1627"/>
    <w:rsid w:val="004A1792"/>
    <w:rsid w:val="004A1D38"/>
    <w:rsid w:val="004A2299"/>
    <w:rsid w:val="004A2532"/>
    <w:rsid w:val="004A2DDC"/>
    <w:rsid w:val="004A34CF"/>
    <w:rsid w:val="004A3D06"/>
    <w:rsid w:val="004A4189"/>
    <w:rsid w:val="004A4BB2"/>
    <w:rsid w:val="004A4EFE"/>
    <w:rsid w:val="004A4F8A"/>
    <w:rsid w:val="004A51B8"/>
    <w:rsid w:val="004A5ACF"/>
    <w:rsid w:val="004A6061"/>
    <w:rsid w:val="004A6150"/>
    <w:rsid w:val="004A6542"/>
    <w:rsid w:val="004A6557"/>
    <w:rsid w:val="004A688A"/>
    <w:rsid w:val="004A6CE2"/>
    <w:rsid w:val="004A6F60"/>
    <w:rsid w:val="004A7A26"/>
    <w:rsid w:val="004A7AF8"/>
    <w:rsid w:val="004B0537"/>
    <w:rsid w:val="004B0D80"/>
    <w:rsid w:val="004B0F13"/>
    <w:rsid w:val="004B225C"/>
    <w:rsid w:val="004B25C3"/>
    <w:rsid w:val="004B2AEA"/>
    <w:rsid w:val="004B304E"/>
    <w:rsid w:val="004B48FD"/>
    <w:rsid w:val="004B51F6"/>
    <w:rsid w:val="004B5C55"/>
    <w:rsid w:val="004B5D6F"/>
    <w:rsid w:val="004B6576"/>
    <w:rsid w:val="004B7968"/>
    <w:rsid w:val="004B7B30"/>
    <w:rsid w:val="004C0855"/>
    <w:rsid w:val="004C0D35"/>
    <w:rsid w:val="004C1484"/>
    <w:rsid w:val="004C1BD9"/>
    <w:rsid w:val="004C2134"/>
    <w:rsid w:val="004C231B"/>
    <w:rsid w:val="004C2C4D"/>
    <w:rsid w:val="004C3254"/>
    <w:rsid w:val="004C3338"/>
    <w:rsid w:val="004C3C0D"/>
    <w:rsid w:val="004C40F2"/>
    <w:rsid w:val="004C4247"/>
    <w:rsid w:val="004C567B"/>
    <w:rsid w:val="004C5840"/>
    <w:rsid w:val="004C630E"/>
    <w:rsid w:val="004C661E"/>
    <w:rsid w:val="004C6E5C"/>
    <w:rsid w:val="004C7121"/>
    <w:rsid w:val="004C7A49"/>
    <w:rsid w:val="004D083B"/>
    <w:rsid w:val="004D0A6D"/>
    <w:rsid w:val="004D0CAF"/>
    <w:rsid w:val="004D0F77"/>
    <w:rsid w:val="004D1C36"/>
    <w:rsid w:val="004D1FC3"/>
    <w:rsid w:val="004D25EF"/>
    <w:rsid w:val="004D28E6"/>
    <w:rsid w:val="004D2DBD"/>
    <w:rsid w:val="004D3155"/>
    <w:rsid w:val="004D39A7"/>
    <w:rsid w:val="004D39DD"/>
    <w:rsid w:val="004D4221"/>
    <w:rsid w:val="004D4AFA"/>
    <w:rsid w:val="004D4DA4"/>
    <w:rsid w:val="004D5303"/>
    <w:rsid w:val="004D534A"/>
    <w:rsid w:val="004D5429"/>
    <w:rsid w:val="004D5E8E"/>
    <w:rsid w:val="004D6A69"/>
    <w:rsid w:val="004D6CE8"/>
    <w:rsid w:val="004D72EE"/>
    <w:rsid w:val="004D7870"/>
    <w:rsid w:val="004E0A10"/>
    <w:rsid w:val="004E0F4B"/>
    <w:rsid w:val="004E1431"/>
    <w:rsid w:val="004E1764"/>
    <w:rsid w:val="004E1D06"/>
    <w:rsid w:val="004E1F24"/>
    <w:rsid w:val="004E2421"/>
    <w:rsid w:val="004E26B6"/>
    <w:rsid w:val="004E4093"/>
    <w:rsid w:val="004E4366"/>
    <w:rsid w:val="004E5681"/>
    <w:rsid w:val="004E5B66"/>
    <w:rsid w:val="004E5C02"/>
    <w:rsid w:val="004E5F03"/>
    <w:rsid w:val="004E624C"/>
    <w:rsid w:val="004E6730"/>
    <w:rsid w:val="004E69AF"/>
    <w:rsid w:val="004E6A28"/>
    <w:rsid w:val="004E730D"/>
    <w:rsid w:val="004F0F29"/>
    <w:rsid w:val="004F14F8"/>
    <w:rsid w:val="004F1502"/>
    <w:rsid w:val="004F15C2"/>
    <w:rsid w:val="004F3A69"/>
    <w:rsid w:val="004F41CE"/>
    <w:rsid w:val="004F420C"/>
    <w:rsid w:val="004F4841"/>
    <w:rsid w:val="004F4845"/>
    <w:rsid w:val="004F52E4"/>
    <w:rsid w:val="004F573E"/>
    <w:rsid w:val="004F5D2F"/>
    <w:rsid w:val="004F6F93"/>
    <w:rsid w:val="004F6FDE"/>
    <w:rsid w:val="004F71BF"/>
    <w:rsid w:val="004F76D1"/>
    <w:rsid w:val="004F7C5C"/>
    <w:rsid w:val="00500281"/>
    <w:rsid w:val="0050075C"/>
    <w:rsid w:val="00500A53"/>
    <w:rsid w:val="00500E1D"/>
    <w:rsid w:val="005011AE"/>
    <w:rsid w:val="00501389"/>
    <w:rsid w:val="005015E6"/>
    <w:rsid w:val="00501D95"/>
    <w:rsid w:val="0050394A"/>
    <w:rsid w:val="00503E0B"/>
    <w:rsid w:val="005043F6"/>
    <w:rsid w:val="00504761"/>
    <w:rsid w:val="005051A2"/>
    <w:rsid w:val="00505548"/>
    <w:rsid w:val="00505C65"/>
    <w:rsid w:val="00505F0A"/>
    <w:rsid w:val="0050682D"/>
    <w:rsid w:val="005068B7"/>
    <w:rsid w:val="00506CB3"/>
    <w:rsid w:val="00506CB9"/>
    <w:rsid w:val="00506E83"/>
    <w:rsid w:val="00506F3A"/>
    <w:rsid w:val="00507B2E"/>
    <w:rsid w:val="005102D0"/>
    <w:rsid w:val="0051071C"/>
    <w:rsid w:val="00510FA2"/>
    <w:rsid w:val="00511CDD"/>
    <w:rsid w:val="00511FE8"/>
    <w:rsid w:val="005122A2"/>
    <w:rsid w:val="00512A38"/>
    <w:rsid w:val="00512D0D"/>
    <w:rsid w:val="00513105"/>
    <w:rsid w:val="005134C3"/>
    <w:rsid w:val="005137BA"/>
    <w:rsid w:val="0051399C"/>
    <w:rsid w:val="00513A92"/>
    <w:rsid w:val="00513CC6"/>
    <w:rsid w:val="00513E7A"/>
    <w:rsid w:val="00514917"/>
    <w:rsid w:val="00514D62"/>
    <w:rsid w:val="00515AE6"/>
    <w:rsid w:val="00515FC7"/>
    <w:rsid w:val="005164B2"/>
    <w:rsid w:val="005166DE"/>
    <w:rsid w:val="00517028"/>
    <w:rsid w:val="0051753D"/>
    <w:rsid w:val="00517692"/>
    <w:rsid w:val="0051774C"/>
    <w:rsid w:val="00520178"/>
    <w:rsid w:val="00520234"/>
    <w:rsid w:val="00520B35"/>
    <w:rsid w:val="005214AF"/>
    <w:rsid w:val="00521C1A"/>
    <w:rsid w:val="00521FC0"/>
    <w:rsid w:val="00522B6C"/>
    <w:rsid w:val="00522DFB"/>
    <w:rsid w:val="005234E1"/>
    <w:rsid w:val="00524264"/>
    <w:rsid w:val="005245ED"/>
    <w:rsid w:val="00525455"/>
    <w:rsid w:val="00525B4F"/>
    <w:rsid w:val="00525C22"/>
    <w:rsid w:val="0052643B"/>
    <w:rsid w:val="005265BD"/>
    <w:rsid w:val="00526692"/>
    <w:rsid w:val="005272C2"/>
    <w:rsid w:val="005279C9"/>
    <w:rsid w:val="00530307"/>
    <w:rsid w:val="0053048C"/>
    <w:rsid w:val="005306C5"/>
    <w:rsid w:val="00532C76"/>
    <w:rsid w:val="0053311E"/>
    <w:rsid w:val="00533479"/>
    <w:rsid w:val="00533581"/>
    <w:rsid w:val="005336D6"/>
    <w:rsid w:val="00533BF0"/>
    <w:rsid w:val="00533D66"/>
    <w:rsid w:val="0053476A"/>
    <w:rsid w:val="0053602F"/>
    <w:rsid w:val="00536576"/>
    <w:rsid w:val="005365F9"/>
    <w:rsid w:val="00536637"/>
    <w:rsid w:val="00536E8E"/>
    <w:rsid w:val="005375B6"/>
    <w:rsid w:val="00537A49"/>
    <w:rsid w:val="00537B71"/>
    <w:rsid w:val="00537ED5"/>
    <w:rsid w:val="005401A6"/>
    <w:rsid w:val="005402A4"/>
    <w:rsid w:val="005403CA"/>
    <w:rsid w:val="005406C9"/>
    <w:rsid w:val="00541206"/>
    <w:rsid w:val="005412F7"/>
    <w:rsid w:val="00541907"/>
    <w:rsid w:val="005421E0"/>
    <w:rsid w:val="005422A1"/>
    <w:rsid w:val="00542FE6"/>
    <w:rsid w:val="00543A6C"/>
    <w:rsid w:val="00543CAD"/>
    <w:rsid w:val="00544AB0"/>
    <w:rsid w:val="00545631"/>
    <w:rsid w:val="00545FF6"/>
    <w:rsid w:val="00546547"/>
    <w:rsid w:val="005466C7"/>
    <w:rsid w:val="0054679C"/>
    <w:rsid w:val="00546834"/>
    <w:rsid w:val="0054757F"/>
    <w:rsid w:val="005476EE"/>
    <w:rsid w:val="00547941"/>
    <w:rsid w:val="005500FB"/>
    <w:rsid w:val="005507E0"/>
    <w:rsid w:val="00551289"/>
    <w:rsid w:val="005512BB"/>
    <w:rsid w:val="00551498"/>
    <w:rsid w:val="00551C3C"/>
    <w:rsid w:val="0055302B"/>
    <w:rsid w:val="00553F1A"/>
    <w:rsid w:val="00554033"/>
    <w:rsid w:val="00554232"/>
    <w:rsid w:val="00554442"/>
    <w:rsid w:val="0055548A"/>
    <w:rsid w:val="00555906"/>
    <w:rsid w:val="00555ACD"/>
    <w:rsid w:val="0055629F"/>
    <w:rsid w:val="00556DA6"/>
    <w:rsid w:val="00556E2D"/>
    <w:rsid w:val="00557255"/>
    <w:rsid w:val="0055729C"/>
    <w:rsid w:val="00557626"/>
    <w:rsid w:val="005578C4"/>
    <w:rsid w:val="0056157D"/>
    <w:rsid w:val="00561AEE"/>
    <w:rsid w:val="00561C0A"/>
    <w:rsid w:val="005627A8"/>
    <w:rsid w:val="00562AFD"/>
    <w:rsid w:val="00562CCE"/>
    <w:rsid w:val="00563332"/>
    <w:rsid w:val="005638C0"/>
    <w:rsid w:val="00563AD9"/>
    <w:rsid w:val="00565149"/>
    <w:rsid w:val="00566205"/>
    <w:rsid w:val="005668AE"/>
    <w:rsid w:val="005668DF"/>
    <w:rsid w:val="0056720C"/>
    <w:rsid w:val="005676E7"/>
    <w:rsid w:val="0056798F"/>
    <w:rsid w:val="00567C90"/>
    <w:rsid w:val="005702F9"/>
    <w:rsid w:val="00570420"/>
    <w:rsid w:val="0057088C"/>
    <w:rsid w:val="00571030"/>
    <w:rsid w:val="005714BD"/>
    <w:rsid w:val="005720D1"/>
    <w:rsid w:val="00572572"/>
    <w:rsid w:val="0057280C"/>
    <w:rsid w:val="005728FB"/>
    <w:rsid w:val="005734DB"/>
    <w:rsid w:val="00573C38"/>
    <w:rsid w:val="00573CAF"/>
    <w:rsid w:val="00574343"/>
    <w:rsid w:val="00574D62"/>
    <w:rsid w:val="0057596F"/>
    <w:rsid w:val="0057604E"/>
    <w:rsid w:val="00576C18"/>
    <w:rsid w:val="00576D70"/>
    <w:rsid w:val="0057762B"/>
    <w:rsid w:val="00577E8A"/>
    <w:rsid w:val="00580FDF"/>
    <w:rsid w:val="0058261E"/>
    <w:rsid w:val="005829B7"/>
    <w:rsid w:val="00582BEC"/>
    <w:rsid w:val="005830FC"/>
    <w:rsid w:val="0058395F"/>
    <w:rsid w:val="00583CBE"/>
    <w:rsid w:val="00583F40"/>
    <w:rsid w:val="0058451C"/>
    <w:rsid w:val="005852B3"/>
    <w:rsid w:val="0058632B"/>
    <w:rsid w:val="00586B8B"/>
    <w:rsid w:val="00586DBD"/>
    <w:rsid w:val="0058765D"/>
    <w:rsid w:val="00590992"/>
    <w:rsid w:val="005909CE"/>
    <w:rsid w:val="00590A04"/>
    <w:rsid w:val="00591580"/>
    <w:rsid w:val="005933BA"/>
    <w:rsid w:val="005935DB"/>
    <w:rsid w:val="00593890"/>
    <w:rsid w:val="00593B0E"/>
    <w:rsid w:val="00594187"/>
    <w:rsid w:val="00594530"/>
    <w:rsid w:val="005948A0"/>
    <w:rsid w:val="00594C10"/>
    <w:rsid w:val="00595645"/>
    <w:rsid w:val="00595ACB"/>
    <w:rsid w:val="00595FC6"/>
    <w:rsid w:val="00595FCE"/>
    <w:rsid w:val="00596CD8"/>
    <w:rsid w:val="005973DF"/>
    <w:rsid w:val="005976EC"/>
    <w:rsid w:val="00597B52"/>
    <w:rsid w:val="005A030A"/>
    <w:rsid w:val="005A0336"/>
    <w:rsid w:val="005A073C"/>
    <w:rsid w:val="005A0B21"/>
    <w:rsid w:val="005A0E9A"/>
    <w:rsid w:val="005A10C5"/>
    <w:rsid w:val="005A1296"/>
    <w:rsid w:val="005A22BB"/>
    <w:rsid w:val="005A24FF"/>
    <w:rsid w:val="005A26C6"/>
    <w:rsid w:val="005A36F8"/>
    <w:rsid w:val="005A3F7A"/>
    <w:rsid w:val="005A40CB"/>
    <w:rsid w:val="005A46AF"/>
    <w:rsid w:val="005A497B"/>
    <w:rsid w:val="005A4EC7"/>
    <w:rsid w:val="005A62F3"/>
    <w:rsid w:val="005A6A81"/>
    <w:rsid w:val="005A6BD1"/>
    <w:rsid w:val="005A6C7A"/>
    <w:rsid w:val="005A6D97"/>
    <w:rsid w:val="005A6EED"/>
    <w:rsid w:val="005A70A2"/>
    <w:rsid w:val="005A7161"/>
    <w:rsid w:val="005A7C98"/>
    <w:rsid w:val="005B0009"/>
    <w:rsid w:val="005B080F"/>
    <w:rsid w:val="005B104F"/>
    <w:rsid w:val="005B10A2"/>
    <w:rsid w:val="005B10C3"/>
    <w:rsid w:val="005B13CF"/>
    <w:rsid w:val="005B17D7"/>
    <w:rsid w:val="005B1BA0"/>
    <w:rsid w:val="005B3A89"/>
    <w:rsid w:val="005B3D8D"/>
    <w:rsid w:val="005B46C4"/>
    <w:rsid w:val="005B4716"/>
    <w:rsid w:val="005B479E"/>
    <w:rsid w:val="005B60C0"/>
    <w:rsid w:val="005B625B"/>
    <w:rsid w:val="005B6268"/>
    <w:rsid w:val="005B6D8B"/>
    <w:rsid w:val="005B713A"/>
    <w:rsid w:val="005B75FA"/>
    <w:rsid w:val="005B799C"/>
    <w:rsid w:val="005B7B6F"/>
    <w:rsid w:val="005C0C3D"/>
    <w:rsid w:val="005C0DEF"/>
    <w:rsid w:val="005C1380"/>
    <w:rsid w:val="005C146F"/>
    <w:rsid w:val="005C219E"/>
    <w:rsid w:val="005C2947"/>
    <w:rsid w:val="005C2A8C"/>
    <w:rsid w:val="005C2AE3"/>
    <w:rsid w:val="005C3A85"/>
    <w:rsid w:val="005C3ABD"/>
    <w:rsid w:val="005C3CBE"/>
    <w:rsid w:val="005C41B5"/>
    <w:rsid w:val="005C54BF"/>
    <w:rsid w:val="005C5D3C"/>
    <w:rsid w:val="005C5FDA"/>
    <w:rsid w:val="005C665A"/>
    <w:rsid w:val="005C6A57"/>
    <w:rsid w:val="005C6E9C"/>
    <w:rsid w:val="005C754E"/>
    <w:rsid w:val="005C7F76"/>
    <w:rsid w:val="005C7FAA"/>
    <w:rsid w:val="005D014E"/>
    <w:rsid w:val="005D0745"/>
    <w:rsid w:val="005D086B"/>
    <w:rsid w:val="005D0964"/>
    <w:rsid w:val="005D1CBC"/>
    <w:rsid w:val="005D2286"/>
    <w:rsid w:val="005D31E4"/>
    <w:rsid w:val="005D36A3"/>
    <w:rsid w:val="005D3A0D"/>
    <w:rsid w:val="005D3ADC"/>
    <w:rsid w:val="005D52A8"/>
    <w:rsid w:val="005D56B0"/>
    <w:rsid w:val="005D612E"/>
    <w:rsid w:val="005D6FC4"/>
    <w:rsid w:val="005D7357"/>
    <w:rsid w:val="005D7E6B"/>
    <w:rsid w:val="005E07BB"/>
    <w:rsid w:val="005E0F6D"/>
    <w:rsid w:val="005E1493"/>
    <w:rsid w:val="005E19CA"/>
    <w:rsid w:val="005E1D81"/>
    <w:rsid w:val="005E1F2C"/>
    <w:rsid w:val="005E2760"/>
    <w:rsid w:val="005E28E1"/>
    <w:rsid w:val="005E2A03"/>
    <w:rsid w:val="005E2CE9"/>
    <w:rsid w:val="005E32AE"/>
    <w:rsid w:val="005E330C"/>
    <w:rsid w:val="005E43A7"/>
    <w:rsid w:val="005E440B"/>
    <w:rsid w:val="005E49E8"/>
    <w:rsid w:val="005E5693"/>
    <w:rsid w:val="005E5D93"/>
    <w:rsid w:val="005E619C"/>
    <w:rsid w:val="005E67E9"/>
    <w:rsid w:val="005E6DEB"/>
    <w:rsid w:val="005E701B"/>
    <w:rsid w:val="005E7326"/>
    <w:rsid w:val="005E7DF9"/>
    <w:rsid w:val="005F08D9"/>
    <w:rsid w:val="005F114F"/>
    <w:rsid w:val="005F195D"/>
    <w:rsid w:val="005F1C7E"/>
    <w:rsid w:val="005F1C98"/>
    <w:rsid w:val="005F206F"/>
    <w:rsid w:val="005F2F1D"/>
    <w:rsid w:val="005F3094"/>
    <w:rsid w:val="005F348A"/>
    <w:rsid w:val="005F3A54"/>
    <w:rsid w:val="005F3C1A"/>
    <w:rsid w:val="005F48B5"/>
    <w:rsid w:val="005F4A4C"/>
    <w:rsid w:val="005F4E8F"/>
    <w:rsid w:val="005F5AB6"/>
    <w:rsid w:val="005F5BAB"/>
    <w:rsid w:val="005F65A0"/>
    <w:rsid w:val="005F7587"/>
    <w:rsid w:val="005F7AB3"/>
    <w:rsid w:val="006003C9"/>
    <w:rsid w:val="006008A1"/>
    <w:rsid w:val="00600A3C"/>
    <w:rsid w:val="00600B6B"/>
    <w:rsid w:val="00600B8C"/>
    <w:rsid w:val="00600DD7"/>
    <w:rsid w:val="006011FB"/>
    <w:rsid w:val="00601D6A"/>
    <w:rsid w:val="00602960"/>
    <w:rsid w:val="0060298C"/>
    <w:rsid w:val="00602B81"/>
    <w:rsid w:val="00603599"/>
    <w:rsid w:val="00603731"/>
    <w:rsid w:val="0060382F"/>
    <w:rsid w:val="00603E29"/>
    <w:rsid w:val="00604068"/>
    <w:rsid w:val="0060428F"/>
    <w:rsid w:val="0060470E"/>
    <w:rsid w:val="00604BFC"/>
    <w:rsid w:val="006051FE"/>
    <w:rsid w:val="0060532E"/>
    <w:rsid w:val="00605556"/>
    <w:rsid w:val="00605DD3"/>
    <w:rsid w:val="00606D25"/>
    <w:rsid w:val="00606D8F"/>
    <w:rsid w:val="00610397"/>
    <w:rsid w:val="00610C18"/>
    <w:rsid w:val="006118B2"/>
    <w:rsid w:val="00612F21"/>
    <w:rsid w:val="006143B0"/>
    <w:rsid w:val="0061451D"/>
    <w:rsid w:val="006145A5"/>
    <w:rsid w:val="00614D50"/>
    <w:rsid w:val="00614F31"/>
    <w:rsid w:val="00615119"/>
    <w:rsid w:val="00615937"/>
    <w:rsid w:val="00616292"/>
    <w:rsid w:val="00616F9B"/>
    <w:rsid w:val="00617653"/>
    <w:rsid w:val="00617868"/>
    <w:rsid w:val="00617CC1"/>
    <w:rsid w:val="00620155"/>
    <w:rsid w:val="0062030D"/>
    <w:rsid w:val="006204D3"/>
    <w:rsid w:val="0062074D"/>
    <w:rsid w:val="00620A08"/>
    <w:rsid w:val="00620B4F"/>
    <w:rsid w:val="00621B38"/>
    <w:rsid w:val="0062278B"/>
    <w:rsid w:val="00622C71"/>
    <w:rsid w:val="00622F9A"/>
    <w:rsid w:val="0062335F"/>
    <w:rsid w:val="006233CC"/>
    <w:rsid w:val="006233D2"/>
    <w:rsid w:val="00623B0D"/>
    <w:rsid w:val="0062475F"/>
    <w:rsid w:val="006247DD"/>
    <w:rsid w:val="00624972"/>
    <w:rsid w:val="00624C5D"/>
    <w:rsid w:val="00624F85"/>
    <w:rsid w:val="00625CA9"/>
    <w:rsid w:val="0062603D"/>
    <w:rsid w:val="006261E7"/>
    <w:rsid w:val="00626689"/>
    <w:rsid w:val="00626823"/>
    <w:rsid w:val="0062699A"/>
    <w:rsid w:val="0062773D"/>
    <w:rsid w:val="006279CE"/>
    <w:rsid w:val="00630046"/>
    <w:rsid w:val="006319BA"/>
    <w:rsid w:val="006319C5"/>
    <w:rsid w:val="00631B8C"/>
    <w:rsid w:val="00631DE9"/>
    <w:rsid w:val="00631FCE"/>
    <w:rsid w:val="00632BB3"/>
    <w:rsid w:val="006333B5"/>
    <w:rsid w:val="00633449"/>
    <w:rsid w:val="00633646"/>
    <w:rsid w:val="006338A7"/>
    <w:rsid w:val="0063396C"/>
    <w:rsid w:val="00633BF9"/>
    <w:rsid w:val="00633C7E"/>
    <w:rsid w:val="00634EB2"/>
    <w:rsid w:val="0063580A"/>
    <w:rsid w:val="00635BEC"/>
    <w:rsid w:val="00635CBE"/>
    <w:rsid w:val="00635FE6"/>
    <w:rsid w:val="006360EA"/>
    <w:rsid w:val="00636742"/>
    <w:rsid w:val="0063695E"/>
    <w:rsid w:val="00636EDE"/>
    <w:rsid w:val="006371AE"/>
    <w:rsid w:val="00637B8E"/>
    <w:rsid w:val="00637C92"/>
    <w:rsid w:val="00637F6C"/>
    <w:rsid w:val="00640B8F"/>
    <w:rsid w:val="0064121A"/>
    <w:rsid w:val="006413F9"/>
    <w:rsid w:val="00641B4F"/>
    <w:rsid w:val="00642D22"/>
    <w:rsid w:val="00642D58"/>
    <w:rsid w:val="006432A2"/>
    <w:rsid w:val="00643BF9"/>
    <w:rsid w:val="0064417A"/>
    <w:rsid w:val="006441BB"/>
    <w:rsid w:val="0064470E"/>
    <w:rsid w:val="00644999"/>
    <w:rsid w:val="00644A77"/>
    <w:rsid w:val="0064537C"/>
    <w:rsid w:val="00645F5B"/>
    <w:rsid w:val="00646C2B"/>
    <w:rsid w:val="006472C5"/>
    <w:rsid w:val="00647712"/>
    <w:rsid w:val="00647EC0"/>
    <w:rsid w:val="006505B0"/>
    <w:rsid w:val="00651644"/>
    <w:rsid w:val="006518A6"/>
    <w:rsid w:val="006519F3"/>
    <w:rsid w:val="00651ABD"/>
    <w:rsid w:val="00652391"/>
    <w:rsid w:val="00653B26"/>
    <w:rsid w:val="00654705"/>
    <w:rsid w:val="006554D6"/>
    <w:rsid w:val="00656A80"/>
    <w:rsid w:val="00656E23"/>
    <w:rsid w:val="006575E6"/>
    <w:rsid w:val="00657AA1"/>
    <w:rsid w:val="00657DF2"/>
    <w:rsid w:val="00657EED"/>
    <w:rsid w:val="00660D00"/>
    <w:rsid w:val="00660FF2"/>
    <w:rsid w:val="00661AC6"/>
    <w:rsid w:val="00661B0C"/>
    <w:rsid w:val="00662488"/>
    <w:rsid w:val="00662AB9"/>
    <w:rsid w:val="00662B89"/>
    <w:rsid w:val="0066313E"/>
    <w:rsid w:val="00663BD7"/>
    <w:rsid w:val="00663D9F"/>
    <w:rsid w:val="00664741"/>
    <w:rsid w:val="00664778"/>
    <w:rsid w:val="00664B1E"/>
    <w:rsid w:val="00664DCD"/>
    <w:rsid w:val="00665414"/>
    <w:rsid w:val="006660F2"/>
    <w:rsid w:val="006671BE"/>
    <w:rsid w:val="006675CF"/>
    <w:rsid w:val="00667AE5"/>
    <w:rsid w:val="006707E3"/>
    <w:rsid w:val="00670AB8"/>
    <w:rsid w:val="00671039"/>
    <w:rsid w:val="006710C0"/>
    <w:rsid w:val="006716CE"/>
    <w:rsid w:val="00671793"/>
    <w:rsid w:val="00671ECD"/>
    <w:rsid w:val="006730F2"/>
    <w:rsid w:val="006741AF"/>
    <w:rsid w:val="00674415"/>
    <w:rsid w:val="006749F0"/>
    <w:rsid w:val="00674CDA"/>
    <w:rsid w:val="00674F24"/>
    <w:rsid w:val="0067548D"/>
    <w:rsid w:val="00675D7B"/>
    <w:rsid w:val="00676352"/>
    <w:rsid w:val="0068039B"/>
    <w:rsid w:val="006804BA"/>
    <w:rsid w:val="006807FA"/>
    <w:rsid w:val="00680985"/>
    <w:rsid w:val="00680B0E"/>
    <w:rsid w:val="00680DC2"/>
    <w:rsid w:val="00680EB2"/>
    <w:rsid w:val="00680FA5"/>
    <w:rsid w:val="0068142A"/>
    <w:rsid w:val="00681864"/>
    <w:rsid w:val="00681865"/>
    <w:rsid w:val="0068186C"/>
    <w:rsid w:val="0068190E"/>
    <w:rsid w:val="006819E9"/>
    <w:rsid w:val="00681C5D"/>
    <w:rsid w:val="0068209B"/>
    <w:rsid w:val="006820C3"/>
    <w:rsid w:val="0068222B"/>
    <w:rsid w:val="00682394"/>
    <w:rsid w:val="00682AAE"/>
    <w:rsid w:val="00682FDF"/>
    <w:rsid w:val="00683853"/>
    <w:rsid w:val="00684101"/>
    <w:rsid w:val="00684114"/>
    <w:rsid w:val="006846D1"/>
    <w:rsid w:val="00684AA4"/>
    <w:rsid w:val="006852E9"/>
    <w:rsid w:val="00685F95"/>
    <w:rsid w:val="006903D9"/>
    <w:rsid w:val="00691171"/>
    <w:rsid w:val="00692B61"/>
    <w:rsid w:val="00692FAF"/>
    <w:rsid w:val="006931D4"/>
    <w:rsid w:val="0069355A"/>
    <w:rsid w:val="00693924"/>
    <w:rsid w:val="00693B8D"/>
    <w:rsid w:val="006940B0"/>
    <w:rsid w:val="006941AB"/>
    <w:rsid w:val="00694659"/>
    <w:rsid w:val="006953FD"/>
    <w:rsid w:val="00695B35"/>
    <w:rsid w:val="00695D6D"/>
    <w:rsid w:val="006969A4"/>
    <w:rsid w:val="006971C1"/>
    <w:rsid w:val="00697308"/>
    <w:rsid w:val="006A0573"/>
    <w:rsid w:val="006A1271"/>
    <w:rsid w:val="006A221F"/>
    <w:rsid w:val="006A26C0"/>
    <w:rsid w:val="006A26C3"/>
    <w:rsid w:val="006A29BC"/>
    <w:rsid w:val="006A2DC7"/>
    <w:rsid w:val="006A3063"/>
    <w:rsid w:val="006A329F"/>
    <w:rsid w:val="006A4E0D"/>
    <w:rsid w:val="006A4E10"/>
    <w:rsid w:val="006A500F"/>
    <w:rsid w:val="006A5A88"/>
    <w:rsid w:val="006A5CB0"/>
    <w:rsid w:val="006A609A"/>
    <w:rsid w:val="006A6311"/>
    <w:rsid w:val="006A6519"/>
    <w:rsid w:val="006A695F"/>
    <w:rsid w:val="006A6EB6"/>
    <w:rsid w:val="006A7238"/>
    <w:rsid w:val="006A730B"/>
    <w:rsid w:val="006A76B8"/>
    <w:rsid w:val="006A7711"/>
    <w:rsid w:val="006A7D17"/>
    <w:rsid w:val="006B00BC"/>
    <w:rsid w:val="006B024C"/>
    <w:rsid w:val="006B0394"/>
    <w:rsid w:val="006B089E"/>
    <w:rsid w:val="006B0AC3"/>
    <w:rsid w:val="006B109E"/>
    <w:rsid w:val="006B11B3"/>
    <w:rsid w:val="006B1547"/>
    <w:rsid w:val="006B1835"/>
    <w:rsid w:val="006B1BAB"/>
    <w:rsid w:val="006B1EDB"/>
    <w:rsid w:val="006B212E"/>
    <w:rsid w:val="006B24B2"/>
    <w:rsid w:val="006B26D2"/>
    <w:rsid w:val="006B2893"/>
    <w:rsid w:val="006B2B29"/>
    <w:rsid w:val="006B2E87"/>
    <w:rsid w:val="006B3635"/>
    <w:rsid w:val="006B3C28"/>
    <w:rsid w:val="006B3F20"/>
    <w:rsid w:val="006B475F"/>
    <w:rsid w:val="006B4F83"/>
    <w:rsid w:val="006B52AD"/>
    <w:rsid w:val="006B53D9"/>
    <w:rsid w:val="006B5532"/>
    <w:rsid w:val="006B5886"/>
    <w:rsid w:val="006B5E7C"/>
    <w:rsid w:val="006B6456"/>
    <w:rsid w:val="006B66AD"/>
    <w:rsid w:val="006B68FD"/>
    <w:rsid w:val="006B6B99"/>
    <w:rsid w:val="006B6EB1"/>
    <w:rsid w:val="006B7226"/>
    <w:rsid w:val="006B757E"/>
    <w:rsid w:val="006B7E1F"/>
    <w:rsid w:val="006C01C8"/>
    <w:rsid w:val="006C0259"/>
    <w:rsid w:val="006C1254"/>
    <w:rsid w:val="006C1367"/>
    <w:rsid w:val="006C1625"/>
    <w:rsid w:val="006C2146"/>
    <w:rsid w:val="006C2312"/>
    <w:rsid w:val="006C2A0E"/>
    <w:rsid w:val="006C2ACB"/>
    <w:rsid w:val="006C32CA"/>
    <w:rsid w:val="006C37C7"/>
    <w:rsid w:val="006C3822"/>
    <w:rsid w:val="006C38F6"/>
    <w:rsid w:val="006C3D03"/>
    <w:rsid w:val="006C566A"/>
    <w:rsid w:val="006C5B0A"/>
    <w:rsid w:val="006C5F4A"/>
    <w:rsid w:val="006C6753"/>
    <w:rsid w:val="006C6927"/>
    <w:rsid w:val="006C6A69"/>
    <w:rsid w:val="006C7AD0"/>
    <w:rsid w:val="006D0546"/>
    <w:rsid w:val="006D0670"/>
    <w:rsid w:val="006D09BC"/>
    <w:rsid w:val="006D1B74"/>
    <w:rsid w:val="006D1C17"/>
    <w:rsid w:val="006D201D"/>
    <w:rsid w:val="006D292C"/>
    <w:rsid w:val="006D33BF"/>
    <w:rsid w:val="006D3B6F"/>
    <w:rsid w:val="006D3E88"/>
    <w:rsid w:val="006D455A"/>
    <w:rsid w:val="006D45FA"/>
    <w:rsid w:val="006D4756"/>
    <w:rsid w:val="006D5851"/>
    <w:rsid w:val="006D598B"/>
    <w:rsid w:val="006D5B51"/>
    <w:rsid w:val="006D65EC"/>
    <w:rsid w:val="006D6711"/>
    <w:rsid w:val="006D67F1"/>
    <w:rsid w:val="006D6BAC"/>
    <w:rsid w:val="006D6D90"/>
    <w:rsid w:val="006D719B"/>
    <w:rsid w:val="006D723D"/>
    <w:rsid w:val="006D7E7A"/>
    <w:rsid w:val="006E1010"/>
    <w:rsid w:val="006E1838"/>
    <w:rsid w:val="006E197D"/>
    <w:rsid w:val="006E1DC4"/>
    <w:rsid w:val="006E2084"/>
    <w:rsid w:val="006E2411"/>
    <w:rsid w:val="006E3614"/>
    <w:rsid w:val="006E3D3A"/>
    <w:rsid w:val="006E3F9A"/>
    <w:rsid w:val="006E41CA"/>
    <w:rsid w:val="006E433E"/>
    <w:rsid w:val="006E4E5C"/>
    <w:rsid w:val="006E5599"/>
    <w:rsid w:val="006E55B8"/>
    <w:rsid w:val="006E5729"/>
    <w:rsid w:val="006E578A"/>
    <w:rsid w:val="006E5E13"/>
    <w:rsid w:val="006E64BB"/>
    <w:rsid w:val="006E6615"/>
    <w:rsid w:val="006E66D4"/>
    <w:rsid w:val="006E7162"/>
    <w:rsid w:val="006E7921"/>
    <w:rsid w:val="006E7B61"/>
    <w:rsid w:val="006F09C5"/>
    <w:rsid w:val="006F0C3F"/>
    <w:rsid w:val="006F1C3A"/>
    <w:rsid w:val="006F1C61"/>
    <w:rsid w:val="006F2039"/>
    <w:rsid w:val="006F2A9E"/>
    <w:rsid w:val="006F31FB"/>
    <w:rsid w:val="006F36B3"/>
    <w:rsid w:val="006F36EF"/>
    <w:rsid w:val="006F3950"/>
    <w:rsid w:val="006F407A"/>
    <w:rsid w:val="006F442A"/>
    <w:rsid w:val="006F5785"/>
    <w:rsid w:val="006F57AE"/>
    <w:rsid w:val="006F5DA7"/>
    <w:rsid w:val="006F6F6F"/>
    <w:rsid w:val="006F703A"/>
    <w:rsid w:val="006F71DD"/>
    <w:rsid w:val="006F72B2"/>
    <w:rsid w:val="006F7B0F"/>
    <w:rsid w:val="006F7D65"/>
    <w:rsid w:val="0070009D"/>
    <w:rsid w:val="00700156"/>
    <w:rsid w:val="007007C3"/>
    <w:rsid w:val="0070138B"/>
    <w:rsid w:val="007019D2"/>
    <w:rsid w:val="00702421"/>
    <w:rsid w:val="00702A56"/>
    <w:rsid w:val="00702E9D"/>
    <w:rsid w:val="007034AB"/>
    <w:rsid w:val="00704012"/>
    <w:rsid w:val="00704653"/>
    <w:rsid w:val="0070469A"/>
    <w:rsid w:val="00704852"/>
    <w:rsid w:val="00704F2E"/>
    <w:rsid w:val="00704F60"/>
    <w:rsid w:val="007053E7"/>
    <w:rsid w:val="007053EB"/>
    <w:rsid w:val="00705566"/>
    <w:rsid w:val="00705BAA"/>
    <w:rsid w:val="0070658C"/>
    <w:rsid w:val="007075DD"/>
    <w:rsid w:val="0070781C"/>
    <w:rsid w:val="00707B9D"/>
    <w:rsid w:val="007100CF"/>
    <w:rsid w:val="007106DA"/>
    <w:rsid w:val="0071078A"/>
    <w:rsid w:val="0071089F"/>
    <w:rsid w:val="007108D6"/>
    <w:rsid w:val="00710906"/>
    <w:rsid w:val="00711067"/>
    <w:rsid w:val="00711355"/>
    <w:rsid w:val="007120F1"/>
    <w:rsid w:val="00712565"/>
    <w:rsid w:val="00712667"/>
    <w:rsid w:val="007128C9"/>
    <w:rsid w:val="00713007"/>
    <w:rsid w:val="007133F5"/>
    <w:rsid w:val="0071359E"/>
    <w:rsid w:val="0071402F"/>
    <w:rsid w:val="00714368"/>
    <w:rsid w:val="007144FA"/>
    <w:rsid w:val="0071471F"/>
    <w:rsid w:val="00715940"/>
    <w:rsid w:val="00715DBE"/>
    <w:rsid w:val="007169F6"/>
    <w:rsid w:val="00716AF9"/>
    <w:rsid w:val="00716B41"/>
    <w:rsid w:val="00716BFD"/>
    <w:rsid w:val="00717570"/>
    <w:rsid w:val="0071770F"/>
    <w:rsid w:val="00717F83"/>
    <w:rsid w:val="007204E9"/>
    <w:rsid w:val="00720639"/>
    <w:rsid w:val="00720792"/>
    <w:rsid w:val="007207C2"/>
    <w:rsid w:val="00720C93"/>
    <w:rsid w:val="007210F7"/>
    <w:rsid w:val="00721473"/>
    <w:rsid w:val="00721488"/>
    <w:rsid w:val="00721F5A"/>
    <w:rsid w:val="00722007"/>
    <w:rsid w:val="007222B1"/>
    <w:rsid w:val="0072354A"/>
    <w:rsid w:val="00723FA8"/>
    <w:rsid w:val="00724368"/>
    <w:rsid w:val="00724786"/>
    <w:rsid w:val="00724CF0"/>
    <w:rsid w:val="00724DA3"/>
    <w:rsid w:val="00725068"/>
    <w:rsid w:val="007251F3"/>
    <w:rsid w:val="007254E8"/>
    <w:rsid w:val="00725C73"/>
    <w:rsid w:val="00725DB8"/>
    <w:rsid w:val="00726196"/>
    <w:rsid w:val="00726A5D"/>
    <w:rsid w:val="00726E17"/>
    <w:rsid w:val="00726EB9"/>
    <w:rsid w:val="007272D5"/>
    <w:rsid w:val="00727A6A"/>
    <w:rsid w:val="00727C0D"/>
    <w:rsid w:val="00730A07"/>
    <w:rsid w:val="007313CF"/>
    <w:rsid w:val="00731C1F"/>
    <w:rsid w:val="00731EDB"/>
    <w:rsid w:val="007324D7"/>
    <w:rsid w:val="00732B2D"/>
    <w:rsid w:val="00732B72"/>
    <w:rsid w:val="00732DC3"/>
    <w:rsid w:val="00732DF0"/>
    <w:rsid w:val="00734AB3"/>
    <w:rsid w:val="00735152"/>
    <w:rsid w:val="0073533C"/>
    <w:rsid w:val="0073589E"/>
    <w:rsid w:val="00735A84"/>
    <w:rsid w:val="00736B66"/>
    <w:rsid w:val="00736F22"/>
    <w:rsid w:val="00737D92"/>
    <w:rsid w:val="0074014E"/>
    <w:rsid w:val="007407D8"/>
    <w:rsid w:val="00740E7D"/>
    <w:rsid w:val="0074103D"/>
    <w:rsid w:val="007412BE"/>
    <w:rsid w:val="00741A8B"/>
    <w:rsid w:val="00741E22"/>
    <w:rsid w:val="007426FD"/>
    <w:rsid w:val="00742A48"/>
    <w:rsid w:val="00742E3A"/>
    <w:rsid w:val="00743865"/>
    <w:rsid w:val="00744120"/>
    <w:rsid w:val="007442DE"/>
    <w:rsid w:val="00744798"/>
    <w:rsid w:val="00745242"/>
    <w:rsid w:val="00745511"/>
    <w:rsid w:val="007457AC"/>
    <w:rsid w:val="007461B0"/>
    <w:rsid w:val="00746971"/>
    <w:rsid w:val="0074707D"/>
    <w:rsid w:val="00747195"/>
    <w:rsid w:val="007471C0"/>
    <w:rsid w:val="007472A1"/>
    <w:rsid w:val="007474C6"/>
    <w:rsid w:val="00750B05"/>
    <w:rsid w:val="00751660"/>
    <w:rsid w:val="0075169B"/>
    <w:rsid w:val="00751760"/>
    <w:rsid w:val="00751A58"/>
    <w:rsid w:val="00751A95"/>
    <w:rsid w:val="00752154"/>
    <w:rsid w:val="007524DE"/>
    <w:rsid w:val="00752901"/>
    <w:rsid w:val="00752BCC"/>
    <w:rsid w:val="007533EE"/>
    <w:rsid w:val="00753B8F"/>
    <w:rsid w:val="00753F48"/>
    <w:rsid w:val="00754538"/>
    <w:rsid w:val="00754664"/>
    <w:rsid w:val="0075476F"/>
    <w:rsid w:val="00754D7E"/>
    <w:rsid w:val="00755AC8"/>
    <w:rsid w:val="00756136"/>
    <w:rsid w:val="007569E5"/>
    <w:rsid w:val="007570EF"/>
    <w:rsid w:val="00761212"/>
    <w:rsid w:val="00761BEE"/>
    <w:rsid w:val="00761FC7"/>
    <w:rsid w:val="00762178"/>
    <w:rsid w:val="007622F2"/>
    <w:rsid w:val="00762801"/>
    <w:rsid w:val="00763A89"/>
    <w:rsid w:val="00763BA4"/>
    <w:rsid w:val="007645CD"/>
    <w:rsid w:val="0076469F"/>
    <w:rsid w:val="007646E7"/>
    <w:rsid w:val="00764A7B"/>
    <w:rsid w:val="00764F35"/>
    <w:rsid w:val="00764F78"/>
    <w:rsid w:val="0076542F"/>
    <w:rsid w:val="00765A68"/>
    <w:rsid w:val="0076642C"/>
    <w:rsid w:val="0076675D"/>
    <w:rsid w:val="0076767F"/>
    <w:rsid w:val="00767FF9"/>
    <w:rsid w:val="0077015C"/>
    <w:rsid w:val="00770176"/>
    <w:rsid w:val="00770FE8"/>
    <w:rsid w:val="00772342"/>
    <w:rsid w:val="007727A1"/>
    <w:rsid w:val="00772AD8"/>
    <w:rsid w:val="00772DE1"/>
    <w:rsid w:val="00774477"/>
    <w:rsid w:val="007744CA"/>
    <w:rsid w:val="00774901"/>
    <w:rsid w:val="0077532F"/>
    <w:rsid w:val="007754DF"/>
    <w:rsid w:val="007759EB"/>
    <w:rsid w:val="007762E9"/>
    <w:rsid w:val="00776813"/>
    <w:rsid w:val="007768D2"/>
    <w:rsid w:val="00776CFB"/>
    <w:rsid w:val="00777D88"/>
    <w:rsid w:val="0078066B"/>
    <w:rsid w:val="00780DE0"/>
    <w:rsid w:val="0078186B"/>
    <w:rsid w:val="00782C8B"/>
    <w:rsid w:val="00782CFB"/>
    <w:rsid w:val="00783304"/>
    <w:rsid w:val="0078494A"/>
    <w:rsid w:val="00784A80"/>
    <w:rsid w:val="00785873"/>
    <w:rsid w:val="007858DB"/>
    <w:rsid w:val="00786DFB"/>
    <w:rsid w:val="00786F70"/>
    <w:rsid w:val="007870B3"/>
    <w:rsid w:val="0078738E"/>
    <w:rsid w:val="007878A4"/>
    <w:rsid w:val="00787EE0"/>
    <w:rsid w:val="00790BD4"/>
    <w:rsid w:val="00790CB9"/>
    <w:rsid w:val="007915F6"/>
    <w:rsid w:val="007916E3"/>
    <w:rsid w:val="007916EF"/>
    <w:rsid w:val="00792019"/>
    <w:rsid w:val="0079249F"/>
    <w:rsid w:val="007934E1"/>
    <w:rsid w:val="00793F8C"/>
    <w:rsid w:val="00794102"/>
    <w:rsid w:val="007944D5"/>
    <w:rsid w:val="0079546C"/>
    <w:rsid w:val="007956C6"/>
    <w:rsid w:val="0079592B"/>
    <w:rsid w:val="0079648B"/>
    <w:rsid w:val="007966D7"/>
    <w:rsid w:val="00797310"/>
    <w:rsid w:val="0079752F"/>
    <w:rsid w:val="007977EE"/>
    <w:rsid w:val="00797880"/>
    <w:rsid w:val="007A04F5"/>
    <w:rsid w:val="007A07B5"/>
    <w:rsid w:val="007A0F51"/>
    <w:rsid w:val="007A1E58"/>
    <w:rsid w:val="007A20FD"/>
    <w:rsid w:val="007A2474"/>
    <w:rsid w:val="007A2933"/>
    <w:rsid w:val="007A2A9A"/>
    <w:rsid w:val="007A2C56"/>
    <w:rsid w:val="007A2C58"/>
    <w:rsid w:val="007A345D"/>
    <w:rsid w:val="007A3FA8"/>
    <w:rsid w:val="007A455A"/>
    <w:rsid w:val="007A4730"/>
    <w:rsid w:val="007A4EDF"/>
    <w:rsid w:val="007A55BA"/>
    <w:rsid w:val="007A5878"/>
    <w:rsid w:val="007A6599"/>
    <w:rsid w:val="007A6764"/>
    <w:rsid w:val="007A6D63"/>
    <w:rsid w:val="007A7B9B"/>
    <w:rsid w:val="007A7CC7"/>
    <w:rsid w:val="007A7CF8"/>
    <w:rsid w:val="007A7E24"/>
    <w:rsid w:val="007B066F"/>
    <w:rsid w:val="007B09CB"/>
    <w:rsid w:val="007B0DF5"/>
    <w:rsid w:val="007B0F4D"/>
    <w:rsid w:val="007B1458"/>
    <w:rsid w:val="007B29C3"/>
    <w:rsid w:val="007B2A96"/>
    <w:rsid w:val="007B2FB0"/>
    <w:rsid w:val="007B34DF"/>
    <w:rsid w:val="007B3931"/>
    <w:rsid w:val="007B3E16"/>
    <w:rsid w:val="007B4271"/>
    <w:rsid w:val="007B4ABE"/>
    <w:rsid w:val="007B5304"/>
    <w:rsid w:val="007B54FC"/>
    <w:rsid w:val="007B6502"/>
    <w:rsid w:val="007B6805"/>
    <w:rsid w:val="007B69FB"/>
    <w:rsid w:val="007B6B3B"/>
    <w:rsid w:val="007B6F5A"/>
    <w:rsid w:val="007B7A9D"/>
    <w:rsid w:val="007B7EA4"/>
    <w:rsid w:val="007B7FDE"/>
    <w:rsid w:val="007C0063"/>
    <w:rsid w:val="007C033C"/>
    <w:rsid w:val="007C0486"/>
    <w:rsid w:val="007C0B39"/>
    <w:rsid w:val="007C134B"/>
    <w:rsid w:val="007C13C8"/>
    <w:rsid w:val="007C1C2E"/>
    <w:rsid w:val="007C210F"/>
    <w:rsid w:val="007C2C1B"/>
    <w:rsid w:val="007C2D69"/>
    <w:rsid w:val="007C2F39"/>
    <w:rsid w:val="007C3678"/>
    <w:rsid w:val="007C38B6"/>
    <w:rsid w:val="007C39B7"/>
    <w:rsid w:val="007C3E9B"/>
    <w:rsid w:val="007C44A5"/>
    <w:rsid w:val="007C4CAE"/>
    <w:rsid w:val="007C53EC"/>
    <w:rsid w:val="007C53F4"/>
    <w:rsid w:val="007C540C"/>
    <w:rsid w:val="007C7951"/>
    <w:rsid w:val="007C7CDE"/>
    <w:rsid w:val="007C7E23"/>
    <w:rsid w:val="007C7FC0"/>
    <w:rsid w:val="007D0D40"/>
    <w:rsid w:val="007D100D"/>
    <w:rsid w:val="007D200A"/>
    <w:rsid w:val="007D222E"/>
    <w:rsid w:val="007D22A3"/>
    <w:rsid w:val="007D257C"/>
    <w:rsid w:val="007D25A1"/>
    <w:rsid w:val="007D3A82"/>
    <w:rsid w:val="007D3EE2"/>
    <w:rsid w:val="007D466C"/>
    <w:rsid w:val="007D5023"/>
    <w:rsid w:val="007D5927"/>
    <w:rsid w:val="007D5C3F"/>
    <w:rsid w:val="007D5F49"/>
    <w:rsid w:val="007D6592"/>
    <w:rsid w:val="007D6828"/>
    <w:rsid w:val="007D6B57"/>
    <w:rsid w:val="007D6E37"/>
    <w:rsid w:val="007D73D0"/>
    <w:rsid w:val="007D74E7"/>
    <w:rsid w:val="007D7D4D"/>
    <w:rsid w:val="007D7DFE"/>
    <w:rsid w:val="007E0555"/>
    <w:rsid w:val="007E0AA6"/>
    <w:rsid w:val="007E14EE"/>
    <w:rsid w:val="007E2770"/>
    <w:rsid w:val="007E347B"/>
    <w:rsid w:val="007E37E1"/>
    <w:rsid w:val="007E3B3B"/>
    <w:rsid w:val="007E3DD9"/>
    <w:rsid w:val="007E40F6"/>
    <w:rsid w:val="007E51D9"/>
    <w:rsid w:val="007E671C"/>
    <w:rsid w:val="007E6999"/>
    <w:rsid w:val="007E6EA1"/>
    <w:rsid w:val="007E6ECE"/>
    <w:rsid w:val="007E70A8"/>
    <w:rsid w:val="007E7765"/>
    <w:rsid w:val="007E792C"/>
    <w:rsid w:val="007F017C"/>
    <w:rsid w:val="007F018A"/>
    <w:rsid w:val="007F0B5B"/>
    <w:rsid w:val="007F0C43"/>
    <w:rsid w:val="007F13B3"/>
    <w:rsid w:val="007F16B9"/>
    <w:rsid w:val="007F2CB8"/>
    <w:rsid w:val="007F2FD4"/>
    <w:rsid w:val="007F33F8"/>
    <w:rsid w:val="007F488F"/>
    <w:rsid w:val="007F5925"/>
    <w:rsid w:val="007F6B4D"/>
    <w:rsid w:val="007F6B67"/>
    <w:rsid w:val="007F751C"/>
    <w:rsid w:val="0080063E"/>
    <w:rsid w:val="008008FF"/>
    <w:rsid w:val="00800CF6"/>
    <w:rsid w:val="00800F02"/>
    <w:rsid w:val="00801484"/>
    <w:rsid w:val="008016F2"/>
    <w:rsid w:val="00801905"/>
    <w:rsid w:val="00801F6E"/>
    <w:rsid w:val="00801FB0"/>
    <w:rsid w:val="00802471"/>
    <w:rsid w:val="008027DF"/>
    <w:rsid w:val="00802D85"/>
    <w:rsid w:val="00803309"/>
    <w:rsid w:val="00803DFF"/>
    <w:rsid w:val="008041FA"/>
    <w:rsid w:val="008043BC"/>
    <w:rsid w:val="00804855"/>
    <w:rsid w:val="00804AD2"/>
    <w:rsid w:val="00804B93"/>
    <w:rsid w:val="00805C60"/>
    <w:rsid w:val="0080606A"/>
    <w:rsid w:val="00806DF3"/>
    <w:rsid w:val="00807834"/>
    <w:rsid w:val="00810033"/>
    <w:rsid w:val="00810877"/>
    <w:rsid w:val="00810D31"/>
    <w:rsid w:val="008111FE"/>
    <w:rsid w:val="00811760"/>
    <w:rsid w:val="00811BAE"/>
    <w:rsid w:val="00811FFA"/>
    <w:rsid w:val="00812032"/>
    <w:rsid w:val="0081288C"/>
    <w:rsid w:val="00812DF6"/>
    <w:rsid w:val="008132DE"/>
    <w:rsid w:val="00813B88"/>
    <w:rsid w:val="00813BE4"/>
    <w:rsid w:val="0081422E"/>
    <w:rsid w:val="00814557"/>
    <w:rsid w:val="0081491B"/>
    <w:rsid w:val="00815307"/>
    <w:rsid w:val="00816677"/>
    <w:rsid w:val="00816A8C"/>
    <w:rsid w:val="008172D2"/>
    <w:rsid w:val="0081762E"/>
    <w:rsid w:val="00817DAA"/>
    <w:rsid w:val="0082048A"/>
    <w:rsid w:val="008204D7"/>
    <w:rsid w:val="00820CCE"/>
    <w:rsid w:val="0082112D"/>
    <w:rsid w:val="008212D6"/>
    <w:rsid w:val="008215E4"/>
    <w:rsid w:val="008229EA"/>
    <w:rsid w:val="00822F4D"/>
    <w:rsid w:val="008231A9"/>
    <w:rsid w:val="008232AD"/>
    <w:rsid w:val="008234FA"/>
    <w:rsid w:val="00823F49"/>
    <w:rsid w:val="008240ED"/>
    <w:rsid w:val="008245CB"/>
    <w:rsid w:val="00824D00"/>
    <w:rsid w:val="0082692F"/>
    <w:rsid w:val="00826BCF"/>
    <w:rsid w:val="00826FAE"/>
    <w:rsid w:val="00830864"/>
    <w:rsid w:val="00830987"/>
    <w:rsid w:val="00831068"/>
    <w:rsid w:val="0083114A"/>
    <w:rsid w:val="0083128A"/>
    <w:rsid w:val="0083179D"/>
    <w:rsid w:val="0083190E"/>
    <w:rsid w:val="00831AC0"/>
    <w:rsid w:val="00831AC1"/>
    <w:rsid w:val="008325AB"/>
    <w:rsid w:val="00832746"/>
    <w:rsid w:val="00832C05"/>
    <w:rsid w:val="0083377B"/>
    <w:rsid w:val="008337DC"/>
    <w:rsid w:val="008338DF"/>
    <w:rsid w:val="00834512"/>
    <w:rsid w:val="00834F99"/>
    <w:rsid w:val="00835DBC"/>
    <w:rsid w:val="0083625E"/>
    <w:rsid w:val="00836B81"/>
    <w:rsid w:val="00836BF0"/>
    <w:rsid w:val="00836DDA"/>
    <w:rsid w:val="0083703B"/>
    <w:rsid w:val="00837605"/>
    <w:rsid w:val="00837CE2"/>
    <w:rsid w:val="00837F2E"/>
    <w:rsid w:val="00840133"/>
    <w:rsid w:val="00840BED"/>
    <w:rsid w:val="008420D3"/>
    <w:rsid w:val="008422D3"/>
    <w:rsid w:val="00842CD1"/>
    <w:rsid w:val="00842F8B"/>
    <w:rsid w:val="00843343"/>
    <w:rsid w:val="00843D01"/>
    <w:rsid w:val="0084452A"/>
    <w:rsid w:val="0084459C"/>
    <w:rsid w:val="00844AF8"/>
    <w:rsid w:val="008454A6"/>
    <w:rsid w:val="0084581C"/>
    <w:rsid w:val="00845B8B"/>
    <w:rsid w:val="00846D52"/>
    <w:rsid w:val="00846D9D"/>
    <w:rsid w:val="00847487"/>
    <w:rsid w:val="008475D3"/>
    <w:rsid w:val="00850578"/>
    <w:rsid w:val="008510E3"/>
    <w:rsid w:val="008519B8"/>
    <w:rsid w:val="00852905"/>
    <w:rsid w:val="00852C32"/>
    <w:rsid w:val="00853274"/>
    <w:rsid w:val="00855160"/>
    <w:rsid w:val="0085595B"/>
    <w:rsid w:val="00855EC7"/>
    <w:rsid w:val="00856626"/>
    <w:rsid w:val="00856676"/>
    <w:rsid w:val="008567B8"/>
    <w:rsid w:val="00856DAE"/>
    <w:rsid w:val="00856FC8"/>
    <w:rsid w:val="008570CF"/>
    <w:rsid w:val="00857258"/>
    <w:rsid w:val="008577C4"/>
    <w:rsid w:val="00857837"/>
    <w:rsid w:val="00857D9A"/>
    <w:rsid w:val="008604B8"/>
    <w:rsid w:val="0086066B"/>
    <w:rsid w:val="008606B2"/>
    <w:rsid w:val="00860BB9"/>
    <w:rsid w:val="0086200C"/>
    <w:rsid w:val="00862678"/>
    <w:rsid w:val="0086283F"/>
    <w:rsid w:val="008628CB"/>
    <w:rsid w:val="00862A10"/>
    <w:rsid w:val="00862C06"/>
    <w:rsid w:val="00862CE1"/>
    <w:rsid w:val="00863173"/>
    <w:rsid w:val="00864866"/>
    <w:rsid w:val="00864999"/>
    <w:rsid w:val="00864FB9"/>
    <w:rsid w:val="008650A1"/>
    <w:rsid w:val="00865168"/>
    <w:rsid w:val="00865428"/>
    <w:rsid w:val="0086569C"/>
    <w:rsid w:val="00866346"/>
    <w:rsid w:val="008665F9"/>
    <w:rsid w:val="00866DE2"/>
    <w:rsid w:val="00867089"/>
    <w:rsid w:val="0087095A"/>
    <w:rsid w:val="008714EE"/>
    <w:rsid w:val="00871531"/>
    <w:rsid w:val="008715E8"/>
    <w:rsid w:val="00871E9B"/>
    <w:rsid w:val="00871E9C"/>
    <w:rsid w:val="0087277D"/>
    <w:rsid w:val="008727E9"/>
    <w:rsid w:val="0087322F"/>
    <w:rsid w:val="00874068"/>
    <w:rsid w:val="00874747"/>
    <w:rsid w:val="008748C0"/>
    <w:rsid w:val="00875484"/>
    <w:rsid w:val="00875BD2"/>
    <w:rsid w:val="00875D37"/>
    <w:rsid w:val="00875DBA"/>
    <w:rsid w:val="00876A2C"/>
    <w:rsid w:val="00877EE6"/>
    <w:rsid w:val="008800A2"/>
    <w:rsid w:val="008811BB"/>
    <w:rsid w:val="00882704"/>
    <w:rsid w:val="008829D9"/>
    <w:rsid w:val="00882AF5"/>
    <w:rsid w:val="00882B25"/>
    <w:rsid w:val="00882F92"/>
    <w:rsid w:val="00883D85"/>
    <w:rsid w:val="00884379"/>
    <w:rsid w:val="00884B14"/>
    <w:rsid w:val="00884E13"/>
    <w:rsid w:val="00885657"/>
    <w:rsid w:val="00886170"/>
    <w:rsid w:val="008866B1"/>
    <w:rsid w:val="008866E1"/>
    <w:rsid w:val="008868F0"/>
    <w:rsid w:val="00886AE8"/>
    <w:rsid w:val="00886B52"/>
    <w:rsid w:val="00886D4A"/>
    <w:rsid w:val="00887958"/>
    <w:rsid w:val="008879B6"/>
    <w:rsid w:val="008879F9"/>
    <w:rsid w:val="008903D8"/>
    <w:rsid w:val="008904A3"/>
    <w:rsid w:val="00890809"/>
    <w:rsid w:val="00890943"/>
    <w:rsid w:val="008909E4"/>
    <w:rsid w:val="00891561"/>
    <w:rsid w:val="00891711"/>
    <w:rsid w:val="00892078"/>
    <w:rsid w:val="0089244F"/>
    <w:rsid w:val="00892721"/>
    <w:rsid w:val="00892E62"/>
    <w:rsid w:val="008946B6"/>
    <w:rsid w:val="00894C97"/>
    <w:rsid w:val="0089650B"/>
    <w:rsid w:val="00896B23"/>
    <w:rsid w:val="008A08D2"/>
    <w:rsid w:val="008A0ACC"/>
    <w:rsid w:val="008A0DDA"/>
    <w:rsid w:val="008A0DDD"/>
    <w:rsid w:val="008A20E8"/>
    <w:rsid w:val="008A2165"/>
    <w:rsid w:val="008A22D0"/>
    <w:rsid w:val="008A2D62"/>
    <w:rsid w:val="008A2D91"/>
    <w:rsid w:val="008A3223"/>
    <w:rsid w:val="008A35FE"/>
    <w:rsid w:val="008A3A62"/>
    <w:rsid w:val="008A3DCD"/>
    <w:rsid w:val="008A414E"/>
    <w:rsid w:val="008A41A8"/>
    <w:rsid w:val="008A4279"/>
    <w:rsid w:val="008A4507"/>
    <w:rsid w:val="008A5C00"/>
    <w:rsid w:val="008A6139"/>
    <w:rsid w:val="008A6748"/>
    <w:rsid w:val="008A6CC1"/>
    <w:rsid w:val="008A7110"/>
    <w:rsid w:val="008A764F"/>
    <w:rsid w:val="008A799B"/>
    <w:rsid w:val="008A7A23"/>
    <w:rsid w:val="008B03FD"/>
    <w:rsid w:val="008B0DA7"/>
    <w:rsid w:val="008B13EA"/>
    <w:rsid w:val="008B147E"/>
    <w:rsid w:val="008B1B07"/>
    <w:rsid w:val="008B2F4A"/>
    <w:rsid w:val="008B33C8"/>
    <w:rsid w:val="008B3911"/>
    <w:rsid w:val="008B3AE4"/>
    <w:rsid w:val="008B3FBF"/>
    <w:rsid w:val="008B4257"/>
    <w:rsid w:val="008B4536"/>
    <w:rsid w:val="008B45AE"/>
    <w:rsid w:val="008B52C3"/>
    <w:rsid w:val="008B538A"/>
    <w:rsid w:val="008B5D6D"/>
    <w:rsid w:val="008B5D85"/>
    <w:rsid w:val="008B6470"/>
    <w:rsid w:val="008B6F38"/>
    <w:rsid w:val="008B7C18"/>
    <w:rsid w:val="008C2403"/>
    <w:rsid w:val="008C3BDE"/>
    <w:rsid w:val="008C41FF"/>
    <w:rsid w:val="008C499A"/>
    <w:rsid w:val="008C60F6"/>
    <w:rsid w:val="008C6A1F"/>
    <w:rsid w:val="008C6F34"/>
    <w:rsid w:val="008C6FC6"/>
    <w:rsid w:val="008C739B"/>
    <w:rsid w:val="008D02C1"/>
    <w:rsid w:val="008D09C5"/>
    <w:rsid w:val="008D0CBD"/>
    <w:rsid w:val="008D0E96"/>
    <w:rsid w:val="008D1267"/>
    <w:rsid w:val="008D1590"/>
    <w:rsid w:val="008D1E01"/>
    <w:rsid w:val="008D203C"/>
    <w:rsid w:val="008D2B40"/>
    <w:rsid w:val="008D2BCB"/>
    <w:rsid w:val="008D2CFE"/>
    <w:rsid w:val="008D2E6D"/>
    <w:rsid w:val="008D3097"/>
    <w:rsid w:val="008D353D"/>
    <w:rsid w:val="008D402A"/>
    <w:rsid w:val="008D46ED"/>
    <w:rsid w:val="008D539D"/>
    <w:rsid w:val="008D6333"/>
    <w:rsid w:val="008D63BA"/>
    <w:rsid w:val="008D696B"/>
    <w:rsid w:val="008D7137"/>
    <w:rsid w:val="008D7535"/>
    <w:rsid w:val="008D75EA"/>
    <w:rsid w:val="008D7DB8"/>
    <w:rsid w:val="008D7E52"/>
    <w:rsid w:val="008E1286"/>
    <w:rsid w:val="008E13F5"/>
    <w:rsid w:val="008E142E"/>
    <w:rsid w:val="008E154F"/>
    <w:rsid w:val="008E16B2"/>
    <w:rsid w:val="008E1E6B"/>
    <w:rsid w:val="008E23B8"/>
    <w:rsid w:val="008E23D3"/>
    <w:rsid w:val="008E2A3E"/>
    <w:rsid w:val="008E2A8E"/>
    <w:rsid w:val="008E357C"/>
    <w:rsid w:val="008E42EF"/>
    <w:rsid w:val="008E536F"/>
    <w:rsid w:val="008E54A8"/>
    <w:rsid w:val="008E54CF"/>
    <w:rsid w:val="008E5546"/>
    <w:rsid w:val="008E5561"/>
    <w:rsid w:val="008E56A2"/>
    <w:rsid w:val="008E5B59"/>
    <w:rsid w:val="008E617D"/>
    <w:rsid w:val="008E6615"/>
    <w:rsid w:val="008E6A6A"/>
    <w:rsid w:val="008E6AEC"/>
    <w:rsid w:val="008E77EE"/>
    <w:rsid w:val="008E7B4E"/>
    <w:rsid w:val="008E7C00"/>
    <w:rsid w:val="008F04F4"/>
    <w:rsid w:val="008F0657"/>
    <w:rsid w:val="008F0B93"/>
    <w:rsid w:val="008F1259"/>
    <w:rsid w:val="008F1697"/>
    <w:rsid w:val="008F1BDF"/>
    <w:rsid w:val="008F1E30"/>
    <w:rsid w:val="008F263A"/>
    <w:rsid w:val="008F2B98"/>
    <w:rsid w:val="008F2D01"/>
    <w:rsid w:val="008F31E3"/>
    <w:rsid w:val="008F3EF6"/>
    <w:rsid w:val="008F417C"/>
    <w:rsid w:val="008F4368"/>
    <w:rsid w:val="008F4733"/>
    <w:rsid w:val="008F47B0"/>
    <w:rsid w:val="008F6720"/>
    <w:rsid w:val="008F77E0"/>
    <w:rsid w:val="00900674"/>
    <w:rsid w:val="0090070A"/>
    <w:rsid w:val="009026A2"/>
    <w:rsid w:val="00902864"/>
    <w:rsid w:val="00903617"/>
    <w:rsid w:val="00903637"/>
    <w:rsid w:val="0090395B"/>
    <w:rsid w:val="00903FFD"/>
    <w:rsid w:val="0090408D"/>
    <w:rsid w:val="00905AA0"/>
    <w:rsid w:val="00906172"/>
    <w:rsid w:val="00906CDD"/>
    <w:rsid w:val="00907A5A"/>
    <w:rsid w:val="0091013A"/>
    <w:rsid w:val="00910499"/>
    <w:rsid w:val="009105A8"/>
    <w:rsid w:val="00910BDF"/>
    <w:rsid w:val="0091122E"/>
    <w:rsid w:val="0091168D"/>
    <w:rsid w:val="009118CE"/>
    <w:rsid w:val="00911F2A"/>
    <w:rsid w:val="00911F9A"/>
    <w:rsid w:val="009127B8"/>
    <w:rsid w:val="009128EB"/>
    <w:rsid w:val="00912E9A"/>
    <w:rsid w:val="0091368C"/>
    <w:rsid w:val="009138E6"/>
    <w:rsid w:val="00914038"/>
    <w:rsid w:val="009140AD"/>
    <w:rsid w:val="00914230"/>
    <w:rsid w:val="0091488F"/>
    <w:rsid w:val="009155C3"/>
    <w:rsid w:val="00915C05"/>
    <w:rsid w:val="0091612F"/>
    <w:rsid w:val="00916ACC"/>
    <w:rsid w:val="00916FC7"/>
    <w:rsid w:val="00920C5D"/>
    <w:rsid w:val="00920C8E"/>
    <w:rsid w:val="009213EE"/>
    <w:rsid w:val="00921464"/>
    <w:rsid w:val="009217C3"/>
    <w:rsid w:val="00922391"/>
    <w:rsid w:val="0092257F"/>
    <w:rsid w:val="009227E9"/>
    <w:rsid w:val="00922EBD"/>
    <w:rsid w:val="0092302B"/>
    <w:rsid w:val="009239E4"/>
    <w:rsid w:val="00923B86"/>
    <w:rsid w:val="00924900"/>
    <w:rsid w:val="00924AE4"/>
    <w:rsid w:val="00925032"/>
    <w:rsid w:val="00925AA7"/>
    <w:rsid w:val="0092625A"/>
    <w:rsid w:val="00926894"/>
    <w:rsid w:val="00927E36"/>
    <w:rsid w:val="00930FCD"/>
    <w:rsid w:val="00931059"/>
    <w:rsid w:val="009313B7"/>
    <w:rsid w:val="009317F3"/>
    <w:rsid w:val="00931EA2"/>
    <w:rsid w:val="00932058"/>
    <w:rsid w:val="0093279B"/>
    <w:rsid w:val="009327B8"/>
    <w:rsid w:val="00932BAD"/>
    <w:rsid w:val="00933C6F"/>
    <w:rsid w:val="00934067"/>
    <w:rsid w:val="0093438A"/>
    <w:rsid w:val="00934583"/>
    <w:rsid w:val="009348B8"/>
    <w:rsid w:val="00935DE4"/>
    <w:rsid w:val="00935FEF"/>
    <w:rsid w:val="0093645C"/>
    <w:rsid w:val="00936A82"/>
    <w:rsid w:val="00936F5A"/>
    <w:rsid w:val="0093789F"/>
    <w:rsid w:val="00940012"/>
    <w:rsid w:val="00940554"/>
    <w:rsid w:val="009407AD"/>
    <w:rsid w:val="00940D11"/>
    <w:rsid w:val="00941220"/>
    <w:rsid w:val="00941A9C"/>
    <w:rsid w:val="0094253D"/>
    <w:rsid w:val="00942C59"/>
    <w:rsid w:val="00942D9C"/>
    <w:rsid w:val="009431A4"/>
    <w:rsid w:val="00943D81"/>
    <w:rsid w:val="0094432A"/>
    <w:rsid w:val="00944D28"/>
    <w:rsid w:val="0094534C"/>
    <w:rsid w:val="00945451"/>
    <w:rsid w:val="00945C0F"/>
    <w:rsid w:val="009462F2"/>
    <w:rsid w:val="00946750"/>
    <w:rsid w:val="00947662"/>
    <w:rsid w:val="0094772E"/>
    <w:rsid w:val="00947B04"/>
    <w:rsid w:val="009508FE"/>
    <w:rsid w:val="00951732"/>
    <w:rsid w:val="009522F7"/>
    <w:rsid w:val="009538EE"/>
    <w:rsid w:val="00953DB5"/>
    <w:rsid w:val="009544AC"/>
    <w:rsid w:val="00954E59"/>
    <w:rsid w:val="00955C05"/>
    <w:rsid w:val="0095774B"/>
    <w:rsid w:val="00960075"/>
    <w:rsid w:val="009600E9"/>
    <w:rsid w:val="00960A99"/>
    <w:rsid w:val="00960FA4"/>
    <w:rsid w:val="009611E7"/>
    <w:rsid w:val="00961AD5"/>
    <w:rsid w:val="00961B1C"/>
    <w:rsid w:val="00962419"/>
    <w:rsid w:val="00963FE4"/>
    <w:rsid w:val="00964092"/>
    <w:rsid w:val="009642EB"/>
    <w:rsid w:val="00964A18"/>
    <w:rsid w:val="009653F3"/>
    <w:rsid w:val="009655B8"/>
    <w:rsid w:val="00965733"/>
    <w:rsid w:val="009658F3"/>
    <w:rsid w:val="009662EF"/>
    <w:rsid w:val="00966B03"/>
    <w:rsid w:val="00967220"/>
    <w:rsid w:val="009675AA"/>
    <w:rsid w:val="00967F04"/>
    <w:rsid w:val="00970C57"/>
    <w:rsid w:val="00971434"/>
    <w:rsid w:val="009714B4"/>
    <w:rsid w:val="00971813"/>
    <w:rsid w:val="00971F44"/>
    <w:rsid w:val="00971F76"/>
    <w:rsid w:val="009721A9"/>
    <w:rsid w:val="00972580"/>
    <w:rsid w:val="00972AFE"/>
    <w:rsid w:val="009733EC"/>
    <w:rsid w:val="00973786"/>
    <w:rsid w:val="00973FCD"/>
    <w:rsid w:val="009745F3"/>
    <w:rsid w:val="00974809"/>
    <w:rsid w:val="00974C47"/>
    <w:rsid w:val="00975B74"/>
    <w:rsid w:val="00975F5F"/>
    <w:rsid w:val="0097673C"/>
    <w:rsid w:val="009770F0"/>
    <w:rsid w:val="00977502"/>
    <w:rsid w:val="0097763E"/>
    <w:rsid w:val="0097779A"/>
    <w:rsid w:val="00977AEA"/>
    <w:rsid w:val="00977CE2"/>
    <w:rsid w:val="00977EC6"/>
    <w:rsid w:val="00980082"/>
    <w:rsid w:val="00980636"/>
    <w:rsid w:val="0098063D"/>
    <w:rsid w:val="00980C65"/>
    <w:rsid w:val="00980E42"/>
    <w:rsid w:val="00981249"/>
    <w:rsid w:val="0098191A"/>
    <w:rsid w:val="00981EC6"/>
    <w:rsid w:val="009830C3"/>
    <w:rsid w:val="00983D81"/>
    <w:rsid w:val="00983E3F"/>
    <w:rsid w:val="009841E0"/>
    <w:rsid w:val="00984257"/>
    <w:rsid w:val="009843C4"/>
    <w:rsid w:val="00984B93"/>
    <w:rsid w:val="009854DA"/>
    <w:rsid w:val="00986A9E"/>
    <w:rsid w:val="0098700F"/>
    <w:rsid w:val="009870DD"/>
    <w:rsid w:val="009872D9"/>
    <w:rsid w:val="009902C8"/>
    <w:rsid w:val="0099062B"/>
    <w:rsid w:val="00990916"/>
    <w:rsid w:val="00990A39"/>
    <w:rsid w:val="00991111"/>
    <w:rsid w:val="009913AA"/>
    <w:rsid w:val="00991AD9"/>
    <w:rsid w:val="00993906"/>
    <w:rsid w:val="00993A44"/>
    <w:rsid w:val="00993FD3"/>
    <w:rsid w:val="009943CB"/>
    <w:rsid w:val="00994469"/>
    <w:rsid w:val="00994D31"/>
    <w:rsid w:val="009955E4"/>
    <w:rsid w:val="009956FC"/>
    <w:rsid w:val="009965F2"/>
    <w:rsid w:val="00996603"/>
    <w:rsid w:val="00997755"/>
    <w:rsid w:val="009A07B0"/>
    <w:rsid w:val="009A0E3F"/>
    <w:rsid w:val="009A1045"/>
    <w:rsid w:val="009A1091"/>
    <w:rsid w:val="009A13DB"/>
    <w:rsid w:val="009A262B"/>
    <w:rsid w:val="009A3471"/>
    <w:rsid w:val="009A34B1"/>
    <w:rsid w:val="009A42CC"/>
    <w:rsid w:val="009A4B03"/>
    <w:rsid w:val="009A4F10"/>
    <w:rsid w:val="009A538D"/>
    <w:rsid w:val="009A53CE"/>
    <w:rsid w:val="009A579A"/>
    <w:rsid w:val="009A6992"/>
    <w:rsid w:val="009A69E6"/>
    <w:rsid w:val="009A6EC3"/>
    <w:rsid w:val="009A6ED4"/>
    <w:rsid w:val="009B110D"/>
    <w:rsid w:val="009B1750"/>
    <w:rsid w:val="009B1FA3"/>
    <w:rsid w:val="009B21A6"/>
    <w:rsid w:val="009B29E9"/>
    <w:rsid w:val="009B2B18"/>
    <w:rsid w:val="009B3704"/>
    <w:rsid w:val="009B373A"/>
    <w:rsid w:val="009B3AF5"/>
    <w:rsid w:val="009B3D74"/>
    <w:rsid w:val="009B3E48"/>
    <w:rsid w:val="009B4045"/>
    <w:rsid w:val="009B46F3"/>
    <w:rsid w:val="009B4E15"/>
    <w:rsid w:val="009B53B5"/>
    <w:rsid w:val="009B558B"/>
    <w:rsid w:val="009B565D"/>
    <w:rsid w:val="009B6303"/>
    <w:rsid w:val="009B6400"/>
    <w:rsid w:val="009B6B6F"/>
    <w:rsid w:val="009B6D8B"/>
    <w:rsid w:val="009B7B96"/>
    <w:rsid w:val="009C0257"/>
    <w:rsid w:val="009C1CB5"/>
    <w:rsid w:val="009C1F25"/>
    <w:rsid w:val="009C2437"/>
    <w:rsid w:val="009C284B"/>
    <w:rsid w:val="009C34ED"/>
    <w:rsid w:val="009C3513"/>
    <w:rsid w:val="009C396A"/>
    <w:rsid w:val="009C3B64"/>
    <w:rsid w:val="009C3D33"/>
    <w:rsid w:val="009C3FE6"/>
    <w:rsid w:val="009C400C"/>
    <w:rsid w:val="009C4E11"/>
    <w:rsid w:val="009C51DF"/>
    <w:rsid w:val="009C683D"/>
    <w:rsid w:val="009C70F4"/>
    <w:rsid w:val="009D014B"/>
    <w:rsid w:val="009D0307"/>
    <w:rsid w:val="009D030B"/>
    <w:rsid w:val="009D1506"/>
    <w:rsid w:val="009D1767"/>
    <w:rsid w:val="009D1976"/>
    <w:rsid w:val="009D1D5B"/>
    <w:rsid w:val="009D280F"/>
    <w:rsid w:val="009D2863"/>
    <w:rsid w:val="009D2BAC"/>
    <w:rsid w:val="009D2C33"/>
    <w:rsid w:val="009D3508"/>
    <w:rsid w:val="009D4188"/>
    <w:rsid w:val="009D4DE7"/>
    <w:rsid w:val="009D5061"/>
    <w:rsid w:val="009D57B7"/>
    <w:rsid w:val="009D5B80"/>
    <w:rsid w:val="009D645E"/>
    <w:rsid w:val="009D64B2"/>
    <w:rsid w:val="009D6CBE"/>
    <w:rsid w:val="009D70E9"/>
    <w:rsid w:val="009D7F42"/>
    <w:rsid w:val="009E0A14"/>
    <w:rsid w:val="009E0AD9"/>
    <w:rsid w:val="009E1784"/>
    <w:rsid w:val="009E1F80"/>
    <w:rsid w:val="009E27C0"/>
    <w:rsid w:val="009E2EC5"/>
    <w:rsid w:val="009E3D61"/>
    <w:rsid w:val="009E3D92"/>
    <w:rsid w:val="009E4246"/>
    <w:rsid w:val="009E438E"/>
    <w:rsid w:val="009E4CA4"/>
    <w:rsid w:val="009E5803"/>
    <w:rsid w:val="009E596C"/>
    <w:rsid w:val="009E5BB9"/>
    <w:rsid w:val="009E6563"/>
    <w:rsid w:val="009E6C13"/>
    <w:rsid w:val="009E725C"/>
    <w:rsid w:val="009E7822"/>
    <w:rsid w:val="009E7A99"/>
    <w:rsid w:val="009E7ADF"/>
    <w:rsid w:val="009E7BB1"/>
    <w:rsid w:val="009F07B1"/>
    <w:rsid w:val="009F1154"/>
    <w:rsid w:val="009F11F6"/>
    <w:rsid w:val="009F18DF"/>
    <w:rsid w:val="009F1AD2"/>
    <w:rsid w:val="009F1AEE"/>
    <w:rsid w:val="009F1B2C"/>
    <w:rsid w:val="009F1E8A"/>
    <w:rsid w:val="009F248D"/>
    <w:rsid w:val="009F2E87"/>
    <w:rsid w:val="009F33A6"/>
    <w:rsid w:val="009F39D1"/>
    <w:rsid w:val="009F4A67"/>
    <w:rsid w:val="009F5700"/>
    <w:rsid w:val="009F5E78"/>
    <w:rsid w:val="009F5EAC"/>
    <w:rsid w:val="009F6E75"/>
    <w:rsid w:val="009F7EBA"/>
    <w:rsid w:val="00A00B48"/>
    <w:rsid w:val="00A00F44"/>
    <w:rsid w:val="00A0147D"/>
    <w:rsid w:val="00A01A49"/>
    <w:rsid w:val="00A02C9F"/>
    <w:rsid w:val="00A0324F"/>
    <w:rsid w:val="00A032D2"/>
    <w:rsid w:val="00A032E7"/>
    <w:rsid w:val="00A0382D"/>
    <w:rsid w:val="00A03B4A"/>
    <w:rsid w:val="00A04210"/>
    <w:rsid w:val="00A0457C"/>
    <w:rsid w:val="00A04587"/>
    <w:rsid w:val="00A04C02"/>
    <w:rsid w:val="00A05BF5"/>
    <w:rsid w:val="00A0608D"/>
    <w:rsid w:val="00A06253"/>
    <w:rsid w:val="00A06A2B"/>
    <w:rsid w:val="00A06E59"/>
    <w:rsid w:val="00A06F88"/>
    <w:rsid w:val="00A0755D"/>
    <w:rsid w:val="00A076F2"/>
    <w:rsid w:val="00A10239"/>
    <w:rsid w:val="00A102B2"/>
    <w:rsid w:val="00A109A8"/>
    <w:rsid w:val="00A10DDC"/>
    <w:rsid w:val="00A11731"/>
    <w:rsid w:val="00A11D6F"/>
    <w:rsid w:val="00A123A5"/>
    <w:rsid w:val="00A13ABB"/>
    <w:rsid w:val="00A13CF4"/>
    <w:rsid w:val="00A13E19"/>
    <w:rsid w:val="00A13EAA"/>
    <w:rsid w:val="00A14243"/>
    <w:rsid w:val="00A142ED"/>
    <w:rsid w:val="00A14B12"/>
    <w:rsid w:val="00A14BE3"/>
    <w:rsid w:val="00A14E74"/>
    <w:rsid w:val="00A14FDD"/>
    <w:rsid w:val="00A1514D"/>
    <w:rsid w:val="00A15783"/>
    <w:rsid w:val="00A15D42"/>
    <w:rsid w:val="00A16DD3"/>
    <w:rsid w:val="00A174A2"/>
    <w:rsid w:val="00A17C77"/>
    <w:rsid w:val="00A17D5C"/>
    <w:rsid w:val="00A17F13"/>
    <w:rsid w:val="00A203B9"/>
    <w:rsid w:val="00A2068E"/>
    <w:rsid w:val="00A20CCB"/>
    <w:rsid w:val="00A20ED2"/>
    <w:rsid w:val="00A21021"/>
    <w:rsid w:val="00A21DB1"/>
    <w:rsid w:val="00A2249B"/>
    <w:rsid w:val="00A22D7F"/>
    <w:rsid w:val="00A234EF"/>
    <w:rsid w:val="00A239E2"/>
    <w:rsid w:val="00A240B2"/>
    <w:rsid w:val="00A25478"/>
    <w:rsid w:val="00A255AB"/>
    <w:rsid w:val="00A25DB4"/>
    <w:rsid w:val="00A2684B"/>
    <w:rsid w:val="00A2695D"/>
    <w:rsid w:val="00A26D24"/>
    <w:rsid w:val="00A26EEA"/>
    <w:rsid w:val="00A271B2"/>
    <w:rsid w:val="00A27C3F"/>
    <w:rsid w:val="00A305D5"/>
    <w:rsid w:val="00A308D7"/>
    <w:rsid w:val="00A3141C"/>
    <w:rsid w:val="00A319C6"/>
    <w:rsid w:val="00A3285E"/>
    <w:rsid w:val="00A3344A"/>
    <w:rsid w:val="00A3387E"/>
    <w:rsid w:val="00A338B7"/>
    <w:rsid w:val="00A33B7C"/>
    <w:rsid w:val="00A33D8F"/>
    <w:rsid w:val="00A346CA"/>
    <w:rsid w:val="00A34904"/>
    <w:rsid w:val="00A35B51"/>
    <w:rsid w:val="00A35D75"/>
    <w:rsid w:val="00A35DD4"/>
    <w:rsid w:val="00A36578"/>
    <w:rsid w:val="00A36DF7"/>
    <w:rsid w:val="00A372DD"/>
    <w:rsid w:val="00A40C43"/>
    <w:rsid w:val="00A415BC"/>
    <w:rsid w:val="00A41A27"/>
    <w:rsid w:val="00A41C94"/>
    <w:rsid w:val="00A41F63"/>
    <w:rsid w:val="00A42AAC"/>
    <w:rsid w:val="00A42BED"/>
    <w:rsid w:val="00A42D94"/>
    <w:rsid w:val="00A436FF"/>
    <w:rsid w:val="00A43A09"/>
    <w:rsid w:val="00A442A4"/>
    <w:rsid w:val="00A442BF"/>
    <w:rsid w:val="00A443A4"/>
    <w:rsid w:val="00A44593"/>
    <w:rsid w:val="00A44604"/>
    <w:rsid w:val="00A44D05"/>
    <w:rsid w:val="00A456DB"/>
    <w:rsid w:val="00A45DC6"/>
    <w:rsid w:val="00A464C6"/>
    <w:rsid w:val="00A4739C"/>
    <w:rsid w:val="00A47487"/>
    <w:rsid w:val="00A47CA7"/>
    <w:rsid w:val="00A502F0"/>
    <w:rsid w:val="00A5074B"/>
    <w:rsid w:val="00A50D8D"/>
    <w:rsid w:val="00A512D6"/>
    <w:rsid w:val="00A5165C"/>
    <w:rsid w:val="00A51A30"/>
    <w:rsid w:val="00A52234"/>
    <w:rsid w:val="00A5233B"/>
    <w:rsid w:val="00A5274A"/>
    <w:rsid w:val="00A52B73"/>
    <w:rsid w:val="00A53489"/>
    <w:rsid w:val="00A5351B"/>
    <w:rsid w:val="00A5386C"/>
    <w:rsid w:val="00A542EB"/>
    <w:rsid w:val="00A54A26"/>
    <w:rsid w:val="00A55E8D"/>
    <w:rsid w:val="00A55FEC"/>
    <w:rsid w:val="00A56D3D"/>
    <w:rsid w:val="00A5792A"/>
    <w:rsid w:val="00A57FEA"/>
    <w:rsid w:val="00A6054E"/>
    <w:rsid w:val="00A607C1"/>
    <w:rsid w:val="00A612AF"/>
    <w:rsid w:val="00A6154F"/>
    <w:rsid w:val="00A61CD8"/>
    <w:rsid w:val="00A621DA"/>
    <w:rsid w:val="00A62AE9"/>
    <w:rsid w:val="00A6301E"/>
    <w:rsid w:val="00A633F7"/>
    <w:rsid w:val="00A63793"/>
    <w:rsid w:val="00A63ABA"/>
    <w:rsid w:val="00A63CCC"/>
    <w:rsid w:val="00A64624"/>
    <w:rsid w:val="00A65AE5"/>
    <w:rsid w:val="00A65ED8"/>
    <w:rsid w:val="00A66261"/>
    <w:rsid w:val="00A6629D"/>
    <w:rsid w:val="00A66EED"/>
    <w:rsid w:val="00A66F4E"/>
    <w:rsid w:val="00A67041"/>
    <w:rsid w:val="00A67998"/>
    <w:rsid w:val="00A6799A"/>
    <w:rsid w:val="00A713AF"/>
    <w:rsid w:val="00A71582"/>
    <w:rsid w:val="00A71FE2"/>
    <w:rsid w:val="00A7218B"/>
    <w:rsid w:val="00A7258D"/>
    <w:rsid w:val="00A734FE"/>
    <w:rsid w:val="00A74208"/>
    <w:rsid w:val="00A757CA"/>
    <w:rsid w:val="00A75FC2"/>
    <w:rsid w:val="00A7701B"/>
    <w:rsid w:val="00A77172"/>
    <w:rsid w:val="00A77519"/>
    <w:rsid w:val="00A777DD"/>
    <w:rsid w:val="00A8000F"/>
    <w:rsid w:val="00A8060B"/>
    <w:rsid w:val="00A809E6"/>
    <w:rsid w:val="00A81877"/>
    <w:rsid w:val="00A81F5C"/>
    <w:rsid w:val="00A82A46"/>
    <w:rsid w:val="00A82D14"/>
    <w:rsid w:val="00A830C3"/>
    <w:rsid w:val="00A830C4"/>
    <w:rsid w:val="00A834AC"/>
    <w:rsid w:val="00A83555"/>
    <w:rsid w:val="00A837B6"/>
    <w:rsid w:val="00A83E23"/>
    <w:rsid w:val="00A84334"/>
    <w:rsid w:val="00A84861"/>
    <w:rsid w:val="00A84A1E"/>
    <w:rsid w:val="00A8578E"/>
    <w:rsid w:val="00A86339"/>
    <w:rsid w:val="00A865F6"/>
    <w:rsid w:val="00A868D1"/>
    <w:rsid w:val="00A86D72"/>
    <w:rsid w:val="00A87699"/>
    <w:rsid w:val="00A876BD"/>
    <w:rsid w:val="00A87AEA"/>
    <w:rsid w:val="00A90B61"/>
    <w:rsid w:val="00A90D42"/>
    <w:rsid w:val="00A911E2"/>
    <w:rsid w:val="00A9168D"/>
    <w:rsid w:val="00A91B24"/>
    <w:rsid w:val="00A92531"/>
    <w:rsid w:val="00A929FB"/>
    <w:rsid w:val="00A92C0F"/>
    <w:rsid w:val="00A92D68"/>
    <w:rsid w:val="00A936E8"/>
    <w:rsid w:val="00A9490A"/>
    <w:rsid w:val="00A94A28"/>
    <w:rsid w:val="00A95368"/>
    <w:rsid w:val="00A953D0"/>
    <w:rsid w:val="00A9555C"/>
    <w:rsid w:val="00A95D66"/>
    <w:rsid w:val="00A96420"/>
    <w:rsid w:val="00A96633"/>
    <w:rsid w:val="00A9685D"/>
    <w:rsid w:val="00A96D49"/>
    <w:rsid w:val="00A96F33"/>
    <w:rsid w:val="00A96F8A"/>
    <w:rsid w:val="00A97595"/>
    <w:rsid w:val="00A97652"/>
    <w:rsid w:val="00A97B7F"/>
    <w:rsid w:val="00A97F05"/>
    <w:rsid w:val="00AA006A"/>
    <w:rsid w:val="00AA0929"/>
    <w:rsid w:val="00AA0A0B"/>
    <w:rsid w:val="00AA199D"/>
    <w:rsid w:val="00AA1AFB"/>
    <w:rsid w:val="00AA1E69"/>
    <w:rsid w:val="00AA216F"/>
    <w:rsid w:val="00AA3180"/>
    <w:rsid w:val="00AA3428"/>
    <w:rsid w:val="00AA3B85"/>
    <w:rsid w:val="00AA3D60"/>
    <w:rsid w:val="00AA466C"/>
    <w:rsid w:val="00AA4FD3"/>
    <w:rsid w:val="00AA514D"/>
    <w:rsid w:val="00AA51CC"/>
    <w:rsid w:val="00AA5342"/>
    <w:rsid w:val="00AA587A"/>
    <w:rsid w:val="00AA58B6"/>
    <w:rsid w:val="00AA5D47"/>
    <w:rsid w:val="00AA703F"/>
    <w:rsid w:val="00AA7619"/>
    <w:rsid w:val="00AA7B8C"/>
    <w:rsid w:val="00AA7DFA"/>
    <w:rsid w:val="00AB0067"/>
    <w:rsid w:val="00AB00BD"/>
    <w:rsid w:val="00AB08A8"/>
    <w:rsid w:val="00AB0D43"/>
    <w:rsid w:val="00AB0ED4"/>
    <w:rsid w:val="00AB0F4E"/>
    <w:rsid w:val="00AB0FF8"/>
    <w:rsid w:val="00AB1122"/>
    <w:rsid w:val="00AB1389"/>
    <w:rsid w:val="00AB139D"/>
    <w:rsid w:val="00AB1ED7"/>
    <w:rsid w:val="00AB2563"/>
    <w:rsid w:val="00AB3390"/>
    <w:rsid w:val="00AB3B37"/>
    <w:rsid w:val="00AB4D4C"/>
    <w:rsid w:val="00AB4FDE"/>
    <w:rsid w:val="00AB55A2"/>
    <w:rsid w:val="00AB56AF"/>
    <w:rsid w:val="00AB5990"/>
    <w:rsid w:val="00AB5BB1"/>
    <w:rsid w:val="00AB6A36"/>
    <w:rsid w:val="00AB6C75"/>
    <w:rsid w:val="00AB6D10"/>
    <w:rsid w:val="00AB7DC8"/>
    <w:rsid w:val="00AC028A"/>
    <w:rsid w:val="00AC04D5"/>
    <w:rsid w:val="00AC1559"/>
    <w:rsid w:val="00AC2625"/>
    <w:rsid w:val="00AC29E7"/>
    <w:rsid w:val="00AC3882"/>
    <w:rsid w:val="00AC4485"/>
    <w:rsid w:val="00AC4816"/>
    <w:rsid w:val="00AC4C27"/>
    <w:rsid w:val="00AC50F7"/>
    <w:rsid w:val="00AC516D"/>
    <w:rsid w:val="00AC5590"/>
    <w:rsid w:val="00AC5C91"/>
    <w:rsid w:val="00AC6B6D"/>
    <w:rsid w:val="00AC73D4"/>
    <w:rsid w:val="00AC7685"/>
    <w:rsid w:val="00AC78E5"/>
    <w:rsid w:val="00AC79FE"/>
    <w:rsid w:val="00AC7D30"/>
    <w:rsid w:val="00AD0070"/>
    <w:rsid w:val="00AD03BB"/>
    <w:rsid w:val="00AD05EA"/>
    <w:rsid w:val="00AD0D75"/>
    <w:rsid w:val="00AD0ED7"/>
    <w:rsid w:val="00AD1077"/>
    <w:rsid w:val="00AD16ED"/>
    <w:rsid w:val="00AD17EE"/>
    <w:rsid w:val="00AD22BA"/>
    <w:rsid w:val="00AD2CA5"/>
    <w:rsid w:val="00AD4BA6"/>
    <w:rsid w:val="00AD4D26"/>
    <w:rsid w:val="00AD5347"/>
    <w:rsid w:val="00AD54BE"/>
    <w:rsid w:val="00AD6D18"/>
    <w:rsid w:val="00AD7374"/>
    <w:rsid w:val="00AD7433"/>
    <w:rsid w:val="00AD7A2F"/>
    <w:rsid w:val="00AD7EBF"/>
    <w:rsid w:val="00AE04F0"/>
    <w:rsid w:val="00AE051D"/>
    <w:rsid w:val="00AE084A"/>
    <w:rsid w:val="00AE0F85"/>
    <w:rsid w:val="00AE13B5"/>
    <w:rsid w:val="00AE141C"/>
    <w:rsid w:val="00AE166C"/>
    <w:rsid w:val="00AE26FD"/>
    <w:rsid w:val="00AE2B0E"/>
    <w:rsid w:val="00AE2C2F"/>
    <w:rsid w:val="00AE3C7E"/>
    <w:rsid w:val="00AE43B9"/>
    <w:rsid w:val="00AE617D"/>
    <w:rsid w:val="00AE6439"/>
    <w:rsid w:val="00AE6C89"/>
    <w:rsid w:val="00AE6D5B"/>
    <w:rsid w:val="00AE6FFC"/>
    <w:rsid w:val="00AE7C51"/>
    <w:rsid w:val="00AE7E2E"/>
    <w:rsid w:val="00AF0EA0"/>
    <w:rsid w:val="00AF14BA"/>
    <w:rsid w:val="00AF1F63"/>
    <w:rsid w:val="00AF2436"/>
    <w:rsid w:val="00AF288F"/>
    <w:rsid w:val="00AF2C60"/>
    <w:rsid w:val="00AF2DF1"/>
    <w:rsid w:val="00AF347D"/>
    <w:rsid w:val="00AF38FD"/>
    <w:rsid w:val="00AF3FB9"/>
    <w:rsid w:val="00AF4A0C"/>
    <w:rsid w:val="00AF4D4E"/>
    <w:rsid w:val="00AF4EE2"/>
    <w:rsid w:val="00AF513C"/>
    <w:rsid w:val="00AF539B"/>
    <w:rsid w:val="00AF549B"/>
    <w:rsid w:val="00AF6328"/>
    <w:rsid w:val="00AF6918"/>
    <w:rsid w:val="00AF759F"/>
    <w:rsid w:val="00AF766D"/>
    <w:rsid w:val="00AF7861"/>
    <w:rsid w:val="00AF7902"/>
    <w:rsid w:val="00B00A3C"/>
    <w:rsid w:val="00B00CBF"/>
    <w:rsid w:val="00B0157F"/>
    <w:rsid w:val="00B0166B"/>
    <w:rsid w:val="00B01D12"/>
    <w:rsid w:val="00B023FD"/>
    <w:rsid w:val="00B03ED7"/>
    <w:rsid w:val="00B044B7"/>
    <w:rsid w:val="00B04D9A"/>
    <w:rsid w:val="00B050FA"/>
    <w:rsid w:val="00B054FC"/>
    <w:rsid w:val="00B0570C"/>
    <w:rsid w:val="00B05AC8"/>
    <w:rsid w:val="00B0641E"/>
    <w:rsid w:val="00B06B8E"/>
    <w:rsid w:val="00B06C76"/>
    <w:rsid w:val="00B07A92"/>
    <w:rsid w:val="00B105DC"/>
    <w:rsid w:val="00B1164F"/>
    <w:rsid w:val="00B11CB8"/>
    <w:rsid w:val="00B129A5"/>
    <w:rsid w:val="00B12E9E"/>
    <w:rsid w:val="00B12F03"/>
    <w:rsid w:val="00B13511"/>
    <w:rsid w:val="00B137EC"/>
    <w:rsid w:val="00B13B31"/>
    <w:rsid w:val="00B13FD0"/>
    <w:rsid w:val="00B141C4"/>
    <w:rsid w:val="00B16A46"/>
    <w:rsid w:val="00B17112"/>
    <w:rsid w:val="00B1755E"/>
    <w:rsid w:val="00B179BE"/>
    <w:rsid w:val="00B17D25"/>
    <w:rsid w:val="00B204AE"/>
    <w:rsid w:val="00B216BB"/>
    <w:rsid w:val="00B21C42"/>
    <w:rsid w:val="00B21DB1"/>
    <w:rsid w:val="00B21FC3"/>
    <w:rsid w:val="00B22AEE"/>
    <w:rsid w:val="00B22C3E"/>
    <w:rsid w:val="00B23130"/>
    <w:rsid w:val="00B231C1"/>
    <w:rsid w:val="00B2346C"/>
    <w:rsid w:val="00B24C2C"/>
    <w:rsid w:val="00B25114"/>
    <w:rsid w:val="00B257DA"/>
    <w:rsid w:val="00B25835"/>
    <w:rsid w:val="00B25A8A"/>
    <w:rsid w:val="00B25BFB"/>
    <w:rsid w:val="00B25D70"/>
    <w:rsid w:val="00B26C15"/>
    <w:rsid w:val="00B27060"/>
    <w:rsid w:val="00B3035F"/>
    <w:rsid w:val="00B31717"/>
    <w:rsid w:val="00B3172D"/>
    <w:rsid w:val="00B31EFE"/>
    <w:rsid w:val="00B3204A"/>
    <w:rsid w:val="00B32774"/>
    <w:rsid w:val="00B32BF9"/>
    <w:rsid w:val="00B332E6"/>
    <w:rsid w:val="00B335D5"/>
    <w:rsid w:val="00B3362B"/>
    <w:rsid w:val="00B33A11"/>
    <w:rsid w:val="00B33BE9"/>
    <w:rsid w:val="00B343FC"/>
    <w:rsid w:val="00B34470"/>
    <w:rsid w:val="00B346D7"/>
    <w:rsid w:val="00B34B40"/>
    <w:rsid w:val="00B35599"/>
    <w:rsid w:val="00B35879"/>
    <w:rsid w:val="00B35E16"/>
    <w:rsid w:val="00B35F3F"/>
    <w:rsid w:val="00B35F7C"/>
    <w:rsid w:val="00B368F9"/>
    <w:rsid w:val="00B36D7A"/>
    <w:rsid w:val="00B37188"/>
    <w:rsid w:val="00B372BB"/>
    <w:rsid w:val="00B37A71"/>
    <w:rsid w:val="00B4061E"/>
    <w:rsid w:val="00B407F2"/>
    <w:rsid w:val="00B40AA4"/>
    <w:rsid w:val="00B40B62"/>
    <w:rsid w:val="00B411C8"/>
    <w:rsid w:val="00B42000"/>
    <w:rsid w:val="00B42295"/>
    <w:rsid w:val="00B42410"/>
    <w:rsid w:val="00B42675"/>
    <w:rsid w:val="00B42E03"/>
    <w:rsid w:val="00B430A3"/>
    <w:rsid w:val="00B43138"/>
    <w:rsid w:val="00B43638"/>
    <w:rsid w:val="00B437C1"/>
    <w:rsid w:val="00B44659"/>
    <w:rsid w:val="00B450E1"/>
    <w:rsid w:val="00B45271"/>
    <w:rsid w:val="00B4557A"/>
    <w:rsid w:val="00B45B7B"/>
    <w:rsid w:val="00B46270"/>
    <w:rsid w:val="00B46A26"/>
    <w:rsid w:val="00B46A31"/>
    <w:rsid w:val="00B50159"/>
    <w:rsid w:val="00B51DD2"/>
    <w:rsid w:val="00B52573"/>
    <w:rsid w:val="00B52FD9"/>
    <w:rsid w:val="00B530AD"/>
    <w:rsid w:val="00B530B6"/>
    <w:rsid w:val="00B54098"/>
    <w:rsid w:val="00B5438F"/>
    <w:rsid w:val="00B545E0"/>
    <w:rsid w:val="00B54C76"/>
    <w:rsid w:val="00B54D87"/>
    <w:rsid w:val="00B55A45"/>
    <w:rsid w:val="00B56073"/>
    <w:rsid w:val="00B57182"/>
    <w:rsid w:val="00B57251"/>
    <w:rsid w:val="00B57565"/>
    <w:rsid w:val="00B57931"/>
    <w:rsid w:val="00B57A56"/>
    <w:rsid w:val="00B60CEB"/>
    <w:rsid w:val="00B60FC5"/>
    <w:rsid w:val="00B61238"/>
    <w:rsid w:val="00B61A4D"/>
    <w:rsid w:val="00B627EE"/>
    <w:rsid w:val="00B6334F"/>
    <w:rsid w:val="00B6361A"/>
    <w:rsid w:val="00B6417B"/>
    <w:rsid w:val="00B64268"/>
    <w:rsid w:val="00B642D7"/>
    <w:rsid w:val="00B6442F"/>
    <w:rsid w:val="00B64D15"/>
    <w:rsid w:val="00B64ED9"/>
    <w:rsid w:val="00B65450"/>
    <w:rsid w:val="00B65841"/>
    <w:rsid w:val="00B65878"/>
    <w:rsid w:val="00B65E61"/>
    <w:rsid w:val="00B664C0"/>
    <w:rsid w:val="00B66978"/>
    <w:rsid w:val="00B66BBB"/>
    <w:rsid w:val="00B66CE4"/>
    <w:rsid w:val="00B70E60"/>
    <w:rsid w:val="00B710D7"/>
    <w:rsid w:val="00B71403"/>
    <w:rsid w:val="00B71ADE"/>
    <w:rsid w:val="00B71FE4"/>
    <w:rsid w:val="00B7279C"/>
    <w:rsid w:val="00B7297E"/>
    <w:rsid w:val="00B73346"/>
    <w:rsid w:val="00B73556"/>
    <w:rsid w:val="00B73B17"/>
    <w:rsid w:val="00B74255"/>
    <w:rsid w:val="00B743CF"/>
    <w:rsid w:val="00B744BC"/>
    <w:rsid w:val="00B744F3"/>
    <w:rsid w:val="00B74516"/>
    <w:rsid w:val="00B74AAA"/>
    <w:rsid w:val="00B74F7D"/>
    <w:rsid w:val="00B75268"/>
    <w:rsid w:val="00B759FE"/>
    <w:rsid w:val="00B75F55"/>
    <w:rsid w:val="00B7647D"/>
    <w:rsid w:val="00B768D2"/>
    <w:rsid w:val="00B76AF7"/>
    <w:rsid w:val="00B76B37"/>
    <w:rsid w:val="00B770CE"/>
    <w:rsid w:val="00B77AD0"/>
    <w:rsid w:val="00B80099"/>
    <w:rsid w:val="00B801AC"/>
    <w:rsid w:val="00B8021A"/>
    <w:rsid w:val="00B80380"/>
    <w:rsid w:val="00B8046F"/>
    <w:rsid w:val="00B81314"/>
    <w:rsid w:val="00B81345"/>
    <w:rsid w:val="00B81A3F"/>
    <w:rsid w:val="00B825E9"/>
    <w:rsid w:val="00B82E8A"/>
    <w:rsid w:val="00B82ED1"/>
    <w:rsid w:val="00B83018"/>
    <w:rsid w:val="00B834B3"/>
    <w:rsid w:val="00B835A7"/>
    <w:rsid w:val="00B83DE5"/>
    <w:rsid w:val="00B83F65"/>
    <w:rsid w:val="00B8428A"/>
    <w:rsid w:val="00B8443D"/>
    <w:rsid w:val="00B847F8"/>
    <w:rsid w:val="00B8490B"/>
    <w:rsid w:val="00B84CED"/>
    <w:rsid w:val="00B84DDA"/>
    <w:rsid w:val="00B850B3"/>
    <w:rsid w:val="00B85902"/>
    <w:rsid w:val="00B8590A"/>
    <w:rsid w:val="00B8593F"/>
    <w:rsid w:val="00B85AFF"/>
    <w:rsid w:val="00B86660"/>
    <w:rsid w:val="00B87249"/>
    <w:rsid w:val="00B87F06"/>
    <w:rsid w:val="00B90053"/>
    <w:rsid w:val="00B9068A"/>
    <w:rsid w:val="00B90ADF"/>
    <w:rsid w:val="00B9110A"/>
    <w:rsid w:val="00B91685"/>
    <w:rsid w:val="00B91A49"/>
    <w:rsid w:val="00B921D6"/>
    <w:rsid w:val="00B9232F"/>
    <w:rsid w:val="00B92BC9"/>
    <w:rsid w:val="00B92C22"/>
    <w:rsid w:val="00B930C9"/>
    <w:rsid w:val="00B938AF"/>
    <w:rsid w:val="00B9438F"/>
    <w:rsid w:val="00B94458"/>
    <w:rsid w:val="00B9456C"/>
    <w:rsid w:val="00B94726"/>
    <w:rsid w:val="00B947DF"/>
    <w:rsid w:val="00B94A10"/>
    <w:rsid w:val="00B94C8F"/>
    <w:rsid w:val="00B94E8B"/>
    <w:rsid w:val="00B95E5A"/>
    <w:rsid w:val="00B962FD"/>
    <w:rsid w:val="00B97EB2"/>
    <w:rsid w:val="00BA15C6"/>
    <w:rsid w:val="00BA179F"/>
    <w:rsid w:val="00BA184E"/>
    <w:rsid w:val="00BA1B06"/>
    <w:rsid w:val="00BA1C40"/>
    <w:rsid w:val="00BA1C5A"/>
    <w:rsid w:val="00BA1F9C"/>
    <w:rsid w:val="00BA279A"/>
    <w:rsid w:val="00BA3B55"/>
    <w:rsid w:val="00BA3DA3"/>
    <w:rsid w:val="00BA41AF"/>
    <w:rsid w:val="00BA41B9"/>
    <w:rsid w:val="00BA439C"/>
    <w:rsid w:val="00BA441D"/>
    <w:rsid w:val="00BA4641"/>
    <w:rsid w:val="00BA48E3"/>
    <w:rsid w:val="00BA4D90"/>
    <w:rsid w:val="00BA50D2"/>
    <w:rsid w:val="00BA54A0"/>
    <w:rsid w:val="00BA54CC"/>
    <w:rsid w:val="00BA5D80"/>
    <w:rsid w:val="00BA5E93"/>
    <w:rsid w:val="00BA6129"/>
    <w:rsid w:val="00BA650D"/>
    <w:rsid w:val="00BA685A"/>
    <w:rsid w:val="00BA69EC"/>
    <w:rsid w:val="00BA6ABD"/>
    <w:rsid w:val="00BA6ACE"/>
    <w:rsid w:val="00BA6DE8"/>
    <w:rsid w:val="00BA74B1"/>
    <w:rsid w:val="00BA74FA"/>
    <w:rsid w:val="00BA7691"/>
    <w:rsid w:val="00BA7857"/>
    <w:rsid w:val="00BB0E14"/>
    <w:rsid w:val="00BB14F9"/>
    <w:rsid w:val="00BB1829"/>
    <w:rsid w:val="00BB1F53"/>
    <w:rsid w:val="00BB28BD"/>
    <w:rsid w:val="00BB2990"/>
    <w:rsid w:val="00BB29C8"/>
    <w:rsid w:val="00BB3C80"/>
    <w:rsid w:val="00BB3F48"/>
    <w:rsid w:val="00BB4760"/>
    <w:rsid w:val="00BB49AB"/>
    <w:rsid w:val="00BB51EE"/>
    <w:rsid w:val="00BB52CD"/>
    <w:rsid w:val="00BB56CC"/>
    <w:rsid w:val="00BB6926"/>
    <w:rsid w:val="00BB713F"/>
    <w:rsid w:val="00BC0718"/>
    <w:rsid w:val="00BC08D9"/>
    <w:rsid w:val="00BC0AC6"/>
    <w:rsid w:val="00BC1B34"/>
    <w:rsid w:val="00BC1F1D"/>
    <w:rsid w:val="00BC1FBD"/>
    <w:rsid w:val="00BC203A"/>
    <w:rsid w:val="00BC257D"/>
    <w:rsid w:val="00BC25D0"/>
    <w:rsid w:val="00BC296D"/>
    <w:rsid w:val="00BC3D5C"/>
    <w:rsid w:val="00BC4421"/>
    <w:rsid w:val="00BC489E"/>
    <w:rsid w:val="00BC4AF0"/>
    <w:rsid w:val="00BC6693"/>
    <w:rsid w:val="00BC69E2"/>
    <w:rsid w:val="00BC6A34"/>
    <w:rsid w:val="00BC7343"/>
    <w:rsid w:val="00BC743E"/>
    <w:rsid w:val="00BC7767"/>
    <w:rsid w:val="00BC7BBF"/>
    <w:rsid w:val="00BC7CB9"/>
    <w:rsid w:val="00BD0255"/>
    <w:rsid w:val="00BD04A8"/>
    <w:rsid w:val="00BD0D05"/>
    <w:rsid w:val="00BD10B4"/>
    <w:rsid w:val="00BD21A3"/>
    <w:rsid w:val="00BD3AF7"/>
    <w:rsid w:val="00BD4500"/>
    <w:rsid w:val="00BD472F"/>
    <w:rsid w:val="00BD4DF2"/>
    <w:rsid w:val="00BD54B3"/>
    <w:rsid w:val="00BD561F"/>
    <w:rsid w:val="00BD5AFE"/>
    <w:rsid w:val="00BD5E97"/>
    <w:rsid w:val="00BD657F"/>
    <w:rsid w:val="00BD6A2D"/>
    <w:rsid w:val="00BD6D9A"/>
    <w:rsid w:val="00BD6DBF"/>
    <w:rsid w:val="00BD6F55"/>
    <w:rsid w:val="00BD76BA"/>
    <w:rsid w:val="00BD78B8"/>
    <w:rsid w:val="00BE01BB"/>
    <w:rsid w:val="00BE05B8"/>
    <w:rsid w:val="00BE0D8D"/>
    <w:rsid w:val="00BE1C23"/>
    <w:rsid w:val="00BE272D"/>
    <w:rsid w:val="00BE2BCA"/>
    <w:rsid w:val="00BE3B69"/>
    <w:rsid w:val="00BE4000"/>
    <w:rsid w:val="00BE47CC"/>
    <w:rsid w:val="00BE48B4"/>
    <w:rsid w:val="00BE533C"/>
    <w:rsid w:val="00BE5D82"/>
    <w:rsid w:val="00BE6006"/>
    <w:rsid w:val="00BE609C"/>
    <w:rsid w:val="00BE72C6"/>
    <w:rsid w:val="00BE75EC"/>
    <w:rsid w:val="00BE793C"/>
    <w:rsid w:val="00BE7F57"/>
    <w:rsid w:val="00BE7F89"/>
    <w:rsid w:val="00BF019A"/>
    <w:rsid w:val="00BF066B"/>
    <w:rsid w:val="00BF06FD"/>
    <w:rsid w:val="00BF108C"/>
    <w:rsid w:val="00BF1205"/>
    <w:rsid w:val="00BF1A5D"/>
    <w:rsid w:val="00BF26D7"/>
    <w:rsid w:val="00BF299A"/>
    <w:rsid w:val="00BF31BA"/>
    <w:rsid w:val="00BF4667"/>
    <w:rsid w:val="00BF54F7"/>
    <w:rsid w:val="00BF62CF"/>
    <w:rsid w:val="00BF63CB"/>
    <w:rsid w:val="00BF6F2C"/>
    <w:rsid w:val="00BF7696"/>
    <w:rsid w:val="00BF7F4D"/>
    <w:rsid w:val="00C008E5"/>
    <w:rsid w:val="00C00B9B"/>
    <w:rsid w:val="00C00C54"/>
    <w:rsid w:val="00C01534"/>
    <w:rsid w:val="00C016BC"/>
    <w:rsid w:val="00C0203B"/>
    <w:rsid w:val="00C0223F"/>
    <w:rsid w:val="00C029D6"/>
    <w:rsid w:val="00C02E33"/>
    <w:rsid w:val="00C034FA"/>
    <w:rsid w:val="00C03710"/>
    <w:rsid w:val="00C04088"/>
    <w:rsid w:val="00C04337"/>
    <w:rsid w:val="00C04793"/>
    <w:rsid w:val="00C04D5C"/>
    <w:rsid w:val="00C0594B"/>
    <w:rsid w:val="00C05B0B"/>
    <w:rsid w:val="00C0788F"/>
    <w:rsid w:val="00C07A5B"/>
    <w:rsid w:val="00C10704"/>
    <w:rsid w:val="00C108C4"/>
    <w:rsid w:val="00C10B02"/>
    <w:rsid w:val="00C1139C"/>
    <w:rsid w:val="00C11FAA"/>
    <w:rsid w:val="00C12134"/>
    <w:rsid w:val="00C123A0"/>
    <w:rsid w:val="00C125CB"/>
    <w:rsid w:val="00C12989"/>
    <w:rsid w:val="00C1321D"/>
    <w:rsid w:val="00C13488"/>
    <w:rsid w:val="00C136E3"/>
    <w:rsid w:val="00C13C89"/>
    <w:rsid w:val="00C142B9"/>
    <w:rsid w:val="00C14552"/>
    <w:rsid w:val="00C14B16"/>
    <w:rsid w:val="00C15E77"/>
    <w:rsid w:val="00C161C7"/>
    <w:rsid w:val="00C166D7"/>
    <w:rsid w:val="00C1725D"/>
    <w:rsid w:val="00C17980"/>
    <w:rsid w:val="00C203CE"/>
    <w:rsid w:val="00C20AD6"/>
    <w:rsid w:val="00C20B57"/>
    <w:rsid w:val="00C20DED"/>
    <w:rsid w:val="00C215B6"/>
    <w:rsid w:val="00C21845"/>
    <w:rsid w:val="00C21EA9"/>
    <w:rsid w:val="00C21EF7"/>
    <w:rsid w:val="00C2265C"/>
    <w:rsid w:val="00C22AA3"/>
    <w:rsid w:val="00C22CC5"/>
    <w:rsid w:val="00C2311A"/>
    <w:rsid w:val="00C243FE"/>
    <w:rsid w:val="00C2441B"/>
    <w:rsid w:val="00C246AD"/>
    <w:rsid w:val="00C2473B"/>
    <w:rsid w:val="00C25405"/>
    <w:rsid w:val="00C25AD6"/>
    <w:rsid w:val="00C25F0A"/>
    <w:rsid w:val="00C25F81"/>
    <w:rsid w:val="00C264D9"/>
    <w:rsid w:val="00C26705"/>
    <w:rsid w:val="00C26978"/>
    <w:rsid w:val="00C27876"/>
    <w:rsid w:val="00C309F1"/>
    <w:rsid w:val="00C319C6"/>
    <w:rsid w:val="00C31C53"/>
    <w:rsid w:val="00C32482"/>
    <w:rsid w:val="00C32C6B"/>
    <w:rsid w:val="00C33153"/>
    <w:rsid w:val="00C335B7"/>
    <w:rsid w:val="00C33633"/>
    <w:rsid w:val="00C337A1"/>
    <w:rsid w:val="00C3380A"/>
    <w:rsid w:val="00C33A8A"/>
    <w:rsid w:val="00C33C2F"/>
    <w:rsid w:val="00C33D9F"/>
    <w:rsid w:val="00C342D3"/>
    <w:rsid w:val="00C34AB5"/>
    <w:rsid w:val="00C34E15"/>
    <w:rsid w:val="00C34E8D"/>
    <w:rsid w:val="00C353BD"/>
    <w:rsid w:val="00C35748"/>
    <w:rsid w:val="00C35E15"/>
    <w:rsid w:val="00C36AB7"/>
    <w:rsid w:val="00C36C8B"/>
    <w:rsid w:val="00C37110"/>
    <w:rsid w:val="00C372F3"/>
    <w:rsid w:val="00C37B02"/>
    <w:rsid w:val="00C40FD9"/>
    <w:rsid w:val="00C419BC"/>
    <w:rsid w:val="00C42792"/>
    <w:rsid w:val="00C42D92"/>
    <w:rsid w:val="00C435FA"/>
    <w:rsid w:val="00C43B4E"/>
    <w:rsid w:val="00C43CA6"/>
    <w:rsid w:val="00C44AC6"/>
    <w:rsid w:val="00C44B68"/>
    <w:rsid w:val="00C46107"/>
    <w:rsid w:val="00C46413"/>
    <w:rsid w:val="00C4651D"/>
    <w:rsid w:val="00C469DE"/>
    <w:rsid w:val="00C47520"/>
    <w:rsid w:val="00C479E2"/>
    <w:rsid w:val="00C47B66"/>
    <w:rsid w:val="00C501FB"/>
    <w:rsid w:val="00C507DE"/>
    <w:rsid w:val="00C508C5"/>
    <w:rsid w:val="00C51301"/>
    <w:rsid w:val="00C515E9"/>
    <w:rsid w:val="00C520A4"/>
    <w:rsid w:val="00C52126"/>
    <w:rsid w:val="00C52543"/>
    <w:rsid w:val="00C525A9"/>
    <w:rsid w:val="00C5329B"/>
    <w:rsid w:val="00C53BB4"/>
    <w:rsid w:val="00C53D90"/>
    <w:rsid w:val="00C5516C"/>
    <w:rsid w:val="00C551F3"/>
    <w:rsid w:val="00C557A4"/>
    <w:rsid w:val="00C55D09"/>
    <w:rsid w:val="00C565B8"/>
    <w:rsid w:val="00C56FCB"/>
    <w:rsid w:val="00C577B4"/>
    <w:rsid w:val="00C57810"/>
    <w:rsid w:val="00C57D03"/>
    <w:rsid w:val="00C602FE"/>
    <w:rsid w:val="00C6110F"/>
    <w:rsid w:val="00C61FED"/>
    <w:rsid w:val="00C636AB"/>
    <w:rsid w:val="00C63C8C"/>
    <w:rsid w:val="00C64448"/>
    <w:rsid w:val="00C6555B"/>
    <w:rsid w:val="00C6576A"/>
    <w:rsid w:val="00C65A0A"/>
    <w:rsid w:val="00C65B40"/>
    <w:rsid w:val="00C65BD0"/>
    <w:rsid w:val="00C65D83"/>
    <w:rsid w:val="00C66284"/>
    <w:rsid w:val="00C662E5"/>
    <w:rsid w:val="00C664B7"/>
    <w:rsid w:val="00C66773"/>
    <w:rsid w:val="00C67F60"/>
    <w:rsid w:val="00C703E6"/>
    <w:rsid w:val="00C7103F"/>
    <w:rsid w:val="00C71DA9"/>
    <w:rsid w:val="00C71FBD"/>
    <w:rsid w:val="00C72033"/>
    <w:rsid w:val="00C72876"/>
    <w:rsid w:val="00C729D9"/>
    <w:rsid w:val="00C7317E"/>
    <w:rsid w:val="00C73A49"/>
    <w:rsid w:val="00C73C52"/>
    <w:rsid w:val="00C73EE0"/>
    <w:rsid w:val="00C744D2"/>
    <w:rsid w:val="00C749E2"/>
    <w:rsid w:val="00C753D2"/>
    <w:rsid w:val="00C75A28"/>
    <w:rsid w:val="00C765AD"/>
    <w:rsid w:val="00C77367"/>
    <w:rsid w:val="00C77508"/>
    <w:rsid w:val="00C776AE"/>
    <w:rsid w:val="00C80E0A"/>
    <w:rsid w:val="00C81836"/>
    <w:rsid w:val="00C8236A"/>
    <w:rsid w:val="00C828EC"/>
    <w:rsid w:val="00C82D93"/>
    <w:rsid w:val="00C82D9C"/>
    <w:rsid w:val="00C82F5A"/>
    <w:rsid w:val="00C83A60"/>
    <w:rsid w:val="00C84208"/>
    <w:rsid w:val="00C85230"/>
    <w:rsid w:val="00C85A6D"/>
    <w:rsid w:val="00C85F65"/>
    <w:rsid w:val="00C861AF"/>
    <w:rsid w:val="00C8623B"/>
    <w:rsid w:val="00C86A08"/>
    <w:rsid w:val="00C86CD0"/>
    <w:rsid w:val="00C86DB9"/>
    <w:rsid w:val="00C87000"/>
    <w:rsid w:val="00C87620"/>
    <w:rsid w:val="00C90565"/>
    <w:rsid w:val="00C91DDA"/>
    <w:rsid w:val="00C91EC9"/>
    <w:rsid w:val="00C92020"/>
    <w:rsid w:val="00C92F20"/>
    <w:rsid w:val="00C9327F"/>
    <w:rsid w:val="00C94127"/>
    <w:rsid w:val="00C94A78"/>
    <w:rsid w:val="00C953F9"/>
    <w:rsid w:val="00C961F5"/>
    <w:rsid w:val="00C968CB"/>
    <w:rsid w:val="00C96963"/>
    <w:rsid w:val="00C96D6A"/>
    <w:rsid w:val="00C97295"/>
    <w:rsid w:val="00C979A5"/>
    <w:rsid w:val="00C97C1F"/>
    <w:rsid w:val="00CA0A0F"/>
    <w:rsid w:val="00CA0E3F"/>
    <w:rsid w:val="00CA0FE4"/>
    <w:rsid w:val="00CA141F"/>
    <w:rsid w:val="00CA1698"/>
    <w:rsid w:val="00CA1832"/>
    <w:rsid w:val="00CA1DA9"/>
    <w:rsid w:val="00CA2042"/>
    <w:rsid w:val="00CA2110"/>
    <w:rsid w:val="00CA2A13"/>
    <w:rsid w:val="00CA3356"/>
    <w:rsid w:val="00CA3A5E"/>
    <w:rsid w:val="00CA3BE4"/>
    <w:rsid w:val="00CA413C"/>
    <w:rsid w:val="00CA5938"/>
    <w:rsid w:val="00CA5B1D"/>
    <w:rsid w:val="00CA61EF"/>
    <w:rsid w:val="00CA623E"/>
    <w:rsid w:val="00CA63B3"/>
    <w:rsid w:val="00CA63D6"/>
    <w:rsid w:val="00CA6B60"/>
    <w:rsid w:val="00CA74F9"/>
    <w:rsid w:val="00CA79A5"/>
    <w:rsid w:val="00CA7F1E"/>
    <w:rsid w:val="00CA7FA6"/>
    <w:rsid w:val="00CB05F6"/>
    <w:rsid w:val="00CB0D73"/>
    <w:rsid w:val="00CB1B7E"/>
    <w:rsid w:val="00CB20C6"/>
    <w:rsid w:val="00CB2754"/>
    <w:rsid w:val="00CB2A65"/>
    <w:rsid w:val="00CB2D79"/>
    <w:rsid w:val="00CB3671"/>
    <w:rsid w:val="00CB3DF1"/>
    <w:rsid w:val="00CB3FC1"/>
    <w:rsid w:val="00CB4683"/>
    <w:rsid w:val="00CB4EE5"/>
    <w:rsid w:val="00CB5502"/>
    <w:rsid w:val="00CB57C7"/>
    <w:rsid w:val="00CB5990"/>
    <w:rsid w:val="00CB5F63"/>
    <w:rsid w:val="00CB6990"/>
    <w:rsid w:val="00CB69FA"/>
    <w:rsid w:val="00CC021A"/>
    <w:rsid w:val="00CC0F64"/>
    <w:rsid w:val="00CC186A"/>
    <w:rsid w:val="00CC223D"/>
    <w:rsid w:val="00CC2A85"/>
    <w:rsid w:val="00CC3D73"/>
    <w:rsid w:val="00CC4845"/>
    <w:rsid w:val="00CC4D1A"/>
    <w:rsid w:val="00CC543F"/>
    <w:rsid w:val="00CC60E6"/>
    <w:rsid w:val="00CC6389"/>
    <w:rsid w:val="00CC658A"/>
    <w:rsid w:val="00CC6981"/>
    <w:rsid w:val="00CC6C83"/>
    <w:rsid w:val="00CC72F4"/>
    <w:rsid w:val="00CC7445"/>
    <w:rsid w:val="00CC748C"/>
    <w:rsid w:val="00CC7975"/>
    <w:rsid w:val="00CC7D48"/>
    <w:rsid w:val="00CC7ED6"/>
    <w:rsid w:val="00CD01E0"/>
    <w:rsid w:val="00CD01E2"/>
    <w:rsid w:val="00CD059A"/>
    <w:rsid w:val="00CD078D"/>
    <w:rsid w:val="00CD0A21"/>
    <w:rsid w:val="00CD0B36"/>
    <w:rsid w:val="00CD116F"/>
    <w:rsid w:val="00CD2031"/>
    <w:rsid w:val="00CD231C"/>
    <w:rsid w:val="00CD26BB"/>
    <w:rsid w:val="00CD2CEF"/>
    <w:rsid w:val="00CD2E47"/>
    <w:rsid w:val="00CD3249"/>
    <w:rsid w:val="00CD336F"/>
    <w:rsid w:val="00CD3A7B"/>
    <w:rsid w:val="00CD3C01"/>
    <w:rsid w:val="00CD3FE6"/>
    <w:rsid w:val="00CD465F"/>
    <w:rsid w:val="00CD4C9F"/>
    <w:rsid w:val="00CD5657"/>
    <w:rsid w:val="00CD5947"/>
    <w:rsid w:val="00CD59DB"/>
    <w:rsid w:val="00CD5E77"/>
    <w:rsid w:val="00CD6744"/>
    <w:rsid w:val="00CD674E"/>
    <w:rsid w:val="00CD67B0"/>
    <w:rsid w:val="00CD6A04"/>
    <w:rsid w:val="00CD6F32"/>
    <w:rsid w:val="00CD78C4"/>
    <w:rsid w:val="00CD79CB"/>
    <w:rsid w:val="00CD7C7B"/>
    <w:rsid w:val="00CE09F1"/>
    <w:rsid w:val="00CE1443"/>
    <w:rsid w:val="00CE149C"/>
    <w:rsid w:val="00CE14A7"/>
    <w:rsid w:val="00CE1710"/>
    <w:rsid w:val="00CE1BC1"/>
    <w:rsid w:val="00CE22F2"/>
    <w:rsid w:val="00CE2B88"/>
    <w:rsid w:val="00CE2CFB"/>
    <w:rsid w:val="00CE2DEB"/>
    <w:rsid w:val="00CE2E20"/>
    <w:rsid w:val="00CE30E8"/>
    <w:rsid w:val="00CE32E0"/>
    <w:rsid w:val="00CE4AA8"/>
    <w:rsid w:val="00CE4B8F"/>
    <w:rsid w:val="00CE4D79"/>
    <w:rsid w:val="00CE4E2B"/>
    <w:rsid w:val="00CE4E69"/>
    <w:rsid w:val="00CE5F99"/>
    <w:rsid w:val="00CE6261"/>
    <w:rsid w:val="00CE6ADE"/>
    <w:rsid w:val="00CE744C"/>
    <w:rsid w:val="00CE7482"/>
    <w:rsid w:val="00CE7C59"/>
    <w:rsid w:val="00CE7F96"/>
    <w:rsid w:val="00CF01FD"/>
    <w:rsid w:val="00CF09A3"/>
    <w:rsid w:val="00CF1032"/>
    <w:rsid w:val="00CF13D9"/>
    <w:rsid w:val="00CF2084"/>
    <w:rsid w:val="00CF2420"/>
    <w:rsid w:val="00CF277D"/>
    <w:rsid w:val="00CF34FE"/>
    <w:rsid w:val="00CF3AD7"/>
    <w:rsid w:val="00CF40A3"/>
    <w:rsid w:val="00CF486D"/>
    <w:rsid w:val="00CF48ED"/>
    <w:rsid w:val="00CF5780"/>
    <w:rsid w:val="00CF57B7"/>
    <w:rsid w:val="00CF5DA7"/>
    <w:rsid w:val="00CF647A"/>
    <w:rsid w:val="00CF6C5C"/>
    <w:rsid w:val="00CF6CEE"/>
    <w:rsid w:val="00CF7122"/>
    <w:rsid w:val="00CF7217"/>
    <w:rsid w:val="00CF73D2"/>
    <w:rsid w:val="00CF75D9"/>
    <w:rsid w:val="00CF7914"/>
    <w:rsid w:val="00D001EB"/>
    <w:rsid w:val="00D00389"/>
    <w:rsid w:val="00D0068A"/>
    <w:rsid w:val="00D008F1"/>
    <w:rsid w:val="00D00B6C"/>
    <w:rsid w:val="00D011B6"/>
    <w:rsid w:val="00D014FB"/>
    <w:rsid w:val="00D01656"/>
    <w:rsid w:val="00D01681"/>
    <w:rsid w:val="00D0182D"/>
    <w:rsid w:val="00D0260D"/>
    <w:rsid w:val="00D02D04"/>
    <w:rsid w:val="00D02EDA"/>
    <w:rsid w:val="00D03C52"/>
    <w:rsid w:val="00D04CA9"/>
    <w:rsid w:val="00D04E11"/>
    <w:rsid w:val="00D0546C"/>
    <w:rsid w:val="00D05E2B"/>
    <w:rsid w:val="00D05FD0"/>
    <w:rsid w:val="00D06093"/>
    <w:rsid w:val="00D06579"/>
    <w:rsid w:val="00D06797"/>
    <w:rsid w:val="00D06DF9"/>
    <w:rsid w:val="00D06F32"/>
    <w:rsid w:val="00D07AEB"/>
    <w:rsid w:val="00D07C69"/>
    <w:rsid w:val="00D07ED5"/>
    <w:rsid w:val="00D1019D"/>
    <w:rsid w:val="00D10433"/>
    <w:rsid w:val="00D104BD"/>
    <w:rsid w:val="00D1060B"/>
    <w:rsid w:val="00D10C41"/>
    <w:rsid w:val="00D10EB3"/>
    <w:rsid w:val="00D11235"/>
    <w:rsid w:val="00D112E3"/>
    <w:rsid w:val="00D11650"/>
    <w:rsid w:val="00D11F55"/>
    <w:rsid w:val="00D12795"/>
    <w:rsid w:val="00D13254"/>
    <w:rsid w:val="00D132C4"/>
    <w:rsid w:val="00D1332C"/>
    <w:rsid w:val="00D14095"/>
    <w:rsid w:val="00D1428A"/>
    <w:rsid w:val="00D14356"/>
    <w:rsid w:val="00D1526A"/>
    <w:rsid w:val="00D153AB"/>
    <w:rsid w:val="00D15A5B"/>
    <w:rsid w:val="00D16177"/>
    <w:rsid w:val="00D16351"/>
    <w:rsid w:val="00D16BE2"/>
    <w:rsid w:val="00D175AE"/>
    <w:rsid w:val="00D2015E"/>
    <w:rsid w:val="00D202BA"/>
    <w:rsid w:val="00D21498"/>
    <w:rsid w:val="00D21777"/>
    <w:rsid w:val="00D22031"/>
    <w:rsid w:val="00D22C8E"/>
    <w:rsid w:val="00D22DE8"/>
    <w:rsid w:val="00D23261"/>
    <w:rsid w:val="00D23A79"/>
    <w:rsid w:val="00D2421B"/>
    <w:rsid w:val="00D25819"/>
    <w:rsid w:val="00D2659F"/>
    <w:rsid w:val="00D26EA3"/>
    <w:rsid w:val="00D2704D"/>
    <w:rsid w:val="00D276DB"/>
    <w:rsid w:val="00D27A4D"/>
    <w:rsid w:val="00D30C01"/>
    <w:rsid w:val="00D3152A"/>
    <w:rsid w:val="00D31607"/>
    <w:rsid w:val="00D32068"/>
    <w:rsid w:val="00D32130"/>
    <w:rsid w:val="00D32315"/>
    <w:rsid w:val="00D3324C"/>
    <w:rsid w:val="00D33577"/>
    <w:rsid w:val="00D33B85"/>
    <w:rsid w:val="00D33D48"/>
    <w:rsid w:val="00D3403F"/>
    <w:rsid w:val="00D34A98"/>
    <w:rsid w:val="00D34F50"/>
    <w:rsid w:val="00D35073"/>
    <w:rsid w:val="00D35AAB"/>
    <w:rsid w:val="00D36F99"/>
    <w:rsid w:val="00D3746E"/>
    <w:rsid w:val="00D375E4"/>
    <w:rsid w:val="00D37CB1"/>
    <w:rsid w:val="00D37F76"/>
    <w:rsid w:val="00D41358"/>
    <w:rsid w:val="00D41CBA"/>
    <w:rsid w:val="00D41CF7"/>
    <w:rsid w:val="00D4277C"/>
    <w:rsid w:val="00D4316B"/>
    <w:rsid w:val="00D4423C"/>
    <w:rsid w:val="00D4435A"/>
    <w:rsid w:val="00D4458E"/>
    <w:rsid w:val="00D4468A"/>
    <w:rsid w:val="00D44814"/>
    <w:rsid w:val="00D45530"/>
    <w:rsid w:val="00D45C85"/>
    <w:rsid w:val="00D45D12"/>
    <w:rsid w:val="00D46217"/>
    <w:rsid w:val="00D463A0"/>
    <w:rsid w:val="00D474F2"/>
    <w:rsid w:val="00D47718"/>
    <w:rsid w:val="00D479D5"/>
    <w:rsid w:val="00D47D5D"/>
    <w:rsid w:val="00D50994"/>
    <w:rsid w:val="00D51C59"/>
    <w:rsid w:val="00D51E8F"/>
    <w:rsid w:val="00D524A5"/>
    <w:rsid w:val="00D53054"/>
    <w:rsid w:val="00D5382E"/>
    <w:rsid w:val="00D53F13"/>
    <w:rsid w:val="00D55226"/>
    <w:rsid w:val="00D5556F"/>
    <w:rsid w:val="00D557E7"/>
    <w:rsid w:val="00D55981"/>
    <w:rsid w:val="00D55E87"/>
    <w:rsid w:val="00D55F0B"/>
    <w:rsid w:val="00D56392"/>
    <w:rsid w:val="00D56714"/>
    <w:rsid w:val="00D56CB6"/>
    <w:rsid w:val="00D57FD7"/>
    <w:rsid w:val="00D6038C"/>
    <w:rsid w:val="00D605EC"/>
    <w:rsid w:val="00D60A97"/>
    <w:rsid w:val="00D60ABF"/>
    <w:rsid w:val="00D60B9C"/>
    <w:rsid w:val="00D61191"/>
    <w:rsid w:val="00D61658"/>
    <w:rsid w:val="00D6352D"/>
    <w:rsid w:val="00D63B92"/>
    <w:rsid w:val="00D63F8B"/>
    <w:rsid w:val="00D642AA"/>
    <w:rsid w:val="00D6430A"/>
    <w:rsid w:val="00D64480"/>
    <w:rsid w:val="00D657EC"/>
    <w:rsid w:val="00D66267"/>
    <w:rsid w:val="00D66BC8"/>
    <w:rsid w:val="00D6769E"/>
    <w:rsid w:val="00D676D1"/>
    <w:rsid w:val="00D67AA4"/>
    <w:rsid w:val="00D67C8C"/>
    <w:rsid w:val="00D71C07"/>
    <w:rsid w:val="00D72223"/>
    <w:rsid w:val="00D726BD"/>
    <w:rsid w:val="00D73F85"/>
    <w:rsid w:val="00D7430F"/>
    <w:rsid w:val="00D75C9A"/>
    <w:rsid w:val="00D76198"/>
    <w:rsid w:val="00D76328"/>
    <w:rsid w:val="00D768EB"/>
    <w:rsid w:val="00D76BD8"/>
    <w:rsid w:val="00D76F1E"/>
    <w:rsid w:val="00D76F8A"/>
    <w:rsid w:val="00D777BE"/>
    <w:rsid w:val="00D77B23"/>
    <w:rsid w:val="00D77B78"/>
    <w:rsid w:val="00D800DA"/>
    <w:rsid w:val="00D806DA"/>
    <w:rsid w:val="00D807D1"/>
    <w:rsid w:val="00D80DDC"/>
    <w:rsid w:val="00D812FD"/>
    <w:rsid w:val="00D81BD2"/>
    <w:rsid w:val="00D82244"/>
    <w:rsid w:val="00D83EFB"/>
    <w:rsid w:val="00D84236"/>
    <w:rsid w:val="00D84A85"/>
    <w:rsid w:val="00D85DCE"/>
    <w:rsid w:val="00D85FE8"/>
    <w:rsid w:val="00D86037"/>
    <w:rsid w:val="00D86E83"/>
    <w:rsid w:val="00D87965"/>
    <w:rsid w:val="00D90945"/>
    <w:rsid w:val="00D90976"/>
    <w:rsid w:val="00D92120"/>
    <w:rsid w:val="00D9234F"/>
    <w:rsid w:val="00D92FDB"/>
    <w:rsid w:val="00D930C8"/>
    <w:rsid w:val="00D9366B"/>
    <w:rsid w:val="00D93BC6"/>
    <w:rsid w:val="00D93E76"/>
    <w:rsid w:val="00D94598"/>
    <w:rsid w:val="00D952CF"/>
    <w:rsid w:val="00D95BB4"/>
    <w:rsid w:val="00D961E5"/>
    <w:rsid w:val="00D968DF"/>
    <w:rsid w:val="00D9731C"/>
    <w:rsid w:val="00D97B5E"/>
    <w:rsid w:val="00D97E68"/>
    <w:rsid w:val="00DA0339"/>
    <w:rsid w:val="00DA0510"/>
    <w:rsid w:val="00DA0638"/>
    <w:rsid w:val="00DA0B72"/>
    <w:rsid w:val="00DA0C8D"/>
    <w:rsid w:val="00DA119C"/>
    <w:rsid w:val="00DA15DC"/>
    <w:rsid w:val="00DA28CA"/>
    <w:rsid w:val="00DA28F4"/>
    <w:rsid w:val="00DA2949"/>
    <w:rsid w:val="00DA3602"/>
    <w:rsid w:val="00DA3B61"/>
    <w:rsid w:val="00DA3E0A"/>
    <w:rsid w:val="00DA3E24"/>
    <w:rsid w:val="00DA428C"/>
    <w:rsid w:val="00DA44F6"/>
    <w:rsid w:val="00DA46A5"/>
    <w:rsid w:val="00DA482D"/>
    <w:rsid w:val="00DA4983"/>
    <w:rsid w:val="00DA49DD"/>
    <w:rsid w:val="00DA4F2F"/>
    <w:rsid w:val="00DA5777"/>
    <w:rsid w:val="00DA5C23"/>
    <w:rsid w:val="00DA5F9F"/>
    <w:rsid w:val="00DA62C1"/>
    <w:rsid w:val="00DA6739"/>
    <w:rsid w:val="00DA6AB7"/>
    <w:rsid w:val="00DA7178"/>
    <w:rsid w:val="00DA7359"/>
    <w:rsid w:val="00DB05E6"/>
    <w:rsid w:val="00DB1923"/>
    <w:rsid w:val="00DB1F7F"/>
    <w:rsid w:val="00DB2238"/>
    <w:rsid w:val="00DB27FC"/>
    <w:rsid w:val="00DB2A0B"/>
    <w:rsid w:val="00DB2C18"/>
    <w:rsid w:val="00DB39B8"/>
    <w:rsid w:val="00DB3CD7"/>
    <w:rsid w:val="00DB3DE4"/>
    <w:rsid w:val="00DB3EF0"/>
    <w:rsid w:val="00DB3F7C"/>
    <w:rsid w:val="00DB4972"/>
    <w:rsid w:val="00DB54C7"/>
    <w:rsid w:val="00DB6079"/>
    <w:rsid w:val="00DB765B"/>
    <w:rsid w:val="00DB7749"/>
    <w:rsid w:val="00DC10D1"/>
    <w:rsid w:val="00DC1F43"/>
    <w:rsid w:val="00DC247E"/>
    <w:rsid w:val="00DC2EE4"/>
    <w:rsid w:val="00DC2FB7"/>
    <w:rsid w:val="00DC361D"/>
    <w:rsid w:val="00DC3704"/>
    <w:rsid w:val="00DC38C3"/>
    <w:rsid w:val="00DC3996"/>
    <w:rsid w:val="00DC3E12"/>
    <w:rsid w:val="00DC3FC8"/>
    <w:rsid w:val="00DC4D09"/>
    <w:rsid w:val="00DC57B1"/>
    <w:rsid w:val="00DC5833"/>
    <w:rsid w:val="00DC5D36"/>
    <w:rsid w:val="00DC6477"/>
    <w:rsid w:val="00DC6ACB"/>
    <w:rsid w:val="00DC6C58"/>
    <w:rsid w:val="00DC74E6"/>
    <w:rsid w:val="00DC74F1"/>
    <w:rsid w:val="00DC7A6B"/>
    <w:rsid w:val="00DD038F"/>
    <w:rsid w:val="00DD03F5"/>
    <w:rsid w:val="00DD0842"/>
    <w:rsid w:val="00DD115A"/>
    <w:rsid w:val="00DD17EF"/>
    <w:rsid w:val="00DD1C92"/>
    <w:rsid w:val="00DD2021"/>
    <w:rsid w:val="00DD29AD"/>
    <w:rsid w:val="00DD372B"/>
    <w:rsid w:val="00DD4280"/>
    <w:rsid w:val="00DD4882"/>
    <w:rsid w:val="00DD4A3D"/>
    <w:rsid w:val="00DD4BD3"/>
    <w:rsid w:val="00DD5C46"/>
    <w:rsid w:val="00DD671E"/>
    <w:rsid w:val="00DD6822"/>
    <w:rsid w:val="00DD6E46"/>
    <w:rsid w:val="00DD7423"/>
    <w:rsid w:val="00DD78A0"/>
    <w:rsid w:val="00DD78DD"/>
    <w:rsid w:val="00DD7ABF"/>
    <w:rsid w:val="00DD7B2D"/>
    <w:rsid w:val="00DE12E9"/>
    <w:rsid w:val="00DE1376"/>
    <w:rsid w:val="00DE188A"/>
    <w:rsid w:val="00DE1EA4"/>
    <w:rsid w:val="00DE2126"/>
    <w:rsid w:val="00DE26AF"/>
    <w:rsid w:val="00DE274F"/>
    <w:rsid w:val="00DE2A6A"/>
    <w:rsid w:val="00DE2B1B"/>
    <w:rsid w:val="00DE3048"/>
    <w:rsid w:val="00DE4081"/>
    <w:rsid w:val="00DE5399"/>
    <w:rsid w:val="00DE5683"/>
    <w:rsid w:val="00DE5E01"/>
    <w:rsid w:val="00DE61F1"/>
    <w:rsid w:val="00DE6611"/>
    <w:rsid w:val="00DE6A81"/>
    <w:rsid w:val="00DE6C46"/>
    <w:rsid w:val="00DE72B2"/>
    <w:rsid w:val="00DF0922"/>
    <w:rsid w:val="00DF0F84"/>
    <w:rsid w:val="00DF18E2"/>
    <w:rsid w:val="00DF2911"/>
    <w:rsid w:val="00DF33F9"/>
    <w:rsid w:val="00DF34B0"/>
    <w:rsid w:val="00DF39EC"/>
    <w:rsid w:val="00DF4A0E"/>
    <w:rsid w:val="00DF569C"/>
    <w:rsid w:val="00DF5FC6"/>
    <w:rsid w:val="00DF612F"/>
    <w:rsid w:val="00DF6948"/>
    <w:rsid w:val="00DF6EE7"/>
    <w:rsid w:val="00DF7A47"/>
    <w:rsid w:val="00DF7D48"/>
    <w:rsid w:val="00E00CBB"/>
    <w:rsid w:val="00E00FAC"/>
    <w:rsid w:val="00E026F2"/>
    <w:rsid w:val="00E028E4"/>
    <w:rsid w:val="00E02F82"/>
    <w:rsid w:val="00E030CB"/>
    <w:rsid w:val="00E0337A"/>
    <w:rsid w:val="00E03A2D"/>
    <w:rsid w:val="00E03AD3"/>
    <w:rsid w:val="00E03F76"/>
    <w:rsid w:val="00E04D9F"/>
    <w:rsid w:val="00E05029"/>
    <w:rsid w:val="00E0506C"/>
    <w:rsid w:val="00E05A8F"/>
    <w:rsid w:val="00E061D5"/>
    <w:rsid w:val="00E072DC"/>
    <w:rsid w:val="00E07409"/>
    <w:rsid w:val="00E10916"/>
    <w:rsid w:val="00E10C77"/>
    <w:rsid w:val="00E1102B"/>
    <w:rsid w:val="00E113E2"/>
    <w:rsid w:val="00E11A58"/>
    <w:rsid w:val="00E11B80"/>
    <w:rsid w:val="00E122C0"/>
    <w:rsid w:val="00E12654"/>
    <w:rsid w:val="00E12EA8"/>
    <w:rsid w:val="00E136A1"/>
    <w:rsid w:val="00E14EA6"/>
    <w:rsid w:val="00E15452"/>
    <w:rsid w:val="00E15585"/>
    <w:rsid w:val="00E15B25"/>
    <w:rsid w:val="00E160D6"/>
    <w:rsid w:val="00E171BC"/>
    <w:rsid w:val="00E17F11"/>
    <w:rsid w:val="00E17F51"/>
    <w:rsid w:val="00E20A52"/>
    <w:rsid w:val="00E21C26"/>
    <w:rsid w:val="00E2241D"/>
    <w:rsid w:val="00E22939"/>
    <w:rsid w:val="00E22FB0"/>
    <w:rsid w:val="00E230B1"/>
    <w:rsid w:val="00E23388"/>
    <w:rsid w:val="00E23EFD"/>
    <w:rsid w:val="00E23F3F"/>
    <w:rsid w:val="00E240E5"/>
    <w:rsid w:val="00E24210"/>
    <w:rsid w:val="00E25A41"/>
    <w:rsid w:val="00E26043"/>
    <w:rsid w:val="00E2626D"/>
    <w:rsid w:val="00E2679F"/>
    <w:rsid w:val="00E26D21"/>
    <w:rsid w:val="00E27CE0"/>
    <w:rsid w:val="00E30407"/>
    <w:rsid w:val="00E30C70"/>
    <w:rsid w:val="00E31A09"/>
    <w:rsid w:val="00E31F3A"/>
    <w:rsid w:val="00E322E4"/>
    <w:rsid w:val="00E32E2E"/>
    <w:rsid w:val="00E33A4A"/>
    <w:rsid w:val="00E345A3"/>
    <w:rsid w:val="00E356A6"/>
    <w:rsid w:val="00E3683F"/>
    <w:rsid w:val="00E3685D"/>
    <w:rsid w:val="00E369BD"/>
    <w:rsid w:val="00E37C2D"/>
    <w:rsid w:val="00E40599"/>
    <w:rsid w:val="00E40AB1"/>
    <w:rsid w:val="00E41A8E"/>
    <w:rsid w:val="00E41D54"/>
    <w:rsid w:val="00E42134"/>
    <w:rsid w:val="00E4244F"/>
    <w:rsid w:val="00E4256E"/>
    <w:rsid w:val="00E425F3"/>
    <w:rsid w:val="00E426D2"/>
    <w:rsid w:val="00E42A37"/>
    <w:rsid w:val="00E42A3C"/>
    <w:rsid w:val="00E42B2D"/>
    <w:rsid w:val="00E43040"/>
    <w:rsid w:val="00E4307B"/>
    <w:rsid w:val="00E439A0"/>
    <w:rsid w:val="00E43C1E"/>
    <w:rsid w:val="00E44158"/>
    <w:rsid w:val="00E443A1"/>
    <w:rsid w:val="00E447B2"/>
    <w:rsid w:val="00E44F09"/>
    <w:rsid w:val="00E44FFC"/>
    <w:rsid w:val="00E45211"/>
    <w:rsid w:val="00E45EF9"/>
    <w:rsid w:val="00E46B48"/>
    <w:rsid w:val="00E476D9"/>
    <w:rsid w:val="00E476DE"/>
    <w:rsid w:val="00E479C4"/>
    <w:rsid w:val="00E5004D"/>
    <w:rsid w:val="00E503B8"/>
    <w:rsid w:val="00E52B62"/>
    <w:rsid w:val="00E52BEE"/>
    <w:rsid w:val="00E534CA"/>
    <w:rsid w:val="00E5429B"/>
    <w:rsid w:val="00E5527D"/>
    <w:rsid w:val="00E552E9"/>
    <w:rsid w:val="00E55EDD"/>
    <w:rsid w:val="00E56478"/>
    <w:rsid w:val="00E57DDC"/>
    <w:rsid w:val="00E57FA4"/>
    <w:rsid w:val="00E60DC6"/>
    <w:rsid w:val="00E61299"/>
    <w:rsid w:val="00E61814"/>
    <w:rsid w:val="00E622C8"/>
    <w:rsid w:val="00E622F4"/>
    <w:rsid w:val="00E62B8B"/>
    <w:rsid w:val="00E62E7E"/>
    <w:rsid w:val="00E64567"/>
    <w:rsid w:val="00E64612"/>
    <w:rsid w:val="00E64C51"/>
    <w:rsid w:val="00E64D80"/>
    <w:rsid w:val="00E65059"/>
    <w:rsid w:val="00E65BAC"/>
    <w:rsid w:val="00E66177"/>
    <w:rsid w:val="00E66612"/>
    <w:rsid w:val="00E66799"/>
    <w:rsid w:val="00E66BDF"/>
    <w:rsid w:val="00E67054"/>
    <w:rsid w:val="00E71510"/>
    <w:rsid w:val="00E71598"/>
    <w:rsid w:val="00E7181D"/>
    <w:rsid w:val="00E71B55"/>
    <w:rsid w:val="00E71DD4"/>
    <w:rsid w:val="00E7205E"/>
    <w:rsid w:val="00E720E1"/>
    <w:rsid w:val="00E72C85"/>
    <w:rsid w:val="00E72EB8"/>
    <w:rsid w:val="00E73892"/>
    <w:rsid w:val="00E744DA"/>
    <w:rsid w:val="00E74995"/>
    <w:rsid w:val="00E74C10"/>
    <w:rsid w:val="00E74E5C"/>
    <w:rsid w:val="00E75B21"/>
    <w:rsid w:val="00E75BEE"/>
    <w:rsid w:val="00E75E30"/>
    <w:rsid w:val="00E761A7"/>
    <w:rsid w:val="00E76B0D"/>
    <w:rsid w:val="00E76B2A"/>
    <w:rsid w:val="00E770FD"/>
    <w:rsid w:val="00E774CF"/>
    <w:rsid w:val="00E80263"/>
    <w:rsid w:val="00E80736"/>
    <w:rsid w:val="00E80B42"/>
    <w:rsid w:val="00E8116A"/>
    <w:rsid w:val="00E813A2"/>
    <w:rsid w:val="00E821AA"/>
    <w:rsid w:val="00E82566"/>
    <w:rsid w:val="00E82BD7"/>
    <w:rsid w:val="00E8308D"/>
    <w:rsid w:val="00E846B4"/>
    <w:rsid w:val="00E84B8C"/>
    <w:rsid w:val="00E852AD"/>
    <w:rsid w:val="00E85304"/>
    <w:rsid w:val="00E85474"/>
    <w:rsid w:val="00E86ACA"/>
    <w:rsid w:val="00E86C91"/>
    <w:rsid w:val="00E86F67"/>
    <w:rsid w:val="00E877FA"/>
    <w:rsid w:val="00E90361"/>
    <w:rsid w:val="00E90552"/>
    <w:rsid w:val="00E907C0"/>
    <w:rsid w:val="00E91010"/>
    <w:rsid w:val="00E91566"/>
    <w:rsid w:val="00E9196F"/>
    <w:rsid w:val="00E91D9C"/>
    <w:rsid w:val="00E92392"/>
    <w:rsid w:val="00E9268B"/>
    <w:rsid w:val="00E92EBC"/>
    <w:rsid w:val="00E9325F"/>
    <w:rsid w:val="00E93A4A"/>
    <w:rsid w:val="00E93B6E"/>
    <w:rsid w:val="00E93BB3"/>
    <w:rsid w:val="00E94195"/>
    <w:rsid w:val="00E94680"/>
    <w:rsid w:val="00E94E67"/>
    <w:rsid w:val="00E956B5"/>
    <w:rsid w:val="00E961B5"/>
    <w:rsid w:val="00E962E4"/>
    <w:rsid w:val="00E9656D"/>
    <w:rsid w:val="00E96FD1"/>
    <w:rsid w:val="00E97BDE"/>
    <w:rsid w:val="00E97E74"/>
    <w:rsid w:val="00EA1005"/>
    <w:rsid w:val="00EA19BA"/>
    <w:rsid w:val="00EA1ADD"/>
    <w:rsid w:val="00EA1FBC"/>
    <w:rsid w:val="00EA2EAB"/>
    <w:rsid w:val="00EA35C2"/>
    <w:rsid w:val="00EA388C"/>
    <w:rsid w:val="00EA3AC7"/>
    <w:rsid w:val="00EA3C8D"/>
    <w:rsid w:val="00EA3EAC"/>
    <w:rsid w:val="00EA41DE"/>
    <w:rsid w:val="00EA4588"/>
    <w:rsid w:val="00EA4EC8"/>
    <w:rsid w:val="00EA561D"/>
    <w:rsid w:val="00EA5CA5"/>
    <w:rsid w:val="00EA673B"/>
    <w:rsid w:val="00EA68D6"/>
    <w:rsid w:val="00EA69A8"/>
    <w:rsid w:val="00EA6DBF"/>
    <w:rsid w:val="00EA6EC0"/>
    <w:rsid w:val="00EA6F0A"/>
    <w:rsid w:val="00EA7458"/>
    <w:rsid w:val="00EA788B"/>
    <w:rsid w:val="00EB02F9"/>
    <w:rsid w:val="00EB053E"/>
    <w:rsid w:val="00EB0850"/>
    <w:rsid w:val="00EB187E"/>
    <w:rsid w:val="00EB1D5B"/>
    <w:rsid w:val="00EB1ED1"/>
    <w:rsid w:val="00EB2D39"/>
    <w:rsid w:val="00EB3166"/>
    <w:rsid w:val="00EB36D0"/>
    <w:rsid w:val="00EB39D3"/>
    <w:rsid w:val="00EB3C29"/>
    <w:rsid w:val="00EB3F94"/>
    <w:rsid w:val="00EB407A"/>
    <w:rsid w:val="00EB454B"/>
    <w:rsid w:val="00EB4B74"/>
    <w:rsid w:val="00EB4EE9"/>
    <w:rsid w:val="00EB5404"/>
    <w:rsid w:val="00EB5944"/>
    <w:rsid w:val="00EB5B69"/>
    <w:rsid w:val="00EB619C"/>
    <w:rsid w:val="00EB6A00"/>
    <w:rsid w:val="00EB716D"/>
    <w:rsid w:val="00EB78B1"/>
    <w:rsid w:val="00EB7929"/>
    <w:rsid w:val="00EB7C84"/>
    <w:rsid w:val="00EC0571"/>
    <w:rsid w:val="00EC0D61"/>
    <w:rsid w:val="00EC0D73"/>
    <w:rsid w:val="00EC1813"/>
    <w:rsid w:val="00EC1D93"/>
    <w:rsid w:val="00EC1ECC"/>
    <w:rsid w:val="00EC2345"/>
    <w:rsid w:val="00EC2766"/>
    <w:rsid w:val="00EC2A67"/>
    <w:rsid w:val="00EC2D8B"/>
    <w:rsid w:val="00EC307C"/>
    <w:rsid w:val="00EC334E"/>
    <w:rsid w:val="00EC3CA0"/>
    <w:rsid w:val="00EC4BC4"/>
    <w:rsid w:val="00EC5341"/>
    <w:rsid w:val="00EC566F"/>
    <w:rsid w:val="00EC5FF4"/>
    <w:rsid w:val="00EC6211"/>
    <w:rsid w:val="00EC6CDD"/>
    <w:rsid w:val="00EC7036"/>
    <w:rsid w:val="00EC71A9"/>
    <w:rsid w:val="00EC739F"/>
    <w:rsid w:val="00EC79BE"/>
    <w:rsid w:val="00ED0344"/>
    <w:rsid w:val="00ED0771"/>
    <w:rsid w:val="00ED0AFC"/>
    <w:rsid w:val="00ED13ED"/>
    <w:rsid w:val="00ED1815"/>
    <w:rsid w:val="00ED1D6A"/>
    <w:rsid w:val="00ED23E1"/>
    <w:rsid w:val="00ED2AA3"/>
    <w:rsid w:val="00ED2EAE"/>
    <w:rsid w:val="00ED4711"/>
    <w:rsid w:val="00ED4C2B"/>
    <w:rsid w:val="00ED4DE8"/>
    <w:rsid w:val="00ED4EB9"/>
    <w:rsid w:val="00ED507F"/>
    <w:rsid w:val="00ED5FE0"/>
    <w:rsid w:val="00ED661C"/>
    <w:rsid w:val="00ED72AA"/>
    <w:rsid w:val="00ED7737"/>
    <w:rsid w:val="00EE0298"/>
    <w:rsid w:val="00EE041D"/>
    <w:rsid w:val="00EE0648"/>
    <w:rsid w:val="00EE16F3"/>
    <w:rsid w:val="00EE2775"/>
    <w:rsid w:val="00EE282E"/>
    <w:rsid w:val="00EE2A16"/>
    <w:rsid w:val="00EE2BD0"/>
    <w:rsid w:val="00EE3327"/>
    <w:rsid w:val="00EE35CF"/>
    <w:rsid w:val="00EE4657"/>
    <w:rsid w:val="00EE4717"/>
    <w:rsid w:val="00EE47E1"/>
    <w:rsid w:val="00EE4A05"/>
    <w:rsid w:val="00EE5438"/>
    <w:rsid w:val="00EE5574"/>
    <w:rsid w:val="00EE570D"/>
    <w:rsid w:val="00EE67C7"/>
    <w:rsid w:val="00EE6A5F"/>
    <w:rsid w:val="00EE6DC8"/>
    <w:rsid w:val="00EE6F85"/>
    <w:rsid w:val="00EE761E"/>
    <w:rsid w:val="00EE777A"/>
    <w:rsid w:val="00EF065B"/>
    <w:rsid w:val="00EF06BD"/>
    <w:rsid w:val="00EF0969"/>
    <w:rsid w:val="00EF0EAF"/>
    <w:rsid w:val="00EF1236"/>
    <w:rsid w:val="00EF13B6"/>
    <w:rsid w:val="00EF1495"/>
    <w:rsid w:val="00EF20DF"/>
    <w:rsid w:val="00EF2642"/>
    <w:rsid w:val="00EF36D7"/>
    <w:rsid w:val="00EF3AC2"/>
    <w:rsid w:val="00EF4B2C"/>
    <w:rsid w:val="00EF538C"/>
    <w:rsid w:val="00EF5471"/>
    <w:rsid w:val="00EF5865"/>
    <w:rsid w:val="00EF5DED"/>
    <w:rsid w:val="00EF5FDB"/>
    <w:rsid w:val="00EF7281"/>
    <w:rsid w:val="00EF7538"/>
    <w:rsid w:val="00EF762B"/>
    <w:rsid w:val="00F00A19"/>
    <w:rsid w:val="00F021C2"/>
    <w:rsid w:val="00F0226F"/>
    <w:rsid w:val="00F02478"/>
    <w:rsid w:val="00F02B86"/>
    <w:rsid w:val="00F02E2B"/>
    <w:rsid w:val="00F02F91"/>
    <w:rsid w:val="00F03000"/>
    <w:rsid w:val="00F0315A"/>
    <w:rsid w:val="00F0378F"/>
    <w:rsid w:val="00F03A64"/>
    <w:rsid w:val="00F04610"/>
    <w:rsid w:val="00F04670"/>
    <w:rsid w:val="00F04A35"/>
    <w:rsid w:val="00F052B8"/>
    <w:rsid w:val="00F05C54"/>
    <w:rsid w:val="00F06994"/>
    <w:rsid w:val="00F06D9D"/>
    <w:rsid w:val="00F07317"/>
    <w:rsid w:val="00F0749C"/>
    <w:rsid w:val="00F10555"/>
    <w:rsid w:val="00F10C5A"/>
    <w:rsid w:val="00F118CB"/>
    <w:rsid w:val="00F11DBC"/>
    <w:rsid w:val="00F11E6D"/>
    <w:rsid w:val="00F11FED"/>
    <w:rsid w:val="00F12521"/>
    <w:rsid w:val="00F1260D"/>
    <w:rsid w:val="00F12639"/>
    <w:rsid w:val="00F13948"/>
    <w:rsid w:val="00F1410E"/>
    <w:rsid w:val="00F14145"/>
    <w:rsid w:val="00F1495D"/>
    <w:rsid w:val="00F14A8C"/>
    <w:rsid w:val="00F14B04"/>
    <w:rsid w:val="00F14E1B"/>
    <w:rsid w:val="00F152B3"/>
    <w:rsid w:val="00F163EC"/>
    <w:rsid w:val="00F1683C"/>
    <w:rsid w:val="00F16999"/>
    <w:rsid w:val="00F16EB0"/>
    <w:rsid w:val="00F175A1"/>
    <w:rsid w:val="00F179A5"/>
    <w:rsid w:val="00F203E4"/>
    <w:rsid w:val="00F20615"/>
    <w:rsid w:val="00F21086"/>
    <w:rsid w:val="00F22187"/>
    <w:rsid w:val="00F222EE"/>
    <w:rsid w:val="00F24CF4"/>
    <w:rsid w:val="00F25168"/>
    <w:rsid w:val="00F25BC2"/>
    <w:rsid w:val="00F26C71"/>
    <w:rsid w:val="00F3043F"/>
    <w:rsid w:val="00F30B36"/>
    <w:rsid w:val="00F30CC3"/>
    <w:rsid w:val="00F30F29"/>
    <w:rsid w:val="00F3148D"/>
    <w:rsid w:val="00F31992"/>
    <w:rsid w:val="00F323FD"/>
    <w:rsid w:val="00F3447A"/>
    <w:rsid w:val="00F3499B"/>
    <w:rsid w:val="00F34AD2"/>
    <w:rsid w:val="00F35097"/>
    <w:rsid w:val="00F353C7"/>
    <w:rsid w:val="00F35FBA"/>
    <w:rsid w:val="00F36443"/>
    <w:rsid w:val="00F368FE"/>
    <w:rsid w:val="00F36E3A"/>
    <w:rsid w:val="00F3795D"/>
    <w:rsid w:val="00F40F06"/>
    <w:rsid w:val="00F415E9"/>
    <w:rsid w:val="00F4169D"/>
    <w:rsid w:val="00F4229A"/>
    <w:rsid w:val="00F43FFC"/>
    <w:rsid w:val="00F4444E"/>
    <w:rsid w:val="00F444A5"/>
    <w:rsid w:val="00F455BC"/>
    <w:rsid w:val="00F45DE5"/>
    <w:rsid w:val="00F4603D"/>
    <w:rsid w:val="00F46304"/>
    <w:rsid w:val="00F469B8"/>
    <w:rsid w:val="00F477E6"/>
    <w:rsid w:val="00F478FA"/>
    <w:rsid w:val="00F47EC4"/>
    <w:rsid w:val="00F5002F"/>
    <w:rsid w:val="00F502A7"/>
    <w:rsid w:val="00F502C0"/>
    <w:rsid w:val="00F50688"/>
    <w:rsid w:val="00F5171B"/>
    <w:rsid w:val="00F51740"/>
    <w:rsid w:val="00F52269"/>
    <w:rsid w:val="00F529D8"/>
    <w:rsid w:val="00F52C30"/>
    <w:rsid w:val="00F52DD2"/>
    <w:rsid w:val="00F53196"/>
    <w:rsid w:val="00F53483"/>
    <w:rsid w:val="00F54392"/>
    <w:rsid w:val="00F54C4C"/>
    <w:rsid w:val="00F54EBF"/>
    <w:rsid w:val="00F55C59"/>
    <w:rsid w:val="00F55F8E"/>
    <w:rsid w:val="00F56587"/>
    <w:rsid w:val="00F57174"/>
    <w:rsid w:val="00F575BD"/>
    <w:rsid w:val="00F57CDA"/>
    <w:rsid w:val="00F6033C"/>
    <w:rsid w:val="00F60447"/>
    <w:rsid w:val="00F60A71"/>
    <w:rsid w:val="00F61CE8"/>
    <w:rsid w:val="00F61E1A"/>
    <w:rsid w:val="00F62227"/>
    <w:rsid w:val="00F62713"/>
    <w:rsid w:val="00F62C36"/>
    <w:rsid w:val="00F63284"/>
    <w:rsid w:val="00F63890"/>
    <w:rsid w:val="00F63984"/>
    <w:rsid w:val="00F63A9A"/>
    <w:rsid w:val="00F6408E"/>
    <w:rsid w:val="00F64518"/>
    <w:rsid w:val="00F66138"/>
    <w:rsid w:val="00F664CF"/>
    <w:rsid w:val="00F6690E"/>
    <w:rsid w:val="00F66A6D"/>
    <w:rsid w:val="00F66F6E"/>
    <w:rsid w:val="00F674DC"/>
    <w:rsid w:val="00F675AF"/>
    <w:rsid w:val="00F67737"/>
    <w:rsid w:val="00F70568"/>
    <w:rsid w:val="00F705AE"/>
    <w:rsid w:val="00F705D1"/>
    <w:rsid w:val="00F70C77"/>
    <w:rsid w:val="00F70D3D"/>
    <w:rsid w:val="00F70E8B"/>
    <w:rsid w:val="00F71341"/>
    <w:rsid w:val="00F7135C"/>
    <w:rsid w:val="00F71678"/>
    <w:rsid w:val="00F716DA"/>
    <w:rsid w:val="00F717F7"/>
    <w:rsid w:val="00F71956"/>
    <w:rsid w:val="00F723BD"/>
    <w:rsid w:val="00F726E3"/>
    <w:rsid w:val="00F72F75"/>
    <w:rsid w:val="00F72FDA"/>
    <w:rsid w:val="00F734EA"/>
    <w:rsid w:val="00F73D06"/>
    <w:rsid w:val="00F73E96"/>
    <w:rsid w:val="00F73F54"/>
    <w:rsid w:val="00F74E4E"/>
    <w:rsid w:val="00F75214"/>
    <w:rsid w:val="00F75389"/>
    <w:rsid w:val="00F7553E"/>
    <w:rsid w:val="00F75C99"/>
    <w:rsid w:val="00F760CF"/>
    <w:rsid w:val="00F7634B"/>
    <w:rsid w:val="00F76372"/>
    <w:rsid w:val="00F76700"/>
    <w:rsid w:val="00F76B8B"/>
    <w:rsid w:val="00F77004"/>
    <w:rsid w:val="00F7712D"/>
    <w:rsid w:val="00F777C4"/>
    <w:rsid w:val="00F7793D"/>
    <w:rsid w:val="00F77AFC"/>
    <w:rsid w:val="00F800A6"/>
    <w:rsid w:val="00F803A7"/>
    <w:rsid w:val="00F819CD"/>
    <w:rsid w:val="00F823BB"/>
    <w:rsid w:val="00F83490"/>
    <w:rsid w:val="00F834FA"/>
    <w:rsid w:val="00F83A85"/>
    <w:rsid w:val="00F83E55"/>
    <w:rsid w:val="00F84830"/>
    <w:rsid w:val="00F84ACB"/>
    <w:rsid w:val="00F84B16"/>
    <w:rsid w:val="00F85901"/>
    <w:rsid w:val="00F85B32"/>
    <w:rsid w:val="00F85C5E"/>
    <w:rsid w:val="00F866C5"/>
    <w:rsid w:val="00F86A72"/>
    <w:rsid w:val="00F86C52"/>
    <w:rsid w:val="00F86F1E"/>
    <w:rsid w:val="00F870C4"/>
    <w:rsid w:val="00F87567"/>
    <w:rsid w:val="00F876B9"/>
    <w:rsid w:val="00F87ADC"/>
    <w:rsid w:val="00F9088C"/>
    <w:rsid w:val="00F90ED7"/>
    <w:rsid w:val="00F9101D"/>
    <w:rsid w:val="00F9232B"/>
    <w:rsid w:val="00F92E7B"/>
    <w:rsid w:val="00F93046"/>
    <w:rsid w:val="00F955E7"/>
    <w:rsid w:val="00F95847"/>
    <w:rsid w:val="00F95906"/>
    <w:rsid w:val="00F95A0B"/>
    <w:rsid w:val="00F95B13"/>
    <w:rsid w:val="00F95B47"/>
    <w:rsid w:val="00F95D01"/>
    <w:rsid w:val="00F95D92"/>
    <w:rsid w:val="00F95FD2"/>
    <w:rsid w:val="00F96038"/>
    <w:rsid w:val="00F96C4A"/>
    <w:rsid w:val="00F972E3"/>
    <w:rsid w:val="00FA027B"/>
    <w:rsid w:val="00FA04A5"/>
    <w:rsid w:val="00FA13E1"/>
    <w:rsid w:val="00FA15DC"/>
    <w:rsid w:val="00FA1B4C"/>
    <w:rsid w:val="00FA1DE4"/>
    <w:rsid w:val="00FA2251"/>
    <w:rsid w:val="00FA2BD4"/>
    <w:rsid w:val="00FA2C37"/>
    <w:rsid w:val="00FA2D3A"/>
    <w:rsid w:val="00FA2E7E"/>
    <w:rsid w:val="00FA2F7A"/>
    <w:rsid w:val="00FA33BB"/>
    <w:rsid w:val="00FA3464"/>
    <w:rsid w:val="00FA3686"/>
    <w:rsid w:val="00FA3817"/>
    <w:rsid w:val="00FA4804"/>
    <w:rsid w:val="00FA48BB"/>
    <w:rsid w:val="00FA4DD9"/>
    <w:rsid w:val="00FA550C"/>
    <w:rsid w:val="00FA5988"/>
    <w:rsid w:val="00FA5BEA"/>
    <w:rsid w:val="00FA5C26"/>
    <w:rsid w:val="00FA603E"/>
    <w:rsid w:val="00FA696D"/>
    <w:rsid w:val="00FA6BEC"/>
    <w:rsid w:val="00FA7673"/>
    <w:rsid w:val="00FA795F"/>
    <w:rsid w:val="00FA7DE6"/>
    <w:rsid w:val="00FB0199"/>
    <w:rsid w:val="00FB0EE0"/>
    <w:rsid w:val="00FB0F69"/>
    <w:rsid w:val="00FB22CD"/>
    <w:rsid w:val="00FB2626"/>
    <w:rsid w:val="00FB293D"/>
    <w:rsid w:val="00FB32AF"/>
    <w:rsid w:val="00FB33CC"/>
    <w:rsid w:val="00FB4329"/>
    <w:rsid w:val="00FB43AE"/>
    <w:rsid w:val="00FB49D2"/>
    <w:rsid w:val="00FB4DAC"/>
    <w:rsid w:val="00FB4E44"/>
    <w:rsid w:val="00FB4E8B"/>
    <w:rsid w:val="00FB4EE5"/>
    <w:rsid w:val="00FB53E3"/>
    <w:rsid w:val="00FB5B39"/>
    <w:rsid w:val="00FB5F44"/>
    <w:rsid w:val="00FB6884"/>
    <w:rsid w:val="00FB6C41"/>
    <w:rsid w:val="00FB6D2F"/>
    <w:rsid w:val="00FB7C2A"/>
    <w:rsid w:val="00FC002B"/>
    <w:rsid w:val="00FC036B"/>
    <w:rsid w:val="00FC0BAE"/>
    <w:rsid w:val="00FC1030"/>
    <w:rsid w:val="00FC1206"/>
    <w:rsid w:val="00FC1563"/>
    <w:rsid w:val="00FC1583"/>
    <w:rsid w:val="00FC185C"/>
    <w:rsid w:val="00FC1B48"/>
    <w:rsid w:val="00FC30C7"/>
    <w:rsid w:val="00FC373A"/>
    <w:rsid w:val="00FC3F91"/>
    <w:rsid w:val="00FC49DB"/>
    <w:rsid w:val="00FC4F42"/>
    <w:rsid w:val="00FC5322"/>
    <w:rsid w:val="00FC556B"/>
    <w:rsid w:val="00FC5830"/>
    <w:rsid w:val="00FC599C"/>
    <w:rsid w:val="00FC6650"/>
    <w:rsid w:val="00FC6BEA"/>
    <w:rsid w:val="00FC6C29"/>
    <w:rsid w:val="00FC74BA"/>
    <w:rsid w:val="00FC7599"/>
    <w:rsid w:val="00FC7662"/>
    <w:rsid w:val="00FC77C6"/>
    <w:rsid w:val="00FC7920"/>
    <w:rsid w:val="00FD0889"/>
    <w:rsid w:val="00FD0A61"/>
    <w:rsid w:val="00FD1FC9"/>
    <w:rsid w:val="00FD2585"/>
    <w:rsid w:val="00FD2844"/>
    <w:rsid w:val="00FD4CEA"/>
    <w:rsid w:val="00FD4F7C"/>
    <w:rsid w:val="00FD4FFB"/>
    <w:rsid w:val="00FD504F"/>
    <w:rsid w:val="00FD558F"/>
    <w:rsid w:val="00FD5B65"/>
    <w:rsid w:val="00FD6FCA"/>
    <w:rsid w:val="00FD7031"/>
    <w:rsid w:val="00FD7048"/>
    <w:rsid w:val="00FD773C"/>
    <w:rsid w:val="00FD7940"/>
    <w:rsid w:val="00FE038B"/>
    <w:rsid w:val="00FE03B6"/>
    <w:rsid w:val="00FE05D8"/>
    <w:rsid w:val="00FE0716"/>
    <w:rsid w:val="00FE0968"/>
    <w:rsid w:val="00FE1D3D"/>
    <w:rsid w:val="00FE1D85"/>
    <w:rsid w:val="00FE2E53"/>
    <w:rsid w:val="00FE41E4"/>
    <w:rsid w:val="00FE4282"/>
    <w:rsid w:val="00FE4368"/>
    <w:rsid w:val="00FE53E8"/>
    <w:rsid w:val="00FE637B"/>
    <w:rsid w:val="00FE65C1"/>
    <w:rsid w:val="00FE6EB3"/>
    <w:rsid w:val="00FE73A2"/>
    <w:rsid w:val="00FF0178"/>
    <w:rsid w:val="00FF04F7"/>
    <w:rsid w:val="00FF08B4"/>
    <w:rsid w:val="00FF0E7E"/>
    <w:rsid w:val="00FF17F2"/>
    <w:rsid w:val="00FF1C01"/>
    <w:rsid w:val="00FF1E96"/>
    <w:rsid w:val="00FF2742"/>
    <w:rsid w:val="00FF28CB"/>
    <w:rsid w:val="00FF296F"/>
    <w:rsid w:val="00FF2D61"/>
    <w:rsid w:val="00FF335B"/>
    <w:rsid w:val="00FF36C9"/>
    <w:rsid w:val="00FF382B"/>
    <w:rsid w:val="00FF3B03"/>
    <w:rsid w:val="00FF4391"/>
    <w:rsid w:val="00FF58B0"/>
    <w:rsid w:val="00FF651E"/>
    <w:rsid w:val="00FF7368"/>
    <w:rsid w:val="00FF7788"/>
    <w:rsid w:val="00FF7CBB"/>
    <w:rsid w:val="00FF7F8A"/>
    <w:rsid w:val="05C658E2"/>
    <w:rsid w:val="064FCE06"/>
    <w:rsid w:val="07C4BBA7"/>
    <w:rsid w:val="092AEEA6"/>
    <w:rsid w:val="0B8C9255"/>
    <w:rsid w:val="1058A36E"/>
    <w:rsid w:val="130A2810"/>
    <w:rsid w:val="1614EA0E"/>
    <w:rsid w:val="1BB8D395"/>
    <w:rsid w:val="2327C0A6"/>
    <w:rsid w:val="26F9099E"/>
    <w:rsid w:val="29D59492"/>
    <w:rsid w:val="3120AD34"/>
    <w:rsid w:val="325E5E49"/>
    <w:rsid w:val="36364FBF"/>
    <w:rsid w:val="45821094"/>
    <w:rsid w:val="45D3349D"/>
    <w:rsid w:val="49E0AA98"/>
    <w:rsid w:val="541445C3"/>
    <w:rsid w:val="5616913A"/>
    <w:rsid w:val="6579E471"/>
    <w:rsid w:val="71214CC1"/>
    <w:rsid w:val="7883E0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AFB7"/>
  <w15:chartTrackingRefBased/>
  <w15:docId w15:val="{B74CF01D-D40F-D24B-A27F-54193E96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516D"/>
    <w:pPr>
      <w:spacing w:after="120" w:line="276" w:lineRule="auto"/>
    </w:pPr>
    <w:rPr>
      <w:rFonts w:ascii="Arial" w:eastAsia="Times New Roman" w:hAnsi="Arial" w:cs="Times New Roman"/>
      <w:sz w:val="20"/>
      <w:szCs w:val="20"/>
      <w:lang w:val="de-CH" w:eastAsia="de-CH"/>
    </w:rPr>
  </w:style>
  <w:style w:type="paragraph" w:styleId="berschrift1">
    <w:name w:val="heading 1"/>
    <w:basedOn w:val="Standard"/>
    <w:next w:val="Standard"/>
    <w:link w:val="berschrift1Zchn"/>
    <w:qFormat/>
    <w:rsid w:val="00CD6A04"/>
    <w:pPr>
      <w:keepNext/>
      <w:numPr>
        <w:numId w:val="2"/>
      </w:numPr>
      <w:tabs>
        <w:tab w:val="clear" w:pos="709"/>
      </w:tabs>
      <w:spacing w:before="360" w:after="240" w:line="271" w:lineRule="auto"/>
      <w:outlineLvl w:val="0"/>
    </w:pPr>
    <w:rPr>
      <w:rFonts w:cs="Arial"/>
      <w:b/>
      <w:bCs/>
      <w:kern w:val="32"/>
      <w:sz w:val="32"/>
      <w:szCs w:val="32"/>
    </w:rPr>
  </w:style>
  <w:style w:type="paragraph" w:styleId="berschrift2">
    <w:name w:val="heading 2"/>
    <w:basedOn w:val="Standard"/>
    <w:next w:val="Standard"/>
    <w:link w:val="berschrift2Zchn"/>
    <w:qFormat/>
    <w:rsid w:val="00596CD8"/>
    <w:pPr>
      <w:keepNext/>
      <w:numPr>
        <w:ilvl w:val="1"/>
        <w:numId w:val="2"/>
      </w:numPr>
      <w:spacing w:before="360"/>
      <w:ind w:left="567" w:hanging="567"/>
      <w:outlineLvl w:val="1"/>
    </w:pPr>
    <w:rPr>
      <w:rFonts w:cs="Arial"/>
      <w:b/>
      <w:bCs/>
      <w:iCs/>
      <w:sz w:val="22"/>
      <w:szCs w:val="28"/>
    </w:rPr>
  </w:style>
  <w:style w:type="paragraph" w:styleId="berschrift3">
    <w:name w:val="heading 3"/>
    <w:basedOn w:val="Standard"/>
    <w:next w:val="Standard"/>
    <w:link w:val="berschrift3Zchn"/>
    <w:qFormat/>
    <w:rsid w:val="005B17D7"/>
    <w:pPr>
      <w:keepNext/>
      <w:numPr>
        <w:ilvl w:val="2"/>
        <w:numId w:val="2"/>
      </w:numPr>
      <w:spacing w:before="240" w:after="60"/>
      <w:outlineLvl w:val="2"/>
    </w:pPr>
    <w:rPr>
      <w:rFonts w:cs="Arial"/>
      <w:b/>
      <w:bCs/>
      <w:szCs w:val="26"/>
    </w:rPr>
  </w:style>
  <w:style w:type="paragraph" w:styleId="berschrift4">
    <w:name w:val="heading 4"/>
    <w:basedOn w:val="Standard"/>
    <w:next w:val="Standard"/>
    <w:link w:val="berschrift4Zchn"/>
    <w:qFormat/>
    <w:rsid w:val="005B17D7"/>
    <w:pPr>
      <w:keepNext/>
      <w:numPr>
        <w:ilvl w:val="3"/>
        <w:numId w:val="2"/>
      </w:numPr>
      <w:spacing w:before="240" w:after="60"/>
      <w:outlineLvl w:val="3"/>
    </w:pPr>
    <w:rPr>
      <w:b/>
      <w:bCs/>
      <w:szCs w:val="28"/>
    </w:rPr>
  </w:style>
  <w:style w:type="paragraph" w:styleId="berschrift5">
    <w:name w:val="heading 5"/>
    <w:basedOn w:val="Standard"/>
    <w:next w:val="Standard"/>
    <w:link w:val="berschrift5Zchn"/>
    <w:qFormat/>
    <w:rsid w:val="005B17D7"/>
    <w:pPr>
      <w:numPr>
        <w:ilvl w:val="4"/>
        <w:numId w:val="2"/>
      </w:numPr>
      <w:spacing w:before="240" w:after="60"/>
      <w:outlineLvl w:val="4"/>
    </w:pPr>
    <w:rPr>
      <w:b/>
      <w:bCs/>
      <w:i/>
      <w:iCs/>
      <w:szCs w:val="26"/>
    </w:rPr>
  </w:style>
  <w:style w:type="paragraph" w:styleId="berschrift6">
    <w:name w:val="heading 6"/>
    <w:basedOn w:val="Standard"/>
    <w:next w:val="Standard"/>
    <w:link w:val="berschrift6Zchn"/>
    <w:qFormat/>
    <w:rsid w:val="005B17D7"/>
    <w:pPr>
      <w:numPr>
        <w:ilvl w:val="5"/>
        <w:numId w:val="2"/>
      </w:numPr>
      <w:spacing w:before="240" w:after="60"/>
      <w:outlineLvl w:val="5"/>
    </w:pPr>
    <w:rPr>
      <w:b/>
      <w:bCs/>
      <w:szCs w:val="22"/>
    </w:rPr>
  </w:style>
  <w:style w:type="paragraph" w:styleId="berschrift7">
    <w:name w:val="heading 7"/>
    <w:basedOn w:val="Standard"/>
    <w:next w:val="Standard"/>
    <w:link w:val="berschrift7Zchn"/>
    <w:qFormat/>
    <w:rsid w:val="005B17D7"/>
    <w:pPr>
      <w:numPr>
        <w:ilvl w:val="6"/>
        <w:numId w:val="2"/>
      </w:numPr>
      <w:spacing w:before="240" w:after="60"/>
      <w:outlineLvl w:val="6"/>
    </w:pPr>
    <w:rPr>
      <w:szCs w:val="24"/>
    </w:rPr>
  </w:style>
  <w:style w:type="paragraph" w:styleId="berschrift8">
    <w:name w:val="heading 8"/>
    <w:basedOn w:val="Standard"/>
    <w:next w:val="Standard"/>
    <w:link w:val="berschrift8Zchn"/>
    <w:qFormat/>
    <w:rsid w:val="005B17D7"/>
    <w:pPr>
      <w:numPr>
        <w:ilvl w:val="7"/>
        <w:numId w:val="2"/>
      </w:numPr>
      <w:spacing w:before="240" w:after="60"/>
      <w:outlineLvl w:val="7"/>
    </w:pPr>
    <w:rPr>
      <w:i/>
      <w:iCs/>
      <w:szCs w:val="24"/>
    </w:rPr>
  </w:style>
  <w:style w:type="paragraph" w:styleId="berschrift9">
    <w:name w:val="heading 9"/>
    <w:basedOn w:val="Standard"/>
    <w:next w:val="Standard"/>
    <w:link w:val="berschrift9Zchn"/>
    <w:qFormat/>
    <w:rsid w:val="005B17D7"/>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D6A04"/>
    <w:rPr>
      <w:rFonts w:ascii="Arial" w:eastAsia="Times New Roman" w:hAnsi="Arial" w:cs="Arial"/>
      <w:b/>
      <w:bCs/>
      <w:kern w:val="32"/>
      <w:sz w:val="32"/>
      <w:szCs w:val="32"/>
      <w:lang w:val="de-CH" w:eastAsia="de-CH"/>
    </w:rPr>
  </w:style>
  <w:style w:type="character" w:customStyle="1" w:styleId="berschrift2Zchn">
    <w:name w:val="Überschrift 2 Zchn"/>
    <w:basedOn w:val="Absatz-Standardschriftart"/>
    <w:link w:val="berschrift2"/>
    <w:rsid w:val="00596CD8"/>
    <w:rPr>
      <w:rFonts w:ascii="Arial" w:eastAsia="Times New Roman" w:hAnsi="Arial" w:cs="Arial"/>
      <w:b/>
      <w:bCs/>
      <w:iCs/>
      <w:szCs w:val="28"/>
      <w:lang w:val="de-CH" w:eastAsia="de-CH"/>
    </w:rPr>
  </w:style>
  <w:style w:type="character" w:customStyle="1" w:styleId="berschrift3Zchn">
    <w:name w:val="Überschrift 3 Zchn"/>
    <w:basedOn w:val="Absatz-Standardschriftart"/>
    <w:link w:val="berschrift3"/>
    <w:rsid w:val="005B17D7"/>
    <w:rPr>
      <w:rFonts w:ascii="Arial" w:eastAsia="Times New Roman" w:hAnsi="Arial" w:cs="Arial"/>
      <w:b/>
      <w:bCs/>
      <w:sz w:val="20"/>
      <w:szCs w:val="26"/>
      <w:lang w:val="de-CH" w:eastAsia="de-CH"/>
    </w:rPr>
  </w:style>
  <w:style w:type="character" w:customStyle="1" w:styleId="berschrift4Zchn">
    <w:name w:val="Überschrift 4 Zchn"/>
    <w:basedOn w:val="Absatz-Standardschriftart"/>
    <w:link w:val="berschrift4"/>
    <w:rsid w:val="005B17D7"/>
    <w:rPr>
      <w:rFonts w:ascii="Arial" w:eastAsia="Times New Roman" w:hAnsi="Arial" w:cs="Times New Roman"/>
      <w:b/>
      <w:bCs/>
      <w:sz w:val="20"/>
      <w:szCs w:val="28"/>
      <w:lang w:val="de-CH" w:eastAsia="de-CH"/>
    </w:rPr>
  </w:style>
  <w:style w:type="character" w:customStyle="1" w:styleId="berschrift5Zchn">
    <w:name w:val="Überschrift 5 Zchn"/>
    <w:basedOn w:val="Absatz-Standardschriftart"/>
    <w:link w:val="berschrift5"/>
    <w:rsid w:val="005B17D7"/>
    <w:rPr>
      <w:rFonts w:ascii="Arial" w:eastAsia="Times New Roman" w:hAnsi="Arial" w:cs="Times New Roman"/>
      <w:b/>
      <w:bCs/>
      <w:i/>
      <w:iCs/>
      <w:sz w:val="20"/>
      <w:szCs w:val="26"/>
      <w:lang w:val="de-CH" w:eastAsia="de-CH"/>
    </w:rPr>
  </w:style>
  <w:style w:type="character" w:customStyle="1" w:styleId="berschrift6Zchn">
    <w:name w:val="Überschrift 6 Zchn"/>
    <w:basedOn w:val="Absatz-Standardschriftart"/>
    <w:link w:val="berschrift6"/>
    <w:rsid w:val="005B17D7"/>
    <w:rPr>
      <w:rFonts w:ascii="Arial" w:eastAsia="Times New Roman" w:hAnsi="Arial" w:cs="Times New Roman"/>
      <w:b/>
      <w:bCs/>
      <w:sz w:val="20"/>
      <w:lang w:val="de-CH" w:eastAsia="de-CH"/>
    </w:rPr>
  </w:style>
  <w:style w:type="character" w:customStyle="1" w:styleId="berschrift7Zchn">
    <w:name w:val="Überschrift 7 Zchn"/>
    <w:basedOn w:val="Absatz-Standardschriftart"/>
    <w:link w:val="berschrift7"/>
    <w:rsid w:val="005B17D7"/>
    <w:rPr>
      <w:rFonts w:ascii="Arial" w:eastAsia="Times New Roman" w:hAnsi="Arial" w:cs="Times New Roman"/>
      <w:sz w:val="20"/>
      <w:szCs w:val="24"/>
      <w:lang w:val="de-CH" w:eastAsia="de-CH"/>
    </w:rPr>
  </w:style>
  <w:style w:type="character" w:customStyle="1" w:styleId="berschrift8Zchn">
    <w:name w:val="Überschrift 8 Zchn"/>
    <w:basedOn w:val="Absatz-Standardschriftart"/>
    <w:link w:val="berschrift8"/>
    <w:rsid w:val="005B17D7"/>
    <w:rPr>
      <w:rFonts w:ascii="Arial" w:eastAsia="Times New Roman" w:hAnsi="Arial" w:cs="Times New Roman"/>
      <w:i/>
      <w:iCs/>
      <w:sz w:val="20"/>
      <w:szCs w:val="24"/>
      <w:lang w:val="de-CH" w:eastAsia="de-CH"/>
    </w:rPr>
  </w:style>
  <w:style w:type="character" w:customStyle="1" w:styleId="berschrift9Zchn">
    <w:name w:val="Überschrift 9 Zchn"/>
    <w:basedOn w:val="Absatz-Standardschriftart"/>
    <w:link w:val="berschrift9"/>
    <w:rsid w:val="005B17D7"/>
    <w:rPr>
      <w:rFonts w:ascii="Arial" w:eastAsia="Times New Roman" w:hAnsi="Arial" w:cs="Arial"/>
      <w:sz w:val="20"/>
      <w:lang w:val="de-CH" w:eastAsia="de-CH"/>
    </w:rPr>
  </w:style>
  <w:style w:type="paragraph" w:styleId="Kopfzeile">
    <w:name w:val="header"/>
    <w:basedOn w:val="Standard"/>
    <w:link w:val="KopfzeileZchn"/>
    <w:uiPriority w:val="99"/>
    <w:rsid w:val="005B17D7"/>
    <w:pPr>
      <w:suppressAutoHyphens/>
      <w:spacing w:line="200" w:lineRule="exact"/>
    </w:pPr>
    <w:rPr>
      <w:noProof/>
      <w:sz w:val="15"/>
    </w:rPr>
  </w:style>
  <w:style w:type="character" w:customStyle="1" w:styleId="KopfzeileZchn">
    <w:name w:val="Kopfzeile Zchn"/>
    <w:basedOn w:val="Absatz-Standardschriftart"/>
    <w:link w:val="Kopfzeile"/>
    <w:uiPriority w:val="99"/>
    <w:rsid w:val="005B17D7"/>
    <w:rPr>
      <w:rFonts w:ascii="Arial" w:eastAsia="Times New Roman" w:hAnsi="Arial" w:cs="Times New Roman"/>
      <w:noProof/>
      <w:sz w:val="15"/>
      <w:szCs w:val="20"/>
      <w:lang w:val="de-CH" w:eastAsia="de-CH"/>
    </w:rPr>
  </w:style>
  <w:style w:type="paragraph" w:styleId="Fuzeile">
    <w:name w:val="footer"/>
    <w:basedOn w:val="Standard"/>
    <w:link w:val="FuzeileZchn"/>
    <w:uiPriority w:val="99"/>
    <w:rsid w:val="005B17D7"/>
    <w:pPr>
      <w:suppressAutoHyphens/>
      <w:spacing w:line="200" w:lineRule="exact"/>
    </w:pPr>
    <w:rPr>
      <w:noProof/>
      <w:sz w:val="15"/>
      <w:szCs w:val="15"/>
    </w:rPr>
  </w:style>
  <w:style w:type="character" w:customStyle="1" w:styleId="FuzeileZchn">
    <w:name w:val="Fußzeile Zchn"/>
    <w:basedOn w:val="Absatz-Standardschriftart"/>
    <w:link w:val="Fuzeile"/>
    <w:uiPriority w:val="99"/>
    <w:rsid w:val="005B17D7"/>
    <w:rPr>
      <w:rFonts w:ascii="Arial" w:eastAsia="Times New Roman" w:hAnsi="Arial" w:cs="Times New Roman"/>
      <w:noProof/>
      <w:sz w:val="15"/>
      <w:szCs w:val="15"/>
      <w:lang w:val="de-CH" w:eastAsia="de-CH"/>
    </w:rPr>
  </w:style>
  <w:style w:type="paragraph" w:customStyle="1" w:styleId="KopfFett">
    <w:name w:val="KopfFett"/>
    <w:basedOn w:val="Kopfzeile"/>
    <w:next w:val="Kopfzeile"/>
    <w:rsid w:val="005B17D7"/>
    <w:rPr>
      <w:b/>
    </w:rPr>
  </w:style>
  <w:style w:type="paragraph" w:customStyle="1" w:styleId="KopfDept">
    <w:name w:val="KopfDept"/>
    <w:basedOn w:val="Kopfzeile"/>
    <w:next w:val="KopfFett"/>
    <w:rsid w:val="005B17D7"/>
    <w:pPr>
      <w:spacing w:after="100"/>
      <w:contextualSpacing/>
    </w:pPr>
  </w:style>
  <w:style w:type="paragraph" w:customStyle="1" w:styleId="Logo">
    <w:name w:val="Logo"/>
    <w:rsid w:val="005B17D7"/>
    <w:pPr>
      <w:spacing w:after="0" w:line="240" w:lineRule="auto"/>
    </w:pPr>
    <w:rPr>
      <w:rFonts w:ascii="Arial" w:eastAsia="Times New Roman" w:hAnsi="Arial" w:cs="Times New Roman"/>
      <w:noProof/>
      <w:sz w:val="15"/>
      <w:szCs w:val="20"/>
      <w:lang w:val="de-CH" w:eastAsia="de-CH"/>
    </w:rPr>
  </w:style>
  <w:style w:type="paragraph" w:customStyle="1" w:styleId="Pfad">
    <w:name w:val="Pfad"/>
    <w:next w:val="Fuzeile"/>
    <w:rsid w:val="005B17D7"/>
    <w:pPr>
      <w:spacing w:after="0" w:line="160" w:lineRule="exact"/>
    </w:pPr>
    <w:rPr>
      <w:rFonts w:ascii="Arial" w:eastAsia="Times New Roman" w:hAnsi="Arial" w:cs="Times New Roman"/>
      <w:noProof/>
      <w:sz w:val="12"/>
      <w:szCs w:val="12"/>
      <w:lang w:val="de-CH" w:eastAsia="de-CH"/>
    </w:rPr>
  </w:style>
  <w:style w:type="paragraph" w:styleId="Titel">
    <w:name w:val="Title"/>
    <w:basedOn w:val="Standard"/>
    <w:next w:val="Standard"/>
    <w:link w:val="TitelZchn"/>
    <w:qFormat/>
    <w:rsid w:val="005B17D7"/>
    <w:pPr>
      <w:spacing w:line="480" w:lineRule="exact"/>
      <w:outlineLvl w:val="0"/>
    </w:pPr>
    <w:rPr>
      <w:rFonts w:cs="Arial"/>
      <w:b/>
      <w:bCs/>
      <w:kern w:val="28"/>
      <w:sz w:val="42"/>
      <w:szCs w:val="32"/>
    </w:rPr>
  </w:style>
  <w:style w:type="character" w:customStyle="1" w:styleId="TitelZchn">
    <w:name w:val="Titel Zchn"/>
    <w:basedOn w:val="Absatz-Standardschriftart"/>
    <w:link w:val="Titel"/>
    <w:rsid w:val="005B17D7"/>
    <w:rPr>
      <w:rFonts w:ascii="Arial" w:eastAsia="Times New Roman" w:hAnsi="Arial" w:cs="Arial"/>
      <w:b/>
      <w:bCs/>
      <w:kern w:val="28"/>
      <w:sz w:val="42"/>
      <w:szCs w:val="32"/>
      <w:lang w:val="de-CH" w:eastAsia="de-CH"/>
    </w:rPr>
  </w:style>
  <w:style w:type="paragraph" w:customStyle="1" w:styleId="Seite">
    <w:name w:val="Seite"/>
    <w:basedOn w:val="Standard"/>
    <w:rsid w:val="005B17D7"/>
    <w:pPr>
      <w:suppressAutoHyphens/>
      <w:spacing w:line="200" w:lineRule="exact"/>
      <w:jc w:val="right"/>
    </w:pPr>
    <w:rPr>
      <w:sz w:val="14"/>
      <w:szCs w:val="14"/>
    </w:rPr>
  </w:style>
  <w:style w:type="paragraph" w:customStyle="1" w:styleId="uLinie">
    <w:name w:val="uLinie"/>
    <w:basedOn w:val="Standard"/>
    <w:next w:val="Standard"/>
    <w:rsid w:val="005B17D7"/>
    <w:pPr>
      <w:pBdr>
        <w:bottom w:val="single" w:sz="2" w:space="1" w:color="auto"/>
      </w:pBdr>
      <w:spacing w:after="320" w:line="240" w:lineRule="auto"/>
      <w:ind w:left="28" w:right="28"/>
    </w:pPr>
    <w:rPr>
      <w:noProof/>
      <w:sz w:val="15"/>
      <w:szCs w:val="15"/>
    </w:rPr>
  </w:style>
  <w:style w:type="paragraph" w:styleId="Untertitel">
    <w:name w:val="Subtitle"/>
    <w:basedOn w:val="Titel"/>
    <w:next w:val="Standard"/>
    <w:link w:val="UntertitelZchn"/>
    <w:qFormat/>
    <w:rsid w:val="005B17D7"/>
    <w:pPr>
      <w:outlineLvl w:val="1"/>
    </w:pPr>
    <w:rPr>
      <w:b w:val="0"/>
      <w:szCs w:val="24"/>
    </w:rPr>
  </w:style>
  <w:style w:type="character" w:customStyle="1" w:styleId="UntertitelZchn">
    <w:name w:val="Untertitel Zchn"/>
    <w:basedOn w:val="Absatz-Standardschriftart"/>
    <w:link w:val="Untertitel"/>
    <w:rsid w:val="005B17D7"/>
    <w:rPr>
      <w:rFonts w:ascii="Arial" w:eastAsia="Times New Roman" w:hAnsi="Arial" w:cs="Arial"/>
      <w:bCs/>
      <w:kern w:val="28"/>
      <w:sz w:val="42"/>
      <w:szCs w:val="24"/>
      <w:lang w:val="de-CH" w:eastAsia="de-CH"/>
    </w:rPr>
  </w:style>
  <w:style w:type="paragraph" w:customStyle="1" w:styleId="Ref">
    <w:name w:val="Ref"/>
    <w:basedOn w:val="Standard"/>
    <w:next w:val="Standard"/>
    <w:rsid w:val="005B17D7"/>
    <w:pPr>
      <w:spacing w:line="200" w:lineRule="exact"/>
    </w:pPr>
    <w:rPr>
      <w:sz w:val="15"/>
    </w:rPr>
  </w:style>
  <w:style w:type="paragraph" w:customStyle="1" w:styleId="Form">
    <w:name w:val="Form"/>
    <w:basedOn w:val="Standard"/>
    <w:rsid w:val="005B17D7"/>
    <w:rPr>
      <w:sz w:val="15"/>
    </w:rPr>
  </w:style>
  <w:style w:type="paragraph" w:customStyle="1" w:styleId="Platzhalter">
    <w:name w:val="Platzhalter"/>
    <w:basedOn w:val="Standard"/>
    <w:next w:val="Standard"/>
    <w:rsid w:val="005B17D7"/>
    <w:pPr>
      <w:spacing w:line="240" w:lineRule="auto"/>
    </w:pPr>
    <w:rPr>
      <w:sz w:val="2"/>
      <w:szCs w:val="2"/>
    </w:rPr>
  </w:style>
  <w:style w:type="paragraph" w:customStyle="1" w:styleId="Antragstext">
    <w:name w:val="Antragstext"/>
    <w:basedOn w:val="Standard"/>
    <w:rsid w:val="005B17D7"/>
    <w:pPr>
      <w:spacing w:before="120"/>
      <w:ind w:left="454" w:hanging="454"/>
    </w:pPr>
  </w:style>
  <w:style w:type="paragraph" w:customStyle="1" w:styleId="Begrndung">
    <w:name w:val="Begründung"/>
    <w:basedOn w:val="Standard"/>
    <w:rsid w:val="005B17D7"/>
    <w:pPr>
      <w:ind w:left="720"/>
    </w:pPr>
    <w:rPr>
      <w:i/>
    </w:rPr>
  </w:style>
  <w:style w:type="paragraph" w:customStyle="1" w:styleId="Standard6v">
    <w:name w:val="Standard 6v"/>
    <w:basedOn w:val="Standard"/>
    <w:rsid w:val="005B17D7"/>
    <w:pPr>
      <w:spacing w:before="120"/>
    </w:pPr>
  </w:style>
  <w:style w:type="paragraph" w:customStyle="1" w:styleId="Strich6v">
    <w:name w:val="Strich 6v"/>
    <w:basedOn w:val="Standard"/>
    <w:rsid w:val="005B17D7"/>
    <w:pPr>
      <w:numPr>
        <w:numId w:val="1"/>
      </w:numPr>
      <w:spacing w:before="120"/>
    </w:pPr>
  </w:style>
  <w:style w:type="paragraph" w:customStyle="1" w:styleId="TitelohneNr">
    <w:name w:val="Titel ohne Nr"/>
    <w:basedOn w:val="Standard"/>
    <w:rsid w:val="005B17D7"/>
    <w:pPr>
      <w:keepNext/>
      <w:spacing w:before="240"/>
    </w:pPr>
    <w:rPr>
      <w:b/>
    </w:rPr>
  </w:style>
  <w:style w:type="table" w:styleId="Tabellenraster">
    <w:name w:val="Table Grid"/>
    <w:basedOn w:val="NormaleTabelle"/>
    <w:uiPriority w:val="39"/>
    <w:rsid w:val="005B1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2-Akzent11">
    <w:name w:val="Mittlere Schattierung 2 - Akzent 11"/>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1-Akzent11">
    <w:name w:val="Mittlere Schattierung 1 - Akzent 11"/>
    <w:basedOn w:val="NormaleTabelle"/>
    <w:uiPriority w:val="63"/>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Kommentarzeichen">
    <w:name w:val="annotation reference"/>
    <w:uiPriority w:val="99"/>
    <w:rsid w:val="005B17D7"/>
    <w:rPr>
      <w:sz w:val="16"/>
      <w:szCs w:val="16"/>
    </w:rPr>
  </w:style>
  <w:style w:type="paragraph" w:styleId="Kommentartext">
    <w:name w:val="annotation text"/>
    <w:basedOn w:val="Standard"/>
    <w:link w:val="KommentartextZchn"/>
    <w:uiPriority w:val="99"/>
    <w:rsid w:val="005B17D7"/>
    <w:rPr>
      <w:lang w:val="x-none" w:eastAsia="x-none"/>
    </w:rPr>
  </w:style>
  <w:style w:type="character" w:customStyle="1" w:styleId="KommentartextZchn">
    <w:name w:val="Kommentartext Zchn"/>
    <w:basedOn w:val="Absatz-Standardschriftart"/>
    <w:link w:val="Kommentartext"/>
    <w:uiPriority w:val="99"/>
    <w:rsid w:val="005B17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rsid w:val="005B17D7"/>
    <w:rPr>
      <w:b/>
      <w:bCs/>
    </w:rPr>
  </w:style>
  <w:style w:type="character" w:customStyle="1" w:styleId="KommentarthemaZchn">
    <w:name w:val="Kommentarthema Zchn"/>
    <w:basedOn w:val="KommentartextZchn"/>
    <w:link w:val="Kommentarthema"/>
    <w:rsid w:val="005B17D7"/>
    <w:rPr>
      <w:rFonts w:ascii="Arial" w:eastAsia="Times New Roman" w:hAnsi="Arial" w:cs="Times New Roman"/>
      <w:b/>
      <w:bCs/>
      <w:sz w:val="20"/>
      <w:szCs w:val="20"/>
      <w:lang w:val="x-none" w:eastAsia="x-none"/>
    </w:rPr>
  </w:style>
  <w:style w:type="paragraph" w:styleId="Sprechblasentext">
    <w:name w:val="Balloon Text"/>
    <w:basedOn w:val="Standard"/>
    <w:link w:val="SprechblasentextZchn"/>
    <w:rsid w:val="005B17D7"/>
    <w:pPr>
      <w:spacing w:line="240" w:lineRule="auto"/>
    </w:pPr>
    <w:rPr>
      <w:rFonts w:ascii="Tahoma" w:hAnsi="Tahoma"/>
      <w:sz w:val="16"/>
      <w:szCs w:val="16"/>
      <w:lang w:val="x-none" w:eastAsia="x-none"/>
    </w:rPr>
  </w:style>
  <w:style w:type="character" w:customStyle="1" w:styleId="SprechblasentextZchn">
    <w:name w:val="Sprechblasentext Zchn"/>
    <w:basedOn w:val="Absatz-Standardschriftart"/>
    <w:link w:val="Sprechblasentext"/>
    <w:rsid w:val="005B17D7"/>
    <w:rPr>
      <w:rFonts w:ascii="Tahoma" w:eastAsia="Times New Roman" w:hAnsi="Tahoma" w:cs="Times New Roman"/>
      <w:sz w:val="16"/>
      <w:szCs w:val="16"/>
      <w:lang w:val="x-none" w:eastAsia="x-none"/>
    </w:rPr>
  </w:style>
  <w:style w:type="table" w:customStyle="1" w:styleId="HelleListe-Akzent11">
    <w:name w:val="Helle Liste - Akzent 11"/>
    <w:basedOn w:val="NormaleTabelle"/>
    <w:uiPriority w:val="61"/>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enabsatz">
    <w:name w:val="List Paragraph"/>
    <w:basedOn w:val="Standard"/>
    <w:link w:val="ListenabsatzZchn"/>
    <w:uiPriority w:val="34"/>
    <w:qFormat/>
    <w:rsid w:val="009C0257"/>
  </w:style>
  <w:style w:type="paragraph" w:styleId="Inhaltsverzeichnisberschrift">
    <w:name w:val="TOC Heading"/>
    <w:basedOn w:val="berschrift1"/>
    <w:next w:val="Standard"/>
    <w:uiPriority w:val="39"/>
    <w:semiHidden/>
    <w:unhideWhenUsed/>
    <w:qFormat/>
    <w:rsid w:val="005B17D7"/>
    <w:pPr>
      <w:keepLines/>
      <w:numPr>
        <w:numId w:val="0"/>
      </w:numPr>
      <w:spacing w:before="480" w:after="0" w:line="276" w:lineRule="auto"/>
      <w:outlineLvl w:val="9"/>
    </w:pPr>
    <w:rPr>
      <w:rFonts w:ascii="Cambria" w:hAnsi="Cambria" w:cs="Times New Roman"/>
      <w:color w:val="365F91"/>
      <w:kern w:val="0"/>
      <w:sz w:val="28"/>
      <w:szCs w:val="28"/>
      <w:lang w:val="de-DE" w:eastAsia="en-US"/>
    </w:rPr>
  </w:style>
  <w:style w:type="paragraph" w:styleId="Verzeichnis1">
    <w:name w:val="toc 1"/>
    <w:basedOn w:val="Standard"/>
    <w:next w:val="Standard"/>
    <w:autoRedefine/>
    <w:uiPriority w:val="39"/>
    <w:qFormat/>
    <w:rsid w:val="00026EF6"/>
    <w:pPr>
      <w:tabs>
        <w:tab w:val="left" w:pos="400"/>
        <w:tab w:val="right" w:leader="dot" w:pos="9061"/>
      </w:tabs>
      <w:spacing w:before="240" w:line="240" w:lineRule="auto"/>
    </w:pPr>
    <w:rPr>
      <w:b/>
      <w:noProof/>
    </w:rPr>
  </w:style>
  <w:style w:type="paragraph" w:styleId="Verzeichnis2">
    <w:name w:val="toc 2"/>
    <w:basedOn w:val="Standard"/>
    <w:next w:val="Standard"/>
    <w:autoRedefine/>
    <w:uiPriority w:val="39"/>
    <w:qFormat/>
    <w:rsid w:val="001433C7"/>
    <w:pPr>
      <w:tabs>
        <w:tab w:val="left" w:pos="851"/>
        <w:tab w:val="right" w:leader="dot" w:pos="9061"/>
      </w:tabs>
      <w:spacing w:before="60" w:line="240" w:lineRule="auto"/>
      <w:ind w:left="850" w:hanging="425"/>
    </w:pPr>
  </w:style>
  <w:style w:type="character" w:styleId="Hyperlink">
    <w:name w:val="Hyperlink"/>
    <w:uiPriority w:val="99"/>
    <w:unhideWhenUsed/>
    <w:rsid w:val="005B17D7"/>
    <w:rPr>
      <w:color w:val="0000FF"/>
      <w:u w:val="single"/>
    </w:rPr>
  </w:style>
  <w:style w:type="paragraph" w:styleId="Funotentext">
    <w:name w:val="footnote text"/>
    <w:basedOn w:val="Standard"/>
    <w:link w:val="FunotentextZchn"/>
    <w:uiPriority w:val="99"/>
    <w:rsid w:val="005B17D7"/>
    <w:rPr>
      <w:sz w:val="24"/>
      <w:szCs w:val="24"/>
      <w:lang w:val="x-none" w:eastAsia="x-none"/>
    </w:rPr>
  </w:style>
  <w:style w:type="character" w:customStyle="1" w:styleId="FunotentextZchn">
    <w:name w:val="Fußnotentext Zchn"/>
    <w:basedOn w:val="Absatz-Standardschriftart"/>
    <w:link w:val="Funotentext"/>
    <w:uiPriority w:val="99"/>
    <w:rsid w:val="005B17D7"/>
    <w:rPr>
      <w:rFonts w:ascii="Arial" w:eastAsia="Times New Roman" w:hAnsi="Arial" w:cs="Times New Roman"/>
      <w:sz w:val="24"/>
      <w:szCs w:val="24"/>
      <w:lang w:val="x-none" w:eastAsia="x-none"/>
    </w:rPr>
  </w:style>
  <w:style w:type="character" w:styleId="Funotenzeichen">
    <w:name w:val="footnote reference"/>
    <w:qFormat/>
    <w:rsid w:val="005B17D7"/>
    <w:rPr>
      <w:vertAlign w:val="superscript"/>
    </w:rPr>
  </w:style>
  <w:style w:type="paragraph" w:customStyle="1" w:styleId="Absatz">
    <w:name w:val="Absatz"/>
    <w:rsid w:val="005B17D7"/>
    <w:pPr>
      <w:spacing w:after="200" w:line="260" w:lineRule="exact"/>
    </w:pPr>
    <w:rPr>
      <w:rFonts w:ascii="Arial" w:eastAsia="Times New Roman" w:hAnsi="Arial" w:cs="Times New Roman"/>
      <w:sz w:val="20"/>
      <w:szCs w:val="20"/>
      <w:lang w:val="de-CH" w:eastAsia="de-CH"/>
    </w:rPr>
  </w:style>
  <w:style w:type="paragraph" w:styleId="Listennummer3">
    <w:name w:val="List Number 3"/>
    <w:basedOn w:val="Standard"/>
    <w:rsid w:val="005B17D7"/>
    <w:pPr>
      <w:numPr>
        <w:numId w:val="3"/>
      </w:numPr>
      <w:spacing w:line="260" w:lineRule="exact"/>
    </w:pPr>
  </w:style>
  <w:style w:type="paragraph" w:customStyle="1" w:styleId="FormatvorlageAbsatzNach2ptKastenEinfacheeinfarbigeLinieAut">
    <w:name w:val="Formatvorlage Absatz + Nach:  2 pt Kasten: (Einfache einfarbige Linie Aut..."/>
    <w:basedOn w:val="Absatz"/>
    <w:rsid w:val="005B17D7"/>
    <w:pPr>
      <w:pBdr>
        <w:top w:val="single" w:sz="4" w:space="1" w:color="auto"/>
        <w:left w:val="single" w:sz="4" w:space="4" w:color="auto"/>
        <w:bottom w:val="single" w:sz="4" w:space="1" w:color="auto"/>
        <w:right w:val="single" w:sz="4" w:space="4" w:color="auto"/>
      </w:pBdr>
      <w:shd w:val="clear" w:color="auto" w:fill="F2F2F2"/>
      <w:spacing w:after="40"/>
    </w:pPr>
  </w:style>
  <w:style w:type="paragraph" w:customStyle="1" w:styleId="Formatvorlage8ptLinks0cmHngend1cm">
    <w:name w:val="Formatvorlage 8 pt Links:  0 cm Hängend:  1 cm"/>
    <w:basedOn w:val="Standard"/>
    <w:rsid w:val="005B17D7"/>
    <w:pPr>
      <w:spacing w:before="80" w:line="220" w:lineRule="exact"/>
      <w:ind w:left="567" w:hanging="567"/>
    </w:pPr>
    <w:rPr>
      <w:sz w:val="16"/>
    </w:rPr>
  </w:style>
  <w:style w:type="table" w:customStyle="1" w:styleId="MittlereSchattierung2-Akzent12">
    <w:name w:val="Mittlere Schattierung 2 - Akzent 12"/>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Buchtitel">
    <w:name w:val="Book Title"/>
    <w:uiPriority w:val="33"/>
    <w:qFormat/>
    <w:rsid w:val="005B17D7"/>
    <w:rPr>
      <w:b/>
      <w:bCs/>
      <w:smallCaps/>
      <w:spacing w:val="5"/>
    </w:rPr>
  </w:style>
  <w:style w:type="paragraph" w:customStyle="1" w:styleId="ListeAlphabet">
    <w:name w:val="Liste Alphabet"/>
    <w:basedOn w:val="berschrift1"/>
    <w:rsid w:val="005B17D7"/>
    <w:pPr>
      <w:widowControl w:val="0"/>
      <w:numPr>
        <w:numId w:val="4"/>
      </w:numPr>
      <w:tabs>
        <w:tab w:val="left" w:pos="737"/>
      </w:tabs>
      <w:spacing w:line="260" w:lineRule="exact"/>
    </w:pPr>
    <w:rPr>
      <w:rFonts w:cs="Times New Roman"/>
      <w:b w:val="0"/>
    </w:rPr>
  </w:style>
  <w:style w:type="paragraph" w:customStyle="1" w:styleId="Punkt">
    <w:name w:val="Punkt"/>
    <w:rsid w:val="005B17D7"/>
    <w:pPr>
      <w:numPr>
        <w:numId w:val="5"/>
      </w:numPr>
      <w:spacing w:after="240" w:line="260" w:lineRule="exact"/>
    </w:pPr>
    <w:rPr>
      <w:rFonts w:ascii="Arial" w:eastAsia="Times New Roman" w:hAnsi="Arial" w:cs="Times New Roman"/>
      <w:sz w:val="20"/>
      <w:szCs w:val="20"/>
      <w:lang w:val="de-CH" w:eastAsia="de-CH"/>
    </w:rPr>
  </w:style>
  <w:style w:type="paragraph" w:customStyle="1" w:styleId="berschrift40">
    <w:name w:val="Überschrift4"/>
    <w:basedOn w:val="Listennummer3"/>
    <w:link w:val="berschrift4Zchn0"/>
    <w:rsid w:val="005B17D7"/>
    <w:pPr>
      <w:numPr>
        <w:numId w:val="0"/>
      </w:numPr>
    </w:pPr>
    <w:rPr>
      <w:b/>
    </w:rPr>
  </w:style>
  <w:style w:type="character" w:customStyle="1" w:styleId="berschrift4Zchn0">
    <w:name w:val="Überschrift4 Zchn"/>
    <w:link w:val="berschrift40"/>
    <w:rsid w:val="005B17D7"/>
    <w:rPr>
      <w:rFonts w:ascii="Arial" w:eastAsia="Times New Roman" w:hAnsi="Arial" w:cs="Times New Roman"/>
      <w:b/>
      <w:sz w:val="20"/>
      <w:szCs w:val="20"/>
      <w:lang w:val="de-CH" w:eastAsia="de-CH"/>
    </w:rPr>
  </w:style>
  <w:style w:type="character" w:customStyle="1" w:styleId="TabTextZchn">
    <w:name w:val="Tab Text Zchn"/>
    <w:link w:val="TabText"/>
    <w:rsid w:val="005B17D7"/>
    <w:rPr>
      <w:rFonts w:ascii="Arial Narrow" w:hAnsi="Arial Narrow" w:cs="Arial"/>
      <w:sz w:val="18"/>
      <w:lang w:val="de-CH"/>
    </w:rPr>
  </w:style>
  <w:style w:type="paragraph" w:customStyle="1" w:styleId="TabText">
    <w:name w:val="Tab Text"/>
    <w:link w:val="TabTextZchn"/>
    <w:rsid w:val="005B17D7"/>
    <w:pPr>
      <w:spacing w:after="0" w:line="220" w:lineRule="exact"/>
    </w:pPr>
    <w:rPr>
      <w:rFonts w:ascii="Arial Narrow" w:hAnsi="Arial Narrow" w:cs="Arial"/>
      <w:sz w:val="18"/>
      <w:lang w:val="de-CH"/>
    </w:rPr>
  </w:style>
  <w:style w:type="paragraph" w:customStyle="1" w:styleId="TabTitel">
    <w:name w:val="Tab Titel"/>
    <w:basedOn w:val="TabText"/>
    <w:link w:val="TabTitelZchn"/>
    <w:rsid w:val="005B17D7"/>
    <w:rPr>
      <w:b/>
      <w:bCs/>
    </w:rPr>
  </w:style>
  <w:style w:type="character" w:customStyle="1" w:styleId="TabTitelZchn">
    <w:name w:val="Tab Titel Zchn"/>
    <w:link w:val="TabTitel"/>
    <w:rsid w:val="005B17D7"/>
    <w:rPr>
      <w:rFonts w:ascii="Arial Narrow" w:hAnsi="Arial Narrow" w:cs="Arial"/>
      <w:b/>
      <w:bCs/>
      <w:sz w:val="18"/>
      <w:lang w:val="de-CH"/>
    </w:rPr>
  </w:style>
  <w:style w:type="paragraph" w:customStyle="1" w:styleId="Tabtextnum">
    <w:name w:val="Tab text num"/>
    <w:basedOn w:val="TabText"/>
    <w:rsid w:val="005B17D7"/>
    <w:pPr>
      <w:tabs>
        <w:tab w:val="left" w:pos="284"/>
      </w:tabs>
      <w:ind w:left="284" w:hanging="284"/>
    </w:pPr>
  </w:style>
  <w:style w:type="paragraph" w:customStyle="1" w:styleId="FormatvorlagePunktKastenEinfacheeinfarbigeLinieAutomatisch05">
    <w:name w:val="Formatvorlage Punkt + Kasten: (Einfache einfarbige Linie Automatisch  0.5..."/>
    <w:basedOn w:val="Punkt"/>
    <w:rsid w:val="005B17D7"/>
    <w:pPr>
      <w:pBdr>
        <w:top w:val="single" w:sz="4" w:space="1" w:color="auto"/>
        <w:left w:val="single" w:sz="4" w:space="4" w:color="auto"/>
        <w:bottom w:val="single" w:sz="4" w:space="1" w:color="auto"/>
        <w:right w:val="single" w:sz="4" w:space="4" w:color="auto"/>
      </w:pBdr>
      <w:shd w:val="clear" w:color="auto" w:fill="F2F2F2"/>
    </w:pPr>
  </w:style>
  <w:style w:type="paragraph" w:customStyle="1" w:styleId="FormatvorlagePunktNach2ptKastenEinfacheeinfarbigeLinieAuto">
    <w:name w:val="Formatvorlage Punkt + Nach:  2 pt Kasten: (Einfache einfarbige Linie Auto..."/>
    <w:basedOn w:val="Punkt"/>
    <w:rsid w:val="005B17D7"/>
    <w:pPr>
      <w:pBdr>
        <w:top w:val="single" w:sz="4" w:space="1" w:color="auto"/>
        <w:left w:val="single" w:sz="4" w:space="4" w:color="auto"/>
        <w:bottom w:val="single" w:sz="4" w:space="1" w:color="auto"/>
        <w:right w:val="single" w:sz="4" w:space="4" w:color="auto"/>
      </w:pBdr>
      <w:shd w:val="clear" w:color="auto" w:fill="F2F2F2"/>
      <w:spacing w:after="40"/>
    </w:pPr>
  </w:style>
  <w:style w:type="paragraph" w:customStyle="1" w:styleId="FormatvorlageTabTitelVor5ptNach5ptMusterTransparentGra">
    <w:name w:val="Formatvorlage Tab Titel + Vor:  5 pt Nach:  5 pt Muster: Transparent (Gra..."/>
    <w:basedOn w:val="TabTitel"/>
    <w:rsid w:val="005B17D7"/>
    <w:pPr>
      <w:shd w:val="clear" w:color="auto" w:fill="F2F2F2"/>
      <w:spacing w:before="100" w:after="120"/>
    </w:pPr>
    <w:rPr>
      <w:rFonts w:cs="Times New Roman"/>
    </w:rPr>
  </w:style>
  <w:style w:type="paragraph" w:styleId="Verzeichnis3">
    <w:name w:val="toc 3"/>
    <w:basedOn w:val="Standard"/>
    <w:next w:val="Standard"/>
    <w:autoRedefine/>
    <w:uiPriority w:val="39"/>
    <w:qFormat/>
    <w:rsid w:val="00AD2CA5"/>
    <w:pPr>
      <w:tabs>
        <w:tab w:val="left" w:pos="1418"/>
        <w:tab w:val="right" w:leader="dot" w:pos="9061"/>
      </w:tabs>
      <w:ind w:left="1701" w:hanging="850"/>
    </w:pPr>
    <w:rPr>
      <w:noProof/>
      <w:sz w:val="19"/>
      <w:szCs w:val="19"/>
    </w:rPr>
  </w:style>
  <w:style w:type="paragraph" w:customStyle="1" w:styleId="Struktur1">
    <w:name w:val="Struktur 1"/>
    <w:rsid w:val="005B17D7"/>
    <w:pPr>
      <w:tabs>
        <w:tab w:val="left" w:pos="567"/>
      </w:tabs>
      <w:spacing w:before="80" w:after="0" w:line="200" w:lineRule="exact"/>
      <w:ind w:left="567" w:hanging="357"/>
      <w:jc w:val="both"/>
    </w:pPr>
    <w:rPr>
      <w:rFonts w:ascii="Times New Roman" w:eastAsia="Times New Roman" w:hAnsi="Times New Roman" w:cs="Times New Roman"/>
      <w:sz w:val="18"/>
      <w:szCs w:val="20"/>
      <w:lang w:val="de-CH" w:eastAsia="de-DE"/>
    </w:rPr>
  </w:style>
  <w:style w:type="paragraph" w:customStyle="1" w:styleId="Problemstellung">
    <w:name w:val="Problemstellung"/>
    <w:basedOn w:val="Standard"/>
    <w:rsid w:val="005B17D7"/>
    <w:pPr>
      <w:tabs>
        <w:tab w:val="left" w:pos="284"/>
      </w:tabs>
    </w:pPr>
  </w:style>
  <w:style w:type="paragraph" w:styleId="berarbeitung">
    <w:name w:val="Revision"/>
    <w:hidden/>
    <w:uiPriority w:val="99"/>
    <w:semiHidden/>
    <w:rsid w:val="005B17D7"/>
    <w:pPr>
      <w:spacing w:after="0" w:line="240" w:lineRule="auto"/>
    </w:pPr>
    <w:rPr>
      <w:rFonts w:ascii="Arial" w:eastAsia="Times New Roman" w:hAnsi="Arial" w:cs="Times New Roman"/>
      <w:sz w:val="20"/>
      <w:szCs w:val="20"/>
      <w:lang w:val="de-CH" w:eastAsia="de-CH"/>
    </w:rPr>
  </w:style>
  <w:style w:type="table" w:styleId="MittlereSchattierung2-Akzent1">
    <w:name w:val="Medium Shading 2 Accent 1"/>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schriftung">
    <w:name w:val="caption"/>
    <w:basedOn w:val="Standard"/>
    <w:next w:val="Standard"/>
    <w:unhideWhenUsed/>
    <w:qFormat/>
    <w:rsid w:val="003E2D1F"/>
    <w:rPr>
      <w:bCs/>
    </w:rPr>
  </w:style>
  <w:style w:type="paragraph" w:styleId="Endnotentext">
    <w:name w:val="endnote text"/>
    <w:basedOn w:val="Standard"/>
    <w:link w:val="EndnotentextZchn"/>
    <w:rsid w:val="005B17D7"/>
  </w:style>
  <w:style w:type="character" w:customStyle="1" w:styleId="EndnotentextZchn">
    <w:name w:val="Endnotentext Zchn"/>
    <w:basedOn w:val="Absatz-Standardschriftart"/>
    <w:link w:val="Endnotentext"/>
    <w:rsid w:val="005B17D7"/>
    <w:rPr>
      <w:rFonts w:ascii="Arial" w:eastAsia="Times New Roman" w:hAnsi="Arial" w:cs="Times New Roman"/>
      <w:sz w:val="20"/>
      <w:szCs w:val="20"/>
      <w:lang w:val="de-CH" w:eastAsia="de-CH"/>
    </w:rPr>
  </w:style>
  <w:style w:type="character" w:styleId="Endnotenzeichen">
    <w:name w:val="endnote reference"/>
    <w:rsid w:val="005B17D7"/>
    <w:rPr>
      <w:vertAlign w:val="superscript"/>
    </w:rPr>
  </w:style>
  <w:style w:type="paragraph" w:customStyle="1" w:styleId="Default">
    <w:name w:val="Default"/>
    <w:rsid w:val="005B17D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ePunkt">
    <w:name w:val="Liste_Punkt"/>
    <w:basedOn w:val="Standard"/>
    <w:rsid w:val="00EB407A"/>
    <w:pPr>
      <w:numPr>
        <w:numId w:val="6"/>
      </w:numPr>
      <w:tabs>
        <w:tab w:val="clear" w:pos="785"/>
      </w:tabs>
      <w:spacing w:after="240" w:line="280" w:lineRule="atLeast"/>
      <w:ind w:left="680" w:hanging="340"/>
    </w:pPr>
    <w:rPr>
      <w:sz w:val="22"/>
      <w:lang w:eastAsia="de-DE"/>
    </w:rPr>
  </w:style>
  <w:style w:type="paragraph" w:customStyle="1" w:styleId="Tabellenkopf">
    <w:name w:val="Tabellenkopf"/>
    <w:basedOn w:val="Standard"/>
    <w:rsid w:val="00EB407A"/>
    <w:pPr>
      <w:spacing w:before="60" w:after="60" w:line="240" w:lineRule="auto"/>
    </w:pPr>
    <w:rPr>
      <w:b/>
      <w:lang w:eastAsia="de-DE"/>
    </w:rPr>
  </w:style>
  <w:style w:type="paragraph" w:customStyle="1" w:styleId="Tabellenkrper">
    <w:name w:val="Tabellenkörper"/>
    <w:basedOn w:val="Standard"/>
    <w:rsid w:val="00EB407A"/>
    <w:pPr>
      <w:spacing w:before="60" w:after="60" w:line="240" w:lineRule="auto"/>
    </w:pPr>
    <w:rPr>
      <w:lang w:eastAsia="de-DE"/>
    </w:rPr>
  </w:style>
  <w:style w:type="table" w:styleId="Gitternetztabelle3">
    <w:name w:val="Grid Table 3"/>
    <w:basedOn w:val="NormaleTabelle"/>
    <w:uiPriority w:val="48"/>
    <w:rsid w:val="00B06B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tternetztabelle6farbig">
    <w:name w:val="Grid Table 6 Colorful"/>
    <w:basedOn w:val="NormaleTabelle"/>
    <w:uiPriority w:val="51"/>
    <w:rsid w:val="001536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1">
    <w:name w:val="Grid Table 5 Dark Accent 1"/>
    <w:basedOn w:val="NormaleTabelle"/>
    <w:uiPriority w:val="50"/>
    <w:rsid w:val="00DE2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bbildung">
    <w:name w:val="Abbildung"/>
    <w:basedOn w:val="Standard"/>
    <w:link w:val="AbbildungCarattere"/>
    <w:qFormat/>
    <w:rsid w:val="0030777D"/>
    <w:pPr>
      <w:spacing w:before="60" w:line="271" w:lineRule="auto"/>
      <w:jc w:val="both"/>
    </w:pPr>
    <w:rPr>
      <w:sz w:val="16"/>
    </w:rPr>
  </w:style>
  <w:style w:type="paragraph" w:customStyle="1" w:styleId="UntertitelohneNummerierung">
    <w:name w:val="Untertitel ohne Nummerierung"/>
    <w:basedOn w:val="Listenabsatz"/>
    <w:link w:val="UntertitelohneNummerierungCarattere"/>
    <w:qFormat/>
    <w:rsid w:val="00F803A7"/>
    <w:pPr>
      <w:widowControl w:val="0"/>
      <w:spacing w:before="180" w:after="60"/>
      <w:jc w:val="both"/>
    </w:pPr>
    <w:rPr>
      <w:b/>
      <w:i/>
    </w:rPr>
  </w:style>
  <w:style w:type="character" w:customStyle="1" w:styleId="AbbildungCarattere">
    <w:name w:val="Abbildung Carattere"/>
    <w:basedOn w:val="Absatz-Standardschriftart"/>
    <w:link w:val="Abbildung"/>
    <w:rsid w:val="0030777D"/>
    <w:rPr>
      <w:rFonts w:ascii="Arial" w:eastAsia="Times New Roman" w:hAnsi="Arial" w:cs="Times New Roman"/>
      <w:sz w:val="16"/>
      <w:szCs w:val="20"/>
      <w:lang w:val="de-CH" w:eastAsia="de-CH"/>
    </w:rPr>
  </w:style>
  <w:style w:type="character" w:customStyle="1" w:styleId="ListenabsatzZchn">
    <w:name w:val="Listenabsatz Zchn"/>
    <w:basedOn w:val="Absatz-Standardschriftart"/>
    <w:link w:val="Listenabsatz"/>
    <w:uiPriority w:val="34"/>
    <w:rsid w:val="009C0257"/>
    <w:rPr>
      <w:rFonts w:ascii="Arial" w:eastAsia="Times New Roman" w:hAnsi="Arial" w:cs="Times New Roman"/>
      <w:sz w:val="20"/>
      <w:szCs w:val="20"/>
      <w:lang w:val="de-CH" w:eastAsia="de-CH"/>
    </w:rPr>
  </w:style>
  <w:style w:type="character" w:customStyle="1" w:styleId="UntertitelohneNummerierungCarattere">
    <w:name w:val="Untertitel ohne Nummerierung Carattere"/>
    <w:basedOn w:val="ListenabsatzZchn"/>
    <w:link w:val="UntertitelohneNummerierung"/>
    <w:rsid w:val="00F803A7"/>
    <w:rPr>
      <w:rFonts w:ascii="Arial" w:eastAsia="Times New Roman" w:hAnsi="Arial" w:cs="Times New Roman"/>
      <w:b/>
      <w:i/>
      <w:sz w:val="20"/>
      <w:szCs w:val="20"/>
      <w:lang w:val="de-CH" w:eastAsia="de-CH"/>
    </w:rPr>
  </w:style>
  <w:style w:type="character" w:styleId="BesuchterLink">
    <w:name w:val="FollowedHyperlink"/>
    <w:basedOn w:val="Absatz-Standardschriftart"/>
    <w:uiPriority w:val="99"/>
    <w:semiHidden/>
    <w:unhideWhenUsed/>
    <w:rsid w:val="00CD7C7B"/>
    <w:rPr>
      <w:color w:val="954F72" w:themeColor="followedHyperlink"/>
      <w:u w:val="single"/>
    </w:rPr>
  </w:style>
  <w:style w:type="character" w:customStyle="1" w:styleId="st1">
    <w:name w:val="st1"/>
    <w:basedOn w:val="Absatz-Standardschriftart"/>
    <w:rsid w:val="00FE0716"/>
  </w:style>
  <w:style w:type="character" w:customStyle="1" w:styleId="webteasertext2">
    <w:name w:val="webteasertext2"/>
    <w:basedOn w:val="Absatz-Standardschriftart"/>
    <w:rsid w:val="00E15585"/>
    <w:rPr>
      <w:b w:val="0"/>
      <w:bCs w:val="0"/>
      <w:sz w:val="22"/>
      <w:szCs w:val="22"/>
    </w:rPr>
  </w:style>
  <w:style w:type="paragraph" w:styleId="StandardWeb">
    <w:name w:val="Normal (Web)"/>
    <w:basedOn w:val="Standard"/>
    <w:uiPriority w:val="99"/>
    <w:semiHidden/>
    <w:unhideWhenUsed/>
    <w:rsid w:val="0079752F"/>
    <w:rPr>
      <w:rFonts w:ascii="Times New Roman" w:hAnsi="Times New Roman"/>
      <w:sz w:val="24"/>
      <w:szCs w:val="24"/>
    </w:rPr>
  </w:style>
  <w:style w:type="character" w:customStyle="1" w:styleId="trn">
    <w:name w:val="trn"/>
    <w:basedOn w:val="Absatz-Standardschriftart"/>
    <w:rsid w:val="001D244A"/>
  </w:style>
  <w:style w:type="paragraph" w:styleId="Aufzhlungszeichen">
    <w:name w:val="List Bullet"/>
    <w:basedOn w:val="Standard"/>
    <w:uiPriority w:val="99"/>
    <w:unhideWhenUsed/>
    <w:rsid w:val="00BD4DF2"/>
    <w:pPr>
      <w:numPr>
        <w:numId w:val="7"/>
      </w:numPr>
      <w:contextualSpacing/>
    </w:pPr>
  </w:style>
  <w:style w:type="paragraph" w:styleId="Blocktext">
    <w:name w:val="Block Text"/>
    <w:basedOn w:val="Standard"/>
    <w:qFormat/>
    <w:rsid w:val="00664DCD"/>
    <w:pPr>
      <w:adjustRightInd w:val="0"/>
      <w:snapToGrid w:val="0"/>
      <w:spacing w:after="140" w:line="280" w:lineRule="atLeast"/>
    </w:pPr>
    <w:rPr>
      <w:szCs w:val="24"/>
    </w:rPr>
  </w:style>
  <w:style w:type="paragraph" w:styleId="Liste">
    <w:name w:val="List"/>
    <w:basedOn w:val="Standard"/>
    <w:uiPriority w:val="99"/>
    <w:semiHidden/>
    <w:unhideWhenUsed/>
    <w:rsid w:val="000B144E"/>
    <w:pPr>
      <w:ind w:left="283" w:hanging="283"/>
      <w:contextualSpacing/>
    </w:pPr>
  </w:style>
  <w:style w:type="paragraph" w:styleId="KeinLeerraum">
    <w:name w:val="No Spacing"/>
    <w:uiPriority w:val="1"/>
    <w:qFormat/>
    <w:rsid w:val="004D1C36"/>
    <w:pPr>
      <w:widowControl w:val="0"/>
      <w:spacing w:after="60" w:line="276" w:lineRule="auto"/>
      <w:ind w:left="227" w:hanging="227"/>
    </w:pPr>
    <w:rPr>
      <w:rFonts w:ascii="Arial" w:eastAsia="Calibri" w:hAnsi="Arial" w:cs="Times New Roman"/>
      <w:sz w:val="18"/>
      <w:lang w:val="de-CH"/>
    </w:rPr>
  </w:style>
  <w:style w:type="paragraph" w:customStyle="1" w:styleId="ListWithLetters">
    <w:name w:val="ListWithLetters"/>
    <w:basedOn w:val="Standard"/>
    <w:rsid w:val="006413F9"/>
    <w:pPr>
      <w:numPr>
        <w:numId w:val="17"/>
      </w:numPr>
      <w:adjustRightInd w:val="0"/>
      <w:snapToGrid w:val="0"/>
      <w:spacing w:after="0" w:line="240" w:lineRule="auto"/>
    </w:pPr>
    <w:rPr>
      <w:rFonts w:cs="Arial"/>
      <w:szCs w:val="24"/>
    </w:rPr>
  </w:style>
  <w:style w:type="character" w:customStyle="1" w:styleId="normaltextrun1">
    <w:name w:val="normaltextrun1"/>
    <w:basedOn w:val="Absatz-Standardschriftart"/>
    <w:rsid w:val="002731D1"/>
  </w:style>
  <w:style w:type="character" w:customStyle="1" w:styleId="UnresolvedMention">
    <w:name w:val="Unresolved Mention"/>
    <w:basedOn w:val="Absatz-Standardschriftart"/>
    <w:uiPriority w:val="99"/>
    <w:semiHidden/>
    <w:unhideWhenUsed/>
    <w:rsid w:val="008B5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68">
      <w:bodyDiv w:val="1"/>
      <w:marLeft w:val="0"/>
      <w:marRight w:val="0"/>
      <w:marTop w:val="0"/>
      <w:marBottom w:val="0"/>
      <w:divBdr>
        <w:top w:val="none" w:sz="0" w:space="0" w:color="auto"/>
        <w:left w:val="none" w:sz="0" w:space="0" w:color="auto"/>
        <w:bottom w:val="none" w:sz="0" w:space="0" w:color="auto"/>
        <w:right w:val="none" w:sz="0" w:space="0" w:color="auto"/>
      </w:divBdr>
    </w:div>
    <w:div w:id="7297540">
      <w:bodyDiv w:val="1"/>
      <w:marLeft w:val="0"/>
      <w:marRight w:val="0"/>
      <w:marTop w:val="0"/>
      <w:marBottom w:val="0"/>
      <w:divBdr>
        <w:top w:val="none" w:sz="0" w:space="0" w:color="auto"/>
        <w:left w:val="none" w:sz="0" w:space="0" w:color="auto"/>
        <w:bottom w:val="none" w:sz="0" w:space="0" w:color="auto"/>
        <w:right w:val="none" w:sz="0" w:space="0" w:color="auto"/>
      </w:divBdr>
    </w:div>
    <w:div w:id="88083527">
      <w:bodyDiv w:val="1"/>
      <w:marLeft w:val="0"/>
      <w:marRight w:val="0"/>
      <w:marTop w:val="0"/>
      <w:marBottom w:val="0"/>
      <w:divBdr>
        <w:top w:val="none" w:sz="0" w:space="0" w:color="auto"/>
        <w:left w:val="none" w:sz="0" w:space="0" w:color="auto"/>
        <w:bottom w:val="none" w:sz="0" w:space="0" w:color="auto"/>
        <w:right w:val="none" w:sz="0" w:space="0" w:color="auto"/>
      </w:divBdr>
    </w:div>
    <w:div w:id="131598483">
      <w:bodyDiv w:val="1"/>
      <w:marLeft w:val="0"/>
      <w:marRight w:val="0"/>
      <w:marTop w:val="0"/>
      <w:marBottom w:val="0"/>
      <w:divBdr>
        <w:top w:val="none" w:sz="0" w:space="0" w:color="auto"/>
        <w:left w:val="none" w:sz="0" w:space="0" w:color="auto"/>
        <w:bottom w:val="none" w:sz="0" w:space="0" w:color="auto"/>
        <w:right w:val="none" w:sz="0" w:space="0" w:color="auto"/>
      </w:divBdr>
    </w:div>
    <w:div w:id="137110862">
      <w:bodyDiv w:val="1"/>
      <w:marLeft w:val="0"/>
      <w:marRight w:val="0"/>
      <w:marTop w:val="0"/>
      <w:marBottom w:val="0"/>
      <w:divBdr>
        <w:top w:val="none" w:sz="0" w:space="0" w:color="auto"/>
        <w:left w:val="none" w:sz="0" w:space="0" w:color="auto"/>
        <w:bottom w:val="none" w:sz="0" w:space="0" w:color="auto"/>
        <w:right w:val="none" w:sz="0" w:space="0" w:color="auto"/>
      </w:divBdr>
      <w:divsChild>
        <w:div w:id="278803788">
          <w:marLeft w:val="547"/>
          <w:marRight w:val="0"/>
          <w:marTop w:val="101"/>
          <w:marBottom w:val="0"/>
          <w:divBdr>
            <w:top w:val="none" w:sz="0" w:space="0" w:color="auto"/>
            <w:left w:val="none" w:sz="0" w:space="0" w:color="auto"/>
            <w:bottom w:val="none" w:sz="0" w:space="0" w:color="auto"/>
            <w:right w:val="none" w:sz="0" w:space="0" w:color="auto"/>
          </w:divBdr>
        </w:div>
        <w:div w:id="889418159">
          <w:marLeft w:val="547"/>
          <w:marRight w:val="0"/>
          <w:marTop w:val="101"/>
          <w:marBottom w:val="0"/>
          <w:divBdr>
            <w:top w:val="none" w:sz="0" w:space="0" w:color="auto"/>
            <w:left w:val="none" w:sz="0" w:space="0" w:color="auto"/>
            <w:bottom w:val="none" w:sz="0" w:space="0" w:color="auto"/>
            <w:right w:val="none" w:sz="0" w:space="0" w:color="auto"/>
          </w:divBdr>
        </w:div>
        <w:div w:id="1450010761">
          <w:marLeft w:val="1166"/>
          <w:marRight w:val="0"/>
          <w:marTop w:val="101"/>
          <w:marBottom w:val="0"/>
          <w:divBdr>
            <w:top w:val="none" w:sz="0" w:space="0" w:color="auto"/>
            <w:left w:val="none" w:sz="0" w:space="0" w:color="auto"/>
            <w:bottom w:val="none" w:sz="0" w:space="0" w:color="auto"/>
            <w:right w:val="none" w:sz="0" w:space="0" w:color="auto"/>
          </w:divBdr>
        </w:div>
        <w:div w:id="1464078853">
          <w:marLeft w:val="1166"/>
          <w:marRight w:val="0"/>
          <w:marTop w:val="101"/>
          <w:marBottom w:val="0"/>
          <w:divBdr>
            <w:top w:val="none" w:sz="0" w:space="0" w:color="auto"/>
            <w:left w:val="none" w:sz="0" w:space="0" w:color="auto"/>
            <w:bottom w:val="none" w:sz="0" w:space="0" w:color="auto"/>
            <w:right w:val="none" w:sz="0" w:space="0" w:color="auto"/>
          </w:divBdr>
        </w:div>
        <w:div w:id="1764841443">
          <w:marLeft w:val="1166"/>
          <w:marRight w:val="0"/>
          <w:marTop w:val="101"/>
          <w:marBottom w:val="0"/>
          <w:divBdr>
            <w:top w:val="none" w:sz="0" w:space="0" w:color="auto"/>
            <w:left w:val="none" w:sz="0" w:space="0" w:color="auto"/>
            <w:bottom w:val="none" w:sz="0" w:space="0" w:color="auto"/>
            <w:right w:val="none" w:sz="0" w:space="0" w:color="auto"/>
          </w:divBdr>
        </w:div>
        <w:div w:id="1903830479">
          <w:marLeft w:val="547"/>
          <w:marRight w:val="0"/>
          <w:marTop w:val="101"/>
          <w:marBottom w:val="0"/>
          <w:divBdr>
            <w:top w:val="none" w:sz="0" w:space="0" w:color="auto"/>
            <w:left w:val="none" w:sz="0" w:space="0" w:color="auto"/>
            <w:bottom w:val="none" w:sz="0" w:space="0" w:color="auto"/>
            <w:right w:val="none" w:sz="0" w:space="0" w:color="auto"/>
          </w:divBdr>
        </w:div>
        <w:div w:id="2136675846">
          <w:marLeft w:val="1166"/>
          <w:marRight w:val="0"/>
          <w:marTop w:val="101"/>
          <w:marBottom w:val="0"/>
          <w:divBdr>
            <w:top w:val="none" w:sz="0" w:space="0" w:color="auto"/>
            <w:left w:val="none" w:sz="0" w:space="0" w:color="auto"/>
            <w:bottom w:val="none" w:sz="0" w:space="0" w:color="auto"/>
            <w:right w:val="none" w:sz="0" w:space="0" w:color="auto"/>
          </w:divBdr>
        </w:div>
      </w:divsChild>
    </w:div>
    <w:div w:id="228157824">
      <w:bodyDiv w:val="1"/>
      <w:marLeft w:val="0"/>
      <w:marRight w:val="0"/>
      <w:marTop w:val="0"/>
      <w:marBottom w:val="0"/>
      <w:divBdr>
        <w:top w:val="none" w:sz="0" w:space="0" w:color="auto"/>
        <w:left w:val="none" w:sz="0" w:space="0" w:color="auto"/>
        <w:bottom w:val="none" w:sz="0" w:space="0" w:color="auto"/>
        <w:right w:val="none" w:sz="0" w:space="0" w:color="auto"/>
      </w:divBdr>
    </w:div>
    <w:div w:id="347871439">
      <w:bodyDiv w:val="1"/>
      <w:marLeft w:val="0"/>
      <w:marRight w:val="0"/>
      <w:marTop w:val="0"/>
      <w:marBottom w:val="0"/>
      <w:divBdr>
        <w:top w:val="none" w:sz="0" w:space="0" w:color="auto"/>
        <w:left w:val="none" w:sz="0" w:space="0" w:color="auto"/>
        <w:bottom w:val="none" w:sz="0" w:space="0" w:color="auto"/>
        <w:right w:val="none" w:sz="0" w:space="0" w:color="auto"/>
      </w:divBdr>
    </w:div>
    <w:div w:id="354500167">
      <w:bodyDiv w:val="1"/>
      <w:marLeft w:val="0"/>
      <w:marRight w:val="0"/>
      <w:marTop w:val="0"/>
      <w:marBottom w:val="0"/>
      <w:divBdr>
        <w:top w:val="none" w:sz="0" w:space="0" w:color="auto"/>
        <w:left w:val="none" w:sz="0" w:space="0" w:color="auto"/>
        <w:bottom w:val="none" w:sz="0" w:space="0" w:color="auto"/>
        <w:right w:val="none" w:sz="0" w:space="0" w:color="auto"/>
      </w:divBdr>
    </w:div>
    <w:div w:id="375082469">
      <w:bodyDiv w:val="1"/>
      <w:marLeft w:val="0"/>
      <w:marRight w:val="0"/>
      <w:marTop w:val="0"/>
      <w:marBottom w:val="0"/>
      <w:divBdr>
        <w:top w:val="none" w:sz="0" w:space="0" w:color="auto"/>
        <w:left w:val="none" w:sz="0" w:space="0" w:color="auto"/>
        <w:bottom w:val="none" w:sz="0" w:space="0" w:color="auto"/>
        <w:right w:val="none" w:sz="0" w:space="0" w:color="auto"/>
      </w:divBdr>
      <w:divsChild>
        <w:div w:id="10298910">
          <w:marLeft w:val="547"/>
          <w:marRight w:val="0"/>
          <w:marTop w:val="101"/>
          <w:marBottom w:val="0"/>
          <w:divBdr>
            <w:top w:val="none" w:sz="0" w:space="0" w:color="auto"/>
            <w:left w:val="none" w:sz="0" w:space="0" w:color="auto"/>
            <w:bottom w:val="none" w:sz="0" w:space="0" w:color="auto"/>
            <w:right w:val="none" w:sz="0" w:space="0" w:color="auto"/>
          </w:divBdr>
        </w:div>
        <w:div w:id="478690869">
          <w:marLeft w:val="547"/>
          <w:marRight w:val="0"/>
          <w:marTop w:val="101"/>
          <w:marBottom w:val="0"/>
          <w:divBdr>
            <w:top w:val="none" w:sz="0" w:space="0" w:color="auto"/>
            <w:left w:val="none" w:sz="0" w:space="0" w:color="auto"/>
            <w:bottom w:val="none" w:sz="0" w:space="0" w:color="auto"/>
            <w:right w:val="none" w:sz="0" w:space="0" w:color="auto"/>
          </w:divBdr>
        </w:div>
        <w:div w:id="1350909216">
          <w:marLeft w:val="547"/>
          <w:marRight w:val="0"/>
          <w:marTop w:val="101"/>
          <w:marBottom w:val="0"/>
          <w:divBdr>
            <w:top w:val="none" w:sz="0" w:space="0" w:color="auto"/>
            <w:left w:val="none" w:sz="0" w:space="0" w:color="auto"/>
            <w:bottom w:val="none" w:sz="0" w:space="0" w:color="auto"/>
            <w:right w:val="none" w:sz="0" w:space="0" w:color="auto"/>
          </w:divBdr>
        </w:div>
      </w:divsChild>
    </w:div>
    <w:div w:id="386607254">
      <w:bodyDiv w:val="1"/>
      <w:marLeft w:val="0"/>
      <w:marRight w:val="0"/>
      <w:marTop w:val="0"/>
      <w:marBottom w:val="0"/>
      <w:divBdr>
        <w:top w:val="none" w:sz="0" w:space="0" w:color="auto"/>
        <w:left w:val="none" w:sz="0" w:space="0" w:color="auto"/>
        <w:bottom w:val="none" w:sz="0" w:space="0" w:color="auto"/>
        <w:right w:val="none" w:sz="0" w:space="0" w:color="auto"/>
      </w:divBdr>
    </w:div>
    <w:div w:id="405954702">
      <w:bodyDiv w:val="1"/>
      <w:marLeft w:val="0"/>
      <w:marRight w:val="0"/>
      <w:marTop w:val="0"/>
      <w:marBottom w:val="0"/>
      <w:divBdr>
        <w:top w:val="none" w:sz="0" w:space="0" w:color="auto"/>
        <w:left w:val="none" w:sz="0" w:space="0" w:color="auto"/>
        <w:bottom w:val="none" w:sz="0" w:space="0" w:color="auto"/>
        <w:right w:val="none" w:sz="0" w:space="0" w:color="auto"/>
      </w:divBdr>
    </w:div>
    <w:div w:id="442961579">
      <w:bodyDiv w:val="1"/>
      <w:marLeft w:val="0"/>
      <w:marRight w:val="0"/>
      <w:marTop w:val="0"/>
      <w:marBottom w:val="0"/>
      <w:divBdr>
        <w:top w:val="none" w:sz="0" w:space="0" w:color="auto"/>
        <w:left w:val="none" w:sz="0" w:space="0" w:color="auto"/>
        <w:bottom w:val="none" w:sz="0" w:space="0" w:color="auto"/>
        <w:right w:val="none" w:sz="0" w:space="0" w:color="auto"/>
      </w:divBdr>
    </w:div>
    <w:div w:id="594441599">
      <w:bodyDiv w:val="1"/>
      <w:marLeft w:val="0"/>
      <w:marRight w:val="0"/>
      <w:marTop w:val="0"/>
      <w:marBottom w:val="0"/>
      <w:divBdr>
        <w:top w:val="none" w:sz="0" w:space="0" w:color="auto"/>
        <w:left w:val="none" w:sz="0" w:space="0" w:color="auto"/>
        <w:bottom w:val="none" w:sz="0" w:space="0" w:color="auto"/>
        <w:right w:val="none" w:sz="0" w:space="0" w:color="auto"/>
      </w:divBdr>
    </w:div>
    <w:div w:id="598297488">
      <w:bodyDiv w:val="1"/>
      <w:marLeft w:val="0"/>
      <w:marRight w:val="0"/>
      <w:marTop w:val="0"/>
      <w:marBottom w:val="0"/>
      <w:divBdr>
        <w:top w:val="none" w:sz="0" w:space="0" w:color="auto"/>
        <w:left w:val="none" w:sz="0" w:space="0" w:color="auto"/>
        <w:bottom w:val="none" w:sz="0" w:space="0" w:color="auto"/>
        <w:right w:val="none" w:sz="0" w:space="0" w:color="auto"/>
      </w:divBdr>
    </w:div>
    <w:div w:id="703334822">
      <w:bodyDiv w:val="1"/>
      <w:marLeft w:val="0"/>
      <w:marRight w:val="0"/>
      <w:marTop w:val="0"/>
      <w:marBottom w:val="0"/>
      <w:divBdr>
        <w:top w:val="none" w:sz="0" w:space="0" w:color="auto"/>
        <w:left w:val="none" w:sz="0" w:space="0" w:color="auto"/>
        <w:bottom w:val="none" w:sz="0" w:space="0" w:color="auto"/>
        <w:right w:val="none" w:sz="0" w:space="0" w:color="auto"/>
      </w:divBdr>
    </w:div>
    <w:div w:id="752092692">
      <w:bodyDiv w:val="1"/>
      <w:marLeft w:val="0"/>
      <w:marRight w:val="0"/>
      <w:marTop w:val="0"/>
      <w:marBottom w:val="0"/>
      <w:divBdr>
        <w:top w:val="none" w:sz="0" w:space="0" w:color="auto"/>
        <w:left w:val="none" w:sz="0" w:space="0" w:color="auto"/>
        <w:bottom w:val="none" w:sz="0" w:space="0" w:color="auto"/>
        <w:right w:val="none" w:sz="0" w:space="0" w:color="auto"/>
      </w:divBdr>
      <w:divsChild>
        <w:div w:id="806357397">
          <w:marLeft w:val="547"/>
          <w:marRight w:val="0"/>
          <w:marTop w:val="84"/>
          <w:marBottom w:val="120"/>
          <w:divBdr>
            <w:top w:val="none" w:sz="0" w:space="0" w:color="auto"/>
            <w:left w:val="none" w:sz="0" w:space="0" w:color="auto"/>
            <w:bottom w:val="none" w:sz="0" w:space="0" w:color="auto"/>
            <w:right w:val="none" w:sz="0" w:space="0" w:color="auto"/>
          </w:divBdr>
        </w:div>
      </w:divsChild>
    </w:div>
    <w:div w:id="814026759">
      <w:bodyDiv w:val="1"/>
      <w:marLeft w:val="0"/>
      <w:marRight w:val="0"/>
      <w:marTop w:val="0"/>
      <w:marBottom w:val="0"/>
      <w:divBdr>
        <w:top w:val="none" w:sz="0" w:space="0" w:color="auto"/>
        <w:left w:val="none" w:sz="0" w:space="0" w:color="auto"/>
        <w:bottom w:val="none" w:sz="0" w:space="0" w:color="auto"/>
        <w:right w:val="none" w:sz="0" w:space="0" w:color="auto"/>
      </w:divBdr>
    </w:div>
    <w:div w:id="830678089">
      <w:bodyDiv w:val="1"/>
      <w:marLeft w:val="0"/>
      <w:marRight w:val="0"/>
      <w:marTop w:val="0"/>
      <w:marBottom w:val="0"/>
      <w:divBdr>
        <w:top w:val="none" w:sz="0" w:space="0" w:color="auto"/>
        <w:left w:val="none" w:sz="0" w:space="0" w:color="auto"/>
        <w:bottom w:val="none" w:sz="0" w:space="0" w:color="auto"/>
        <w:right w:val="none" w:sz="0" w:space="0" w:color="auto"/>
      </w:divBdr>
    </w:div>
    <w:div w:id="860825179">
      <w:bodyDiv w:val="1"/>
      <w:marLeft w:val="0"/>
      <w:marRight w:val="0"/>
      <w:marTop w:val="0"/>
      <w:marBottom w:val="0"/>
      <w:divBdr>
        <w:top w:val="none" w:sz="0" w:space="0" w:color="auto"/>
        <w:left w:val="none" w:sz="0" w:space="0" w:color="auto"/>
        <w:bottom w:val="none" w:sz="0" w:space="0" w:color="auto"/>
        <w:right w:val="none" w:sz="0" w:space="0" w:color="auto"/>
      </w:divBdr>
    </w:div>
    <w:div w:id="909969546">
      <w:bodyDiv w:val="1"/>
      <w:marLeft w:val="0"/>
      <w:marRight w:val="0"/>
      <w:marTop w:val="0"/>
      <w:marBottom w:val="0"/>
      <w:divBdr>
        <w:top w:val="none" w:sz="0" w:space="0" w:color="auto"/>
        <w:left w:val="none" w:sz="0" w:space="0" w:color="auto"/>
        <w:bottom w:val="none" w:sz="0" w:space="0" w:color="auto"/>
        <w:right w:val="none" w:sz="0" w:space="0" w:color="auto"/>
      </w:divBdr>
    </w:div>
    <w:div w:id="929433510">
      <w:bodyDiv w:val="1"/>
      <w:marLeft w:val="0"/>
      <w:marRight w:val="0"/>
      <w:marTop w:val="0"/>
      <w:marBottom w:val="0"/>
      <w:divBdr>
        <w:top w:val="none" w:sz="0" w:space="0" w:color="auto"/>
        <w:left w:val="none" w:sz="0" w:space="0" w:color="auto"/>
        <w:bottom w:val="none" w:sz="0" w:space="0" w:color="auto"/>
        <w:right w:val="none" w:sz="0" w:space="0" w:color="auto"/>
      </w:divBdr>
    </w:div>
    <w:div w:id="937757537">
      <w:bodyDiv w:val="1"/>
      <w:marLeft w:val="0"/>
      <w:marRight w:val="0"/>
      <w:marTop w:val="0"/>
      <w:marBottom w:val="0"/>
      <w:divBdr>
        <w:top w:val="none" w:sz="0" w:space="0" w:color="auto"/>
        <w:left w:val="none" w:sz="0" w:space="0" w:color="auto"/>
        <w:bottom w:val="none" w:sz="0" w:space="0" w:color="auto"/>
        <w:right w:val="none" w:sz="0" w:space="0" w:color="auto"/>
      </w:divBdr>
    </w:div>
    <w:div w:id="994184812">
      <w:bodyDiv w:val="1"/>
      <w:marLeft w:val="0"/>
      <w:marRight w:val="0"/>
      <w:marTop w:val="0"/>
      <w:marBottom w:val="0"/>
      <w:divBdr>
        <w:top w:val="none" w:sz="0" w:space="0" w:color="auto"/>
        <w:left w:val="none" w:sz="0" w:space="0" w:color="auto"/>
        <w:bottom w:val="none" w:sz="0" w:space="0" w:color="auto"/>
        <w:right w:val="none" w:sz="0" w:space="0" w:color="auto"/>
      </w:divBdr>
    </w:div>
    <w:div w:id="1068921630">
      <w:bodyDiv w:val="1"/>
      <w:marLeft w:val="0"/>
      <w:marRight w:val="0"/>
      <w:marTop w:val="0"/>
      <w:marBottom w:val="0"/>
      <w:divBdr>
        <w:top w:val="none" w:sz="0" w:space="0" w:color="auto"/>
        <w:left w:val="none" w:sz="0" w:space="0" w:color="auto"/>
        <w:bottom w:val="none" w:sz="0" w:space="0" w:color="auto"/>
        <w:right w:val="none" w:sz="0" w:space="0" w:color="auto"/>
      </w:divBdr>
    </w:div>
    <w:div w:id="1125540396">
      <w:bodyDiv w:val="1"/>
      <w:marLeft w:val="0"/>
      <w:marRight w:val="0"/>
      <w:marTop w:val="0"/>
      <w:marBottom w:val="0"/>
      <w:divBdr>
        <w:top w:val="none" w:sz="0" w:space="0" w:color="auto"/>
        <w:left w:val="none" w:sz="0" w:space="0" w:color="auto"/>
        <w:bottom w:val="none" w:sz="0" w:space="0" w:color="auto"/>
        <w:right w:val="none" w:sz="0" w:space="0" w:color="auto"/>
      </w:divBdr>
    </w:div>
    <w:div w:id="1255432619">
      <w:bodyDiv w:val="1"/>
      <w:marLeft w:val="0"/>
      <w:marRight w:val="0"/>
      <w:marTop w:val="0"/>
      <w:marBottom w:val="0"/>
      <w:divBdr>
        <w:top w:val="none" w:sz="0" w:space="0" w:color="auto"/>
        <w:left w:val="none" w:sz="0" w:space="0" w:color="auto"/>
        <w:bottom w:val="none" w:sz="0" w:space="0" w:color="auto"/>
        <w:right w:val="none" w:sz="0" w:space="0" w:color="auto"/>
      </w:divBdr>
    </w:div>
    <w:div w:id="1356149895">
      <w:bodyDiv w:val="1"/>
      <w:marLeft w:val="0"/>
      <w:marRight w:val="0"/>
      <w:marTop w:val="0"/>
      <w:marBottom w:val="0"/>
      <w:divBdr>
        <w:top w:val="none" w:sz="0" w:space="0" w:color="auto"/>
        <w:left w:val="none" w:sz="0" w:space="0" w:color="auto"/>
        <w:bottom w:val="none" w:sz="0" w:space="0" w:color="auto"/>
        <w:right w:val="none" w:sz="0" w:space="0" w:color="auto"/>
      </w:divBdr>
      <w:divsChild>
        <w:div w:id="293023844">
          <w:marLeft w:val="547"/>
          <w:marRight w:val="0"/>
          <w:marTop w:val="77"/>
          <w:marBottom w:val="0"/>
          <w:divBdr>
            <w:top w:val="none" w:sz="0" w:space="0" w:color="auto"/>
            <w:left w:val="none" w:sz="0" w:space="0" w:color="auto"/>
            <w:bottom w:val="none" w:sz="0" w:space="0" w:color="auto"/>
            <w:right w:val="none" w:sz="0" w:space="0" w:color="auto"/>
          </w:divBdr>
        </w:div>
        <w:div w:id="431825735">
          <w:marLeft w:val="547"/>
          <w:marRight w:val="0"/>
          <w:marTop w:val="77"/>
          <w:marBottom w:val="0"/>
          <w:divBdr>
            <w:top w:val="none" w:sz="0" w:space="0" w:color="auto"/>
            <w:left w:val="none" w:sz="0" w:space="0" w:color="auto"/>
            <w:bottom w:val="none" w:sz="0" w:space="0" w:color="auto"/>
            <w:right w:val="none" w:sz="0" w:space="0" w:color="auto"/>
          </w:divBdr>
        </w:div>
        <w:div w:id="910238933">
          <w:marLeft w:val="547"/>
          <w:marRight w:val="0"/>
          <w:marTop w:val="77"/>
          <w:marBottom w:val="0"/>
          <w:divBdr>
            <w:top w:val="none" w:sz="0" w:space="0" w:color="auto"/>
            <w:left w:val="none" w:sz="0" w:space="0" w:color="auto"/>
            <w:bottom w:val="none" w:sz="0" w:space="0" w:color="auto"/>
            <w:right w:val="none" w:sz="0" w:space="0" w:color="auto"/>
          </w:divBdr>
        </w:div>
        <w:div w:id="1334529462">
          <w:marLeft w:val="547"/>
          <w:marRight w:val="0"/>
          <w:marTop w:val="77"/>
          <w:marBottom w:val="0"/>
          <w:divBdr>
            <w:top w:val="none" w:sz="0" w:space="0" w:color="auto"/>
            <w:left w:val="none" w:sz="0" w:space="0" w:color="auto"/>
            <w:bottom w:val="none" w:sz="0" w:space="0" w:color="auto"/>
            <w:right w:val="none" w:sz="0" w:space="0" w:color="auto"/>
          </w:divBdr>
        </w:div>
        <w:div w:id="2061708757">
          <w:marLeft w:val="547"/>
          <w:marRight w:val="0"/>
          <w:marTop w:val="77"/>
          <w:marBottom w:val="0"/>
          <w:divBdr>
            <w:top w:val="none" w:sz="0" w:space="0" w:color="auto"/>
            <w:left w:val="none" w:sz="0" w:space="0" w:color="auto"/>
            <w:bottom w:val="none" w:sz="0" w:space="0" w:color="auto"/>
            <w:right w:val="none" w:sz="0" w:space="0" w:color="auto"/>
          </w:divBdr>
        </w:div>
      </w:divsChild>
    </w:div>
    <w:div w:id="1357075097">
      <w:bodyDiv w:val="1"/>
      <w:marLeft w:val="0"/>
      <w:marRight w:val="0"/>
      <w:marTop w:val="0"/>
      <w:marBottom w:val="0"/>
      <w:divBdr>
        <w:top w:val="none" w:sz="0" w:space="0" w:color="auto"/>
        <w:left w:val="none" w:sz="0" w:space="0" w:color="auto"/>
        <w:bottom w:val="none" w:sz="0" w:space="0" w:color="auto"/>
        <w:right w:val="none" w:sz="0" w:space="0" w:color="auto"/>
      </w:divBdr>
    </w:div>
    <w:div w:id="1389844807">
      <w:bodyDiv w:val="1"/>
      <w:marLeft w:val="0"/>
      <w:marRight w:val="0"/>
      <w:marTop w:val="0"/>
      <w:marBottom w:val="0"/>
      <w:divBdr>
        <w:top w:val="none" w:sz="0" w:space="0" w:color="auto"/>
        <w:left w:val="none" w:sz="0" w:space="0" w:color="auto"/>
        <w:bottom w:val="none" w:sz="0" w:space="0" w:color="auto"/>
        <w:right w:val="none" w:sz="0" w:space="0" w:color="auto"/>
      </w:divBdr>
      <w:divsChild>
        <w:div w:id="831137323">
          <w:marLeft w:val="0"/>
          <w:marRight w:val="0"/>
          <w:marTop w:val="0"/>
          <w:marBottom w:val="0"/>
          <w:divBdr>
            <w:top w:val="none" w:sz="0" w:space="0" w:color="auto"/>
            <w:left w:val="none" w:sz="0" w:space="0" w:color="auto"/>
            <w:bottom w:val="none" w:sz="0" w:space="0" w:color="auto"/>
            <w:right w:val="none" w:sz="0" w:space="0" w:color="auto"/>
          </w:divBdr>
          <w:divsChild>
            <w:div w:id="1464080650">
              <w:marLeft w:val="0"/>
              <w:marRight w:val="0"/>
              <w:marTop w:val="0"/>
              <w:marBottom w:val="0"/>
              <w:divBdr>
                <w:top w:val="none" w:sz="0" w:space="0" w:color="auto"/>
                <w:left w:val="none" w:sz="0" w:space="0" w:color="auto"/>
                <w:bottom w:val="none" w:sz="0" w:space="0" w:color="auto"/>
                <w:right w:val="none" w:sz="0" w:space="0" w:color="auto"/>
              </w:divBdr>
              <w:divsChild>
                <w:div w:id="1963540156">
                  <w:marLeft w:val="-225"/>
                  <w:marRight w:val="-225"/>
                  <w:marTop w:val="0"/>
                  <w:marBottom w:val="0"/>
                  <w:divBdr>
                    <w:top w:val="none" w:sz="0" w:space="0" w:color="auto"/>
                    <w:left w:val="none" w:sz="0" w:space="0" w:color="auto"/>
                    <w:bottom w:val="none" w:sz="0" w:space="0" w:color="auto"/>
                    <w:right w:val="none" w:sz="0" w:space="0" w:color="auto"/>
                  </w:divBdr>
                  <w:divsChild>
                    <w:div w:id="685861081">
                      <w:marLeft w:val="0"/>
                      <w:marRight w:val="0"/>
                      <w:marTop w:val="0"/>
                      <w:marBottom w:val="0"/>
                      <w:divBdr>
                        <w:top w:val="none" w:sz="0" w:space="0" w:color="auto"/>
                        <w:left w:val="none" w:sz="0" w:space="0" w:color="auto"/>
                        <w:bottom w:val="none" w:sz="0" w:space="0" w:color="auto"/>
                        <w:right w:val="none" w:sz="0" w:space="0" w:color="auto"/>
                      </w:divBdr>
                      <w:divsChild>
                        <w:div w:id="1468354173">
                          <w:marLeft w:val="-225"/>
                          <w:marRight w:val="-225"/>
                          <w:marTop w:val="0"/>
                          <w:marBottom w:val="0"/>
                          <w:divBdr>
                            <w:top w:val="none" w:sz="0" w:space="0" w:color="auto"/>
                            <w:left w:val="none" w:sz="0" w:space="0" w:color="auto"/>
                            <w:bottom w:val="none" w:sz="0" w:space="0" w:color="auto"/>
                            <w:right w:val="none" w:sz="0" w:space="0" w:color="auto"/>
                          </w:divBdr>
                          <w:divsChild>
                            <w:div w:id="1218274046">
                              <w:marLeft w:val="0"/>
                              <w:marRight w:val="0"/>
                              <w:marTop w:val="0"/>
                              <w:marBottom w:val="0"/>
                              <w:divBdr>
                                <w:top w:val="none" w:sz="0" w:space="0" w:color="auto"/>
                                <w:left w:val="none" w:sz="0" w:space="0" w:color="auto"/>
                                <w:bottom w:val="none" w:sz="0" w:space="0" w:color="auto"/>
                                <w:right w:val="none" w:sz="0" w:space="0" w:color="auto"/>
                              </w:divBdr>
                              <w:divsChild>
                                <w:div w:id="308826666">
                                  <w:marLeft w:val="0"/>
                                  <w:marRight w:val="0"/>
                                  <w:marTop w:val="0"/>
                                  <w:marBottom w:val="0"/>
                                  <w:divBdr>
                                    <w:top w:val="none" w:sz="0" w:space="0" w:color="auto"/>
                                    <w:left w:val="none" w:sz="0" w:space="0" w:color="auto"/>
                                    <w:bottom w:val="none" w:sz="0" w:space="0" w:color="auto"/>
                                    <w:right w:val="none" w:sz="0" w:space="0" w:color="auto"/>
                                  </w:divBdr>
                                  <w:divsChild>
                                    <w:div w:id="13634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22208">
      <w:bodyDiv w:val="1"/>
      <w:marLeft w:val="0"/>
      <w:marRight w:val="0"/>
      <w:marTop w:val="0"/>
      <w:marBottom w:val="0"/>
      <w:divBdr>
        <w:top w:val="none" w:sz="0" w:space="0" w:color="auto"/>
        <w:left w:val="none" w:sz="0" w:space="0" w:color="auto"/>
        <w:bottom w:val="none" w:sz="0" w:space="0" w:color="auto"/>
        <w:right w:val="none" w:sz="0" w:space="0" w:color="auto"/>
      </w:divBdr>
    </w:div>
    <w:div w:id="1449930057">
      <w:bodyDiv w:val="1"/>
      <w:marLeft w:val="0"/>
      <w:marRight w:val="0"/>
      <w:marTop w:val="0"/>
      <w:marBottom w:val="0"/>
      <w:divBdr>
        <w:top w:val="none" w:sz="0" w:space="0" w:color="auto"/>
        <w:left w:val="none" w:sz="0" w:space="0" w:color="auto"/>
        <w:bottom w:val="none" w:sz="0" w:space="0" w:color="auto"/>
        <w:right w:val="none" w:sz="0" w:space="0" w:color="auto"/>
      </w:divBdr>
    </w:div>
    <w:div w:id="1574897664">
      <w:bodyDiv w:val="1"/>
      <w:marLeft w:val="0"/>
      <w:marRight w:val="0"/>
      <w:marTop w:val="0"/>
      <w:marBottom w:val="0"/>
      <w:divBdr>
        <w:top w:val="none" w:sz="0" w:space="0" w:color="auto"/>
        <w:left w:val="none" w:sz="0" w:space="0" w:color="auto"/>
        <w:bottom w:val="none" w:sz="0" w:space="0" w:color="auto"/>
        <w:right w:val="none" w:sz="0" w:space="0" w:color="auto"/>
      </w:divBdr>
    </w:div>
    <w:div w:id="1639912846">
      <w:bodyDiv w:val="1"/>
      <w:marLeft w:val="0"/>
      <w:marRight w:val="0"/>
      <w:marTop w:val="0"/>
      <w:marBottom w:val="0"/>
      <w:divBdr>
        <w:top w:val="none" w:sz="0" w:space="0" w:color="auto"/>
        <w:left w:val="none" w:sz="0" w:space="0" w:color="auto"/>
        <w:bottom w:val="none" w:sz="0" w:space="0" w:color="auto"/>
        <w:right w:val="none" w:sz="0" w:space="0" w:color="auto"/>
      </w:divBdr>
    </w:div>
    <w:div w:id="1724060322">
      <w:bodyDiv w:val="1"/>
      <w:marLeft w:val="0"/>
      <w:marRight w:val="0"/>
      <w:marTop w:val="0"/>
      <w:marBottom w:val="0"/>
      <w:divBdr>
        <w:top w:val="none" w:sz="0" w:space="0" w:color="auto"/>
        <w:left w:val="none" w:sz="0" w:space="0" w:color="auto"/>
        <w:bottom w:val="none" w:sz="0" w:space="0" w:color="auto"/>
        <w:right w:val="none" w:sz="0" w:space="0" w:color="auto"/>
      </w:divBdr>
    </w:div>
    <w:div w:id="1742482114">
      <w:bodyDiv w:val="1"/>
      <w:marLeft w:val="0"/>
      <w:marRight w:val="0"/>
      <w:marTop w:val="0"/>
      <w:marBottom w:val="0"/>
      <w:divBdr>
        <w:top w:val="none" w:sz="0" w:space="0" w:color="auto"/>
        <w:left w:val="none" w:sz="0" w:space="0" w:color="auto"/>
        <w:bottom w:val="none" w:sz="0" w:space="0" w:color="auto"/>
        <w:right w:val="none" w:sz="0" w:space="0" w:color="auto"/>
      </w:divBdr>
      <w:divsChild>
        <w:div w:id="175190039">
          <w:marLeft w:val="547"/>
          <w:marRight w:val="0"/>
          <w:marTop w:val="101"/>
          <w:marBottom w:val="0"/>
          <w:divBdr>
            <w:top w:val="none" w:sz="0" w:space="0" w:color="auto"/>
            <w:left w:val="none" w:sz="0" w:space="0" w:color="auto"/>
            <w:bottom w:val="none" w:sz="0" w:space="0" w:color="auto"/>
            <w:right w:val="none" w:sz="0" w:space="0" w:color="auto"/>
          </w:divBdr>
        </w:div>
        <w:div w:id="995769501">
          <w:marLeft w:val="547"/>
          <w:marRight w:val="0"/>
          <w:marTop w:val="101"/>
          <w:marBottom w:val="0"/>
          <w:divBdr>
            <w:top w:val="none" w:sz="0" w:space="0" w:color="auto"/>
            <w:left w:val="none" w:sz="0" w:space="0" w:color="auto"/>
            <w:bottom w:val="none" w:sz="0" w:space="0" w:color="auto"/>
            <w:right w:val="none" w:sz="0" w:space="0" w:color="auto"/>
          </w:divBdr>
        </w:div>
        <w:div w:id="1241401336">
          <w:marLeft w:val="547"/>
          <w:marRight w:val="0"/>
          <w:marTop w:val="101"/>
          <w:marBottom w:val="0"/>
          <w:divBdr>
            <w:top w:val="none" w:sz="0" w:space="0" w:color="auto"/>
            <w:left w:val="none" w:sz="0" w:space="0" w:color="auto"/>
            <w:bottom w:val="none" w:sz="0" w:space="0" w:color="auto"/>
            <w:right w:val="none" w:sz="0" w:space="0" w:color="auto"/>
          </w:divBdr>
        </w:div>
        <w:div w:id="1428231571">
          <w:marLeft w:val="547"/>
          <w:marRight w:val="0"/>
          <w:marTop w:val="101"/>
          <w:marBottom w:val="0"/>
          <w:divBdr>
            <w:top w:val="none" w:sz="0" w:space="0" w:color="auto"/>
            <w:left w:val="none" w:sz="0" w:space="0" w:color="auto"/>
            <w:bottom w:val="none" w:sz="0" w:space="0" w:color="auto"/>
            <w:right w:val="none" w:sz="0" w:space="0" w:color="auto"/>
          </w:divBdr>
        </w:div>
        <w:div w:id="1544366900">
          <w:marLeft w:val="547"/>
          <w:marRight w:val="0"/>
          <w:marTop w:val="101"/>
          <w:marBottom w:val="0"/>
          <w:divBdr>
            <w:top w:val="none" w:sz="0" w:space="0" w:color="auto"/>
            <w:left w:val="none" w:sz="0" w:space="0" w:color="auto"/>
            <w:bottom w:val="none" w:sz="0" w:space="0" w:color="auto"/>
            <w:right w:val="none" w:sz="0" w:space="0" w:color="auto"/>
          </w:divBdr>
        </w:div>
      </w:divsChild>
    </w:div>
    <w:div w:id="1748267513">
      <w:bodyDiv w:val="1"/>
      <w:marLeft w:val="0"/>
      <w:marRight w:val="0"/>
      <w:marTop w:val="0"/>
      <w:marBottom w:val="0"/>
      <w:divBdr>
        <w:top w:val="none" w:sz="0" w:space="0" w:color="auto"/>
        <w:left w:val="none" w:sz="0" w:space="0" w:color="auto"/>
        <w:bottom w:val="none" w:sz="0" w:space="0" w:color="auto"/>
        <w:right w:val="none" w:sz="0" w:space="0" w:color="auto"/>
      </w:divBdr>
    </w:div>
    <w:div w:id="1774744330">
      <w:bodyDiv w:val="1"/>
      <w:marLeft w:val="0"/>
      <w:marRight w:val="0"/>
      <w:marTop w:val="0"/>
      <w:marBottom w:val="0"/>
      <w:divBdr>
        <w:top w:val="none" w:sz="0" w:space="0" w:color="auto"/>
        <w:left w:val="none" w:sz="0" w:space="0" w:color="auto"/>
        <w:bottom w:val="none" w:sz="0" w:space="0" w:color="auto"/>
        <w:right w:val="none" w:sz="0" w:space="0" w:color="auto"/>
      </w:divBdr>
    </w:div>
    <w:div w:id="1784225518">
      <w:bodyDiv w:val="1"/>
      <w:marLeft w:val="0"/>
      <w:marRight w:val="0"/>
      <w:marTop w:val="0"/>
      <w:marBottom w:val="0"/>
      <w:divBdr>
        <w:top w:val="none" w:sz="0" w:space="0" w:color="auto"/>
        <w:left w:val="none" w:sz="0" w:space="0" w:color="auto"/>
        <w:bottom w:val="none" w:sz="0" w:space="0" w:color="auto"/>
        <w:right w:val="none" w:sz="0" w:space="0" w:color="auto"/>
      </w:divBdr>
      <w:divsChild>
        <w:div w:id="243994169">
          <w:marLeft w:val="446"/>
          <w:marRight w:val="0"/>
          <w:marTop w:val="0"/>
          <w:marBottom w:val="0"/>
          <w:divBdr>
            <w:top w:val="none" w:sz="0" w:space="0" w:color="auto"/>
            <w:left w:val="none" w:sz="0" w:space="0" w:color="auto"/>
            <w:bottom w:val="none" w:sz="0" w:space="0" w:color="auto"/>
            <w:right w:val="none" w:sz="0" w:space="0" w:color="auto"/>
          </w:divBdr>
        </w:div>
        <w:div w:id="486630512">
          <w:marLeft w:val="446"/>
          <w:marRight w:val="0"/>
          <w:marTop w:val="0"/>
          <w:marBottom w:val="0"/>
          <w:divBdr>
            <w:top w:val="none" w:sz="0" w:space="0" w:color="auto"/>
            <w:left w:val="none" w:sz="0" w:space="0" w:color="auto"/>
            <w:bottom w:val="none" w:sz="0" w:space="0" w:color="auto"/>
            <w:right w:val="none" w:sz="0" w:space="0" w:color="auto"/>
          </w:divBdr>
        </w:div>
        <w:div w:id="1146825817">
          <w:marLeft w:val="446"/>
          <w:marRight w:val="0"/>
          <w:marTop w:val="0"/>
          <w:marBottom w:val="0"/>
          <w:divBdr>
            <w:top w:val="none" w:sz="0" w:space="0" w:color="auto"/>
            <w:left w:val="none" w:sz="0" w:space="0" w:color="auto"/>
            <w:bottom w:val="none" w:sz="0" w:space="0" w:color="auto"/>
            <w:right w:val="none" w:sz="0" w:space="0" w:color="auto"/>
          </w:divBdr>
        </w:div>
      </w:divsChild>
    </w:div>
    <w:div w:id="1788814049">
      <w:bodyDiv w:val="1"/>
      <w:marLeft w:val="0"/>
      <w:marRight w:val="0"/>
      <w:marTop w:val="0"/>
      <w:marBottom w:val="0"/>
      <w:divBdr>
        <w:top w:val="none" w:sz="0" w:space="0" w:color="auto"/>
        <w:left w:val="none" w:sz="0" w:space="0" w:color="auto"/>
        <w:bottom w:val="none" w:sz="0" w:space="0" w:color="auto"/>
        <w:right w:val="none" w:sz="0" w:space="0" w:color="auto"/>
      </w:divBdr>
    </w:div>
    <w:div w:id="1798793284">
      <w:bodyDiv w:val="1"/>
      <w:marLeft w:val="0"/>
      <w:marRight w:val="0"/>
      <w:marTop w:val="0"/>
      <w:marBottom w:val="0"/>
      <w:divBdr>
        <w:top w:val="none" w:sz="0" w:space="0" w:color="auto"/>
        <w:left w:val="none" w:sz="0" w:space="0" w:color="auto"/>
        <w:bottom w:val="none" w:sz="0" w:space="0" w:color="auto"/>
        <w:right w:val="none" w:sz="0" w:space="0" w:color="auto"/>
      </w:divBdr>
    </w:div>
    <w:div w:id="1834368009">
      <w:bodyDiv w:val="1"/>
      <w:marLeft w:val="0"/>
      <w:marRight w:val="0"/>
      <w:marTop w:val="0"/>
      <w:marBottom w:val="0"/>
      <w:divBdr>
        <w:top w:val="none" w:sz="0" w:space="0" w:color="auto"/>
        <w:left w:val="none" w:sz="0" w:space="0" w:color="auto"/>
        <w:bottom w:val="none" w:sz="0" w:space="0" w:color="auto"/>
        <w:right w:val="none" w:sz="0" w:space="0" w:color="auto"/>
      </w:divBdr>
    </w:div>
    <w:div w:id="1910576926">
      <w:bodyDiv w:val="1"/>
      <w:marLeft w:val="0"/>
      <w:marRight w:val="0"/>
      <w:marTop w:val="0"/>
      <w:marBottom w:val="0"/>
      <w:divBdr>
        <w:top w:val="none" w:sz="0" w:space="0" w:color="auto"/>
        <w:left w:val="none" w:sz="0" w:space="0" w:color="auto"/>
        <w:bottom w:val="none" w:sz="0" w:space="0" w:color="auto"/>
        <w:right w:val="none" w:sz="0" w:space="0" w:color="auto"/>
      </w:divBdr>
    </w:div>
    <w:div w:id="1932808359">
      <w:bodyDiv w:val="1"/>
      <w:marLeft w:val="0"/>
      <w:marRight w:val="0"/>
      <w:marTop w:val="0"/>
      <w:marBottom w:val="0"/>
      <w:divBdr>
        <w:top w:val="none" w:sz="0" w:space="0" w:color="auto"/>
        <w:left w:val="none" w:sz="0" w:space="0" w:color="auto"/>
        <w:bottom w:val="none" w:sz="0" w:space="0" w:color="auto"/>
        <w:right w:val="none" w:sz="0" w:space="0" w:color="auto"/>
      </w:divBdr>
    </w:div>
    <w:div w:id="1934708127">
      <w:bodyDiv w:val="1"/>
      <w:marLeft w:val="0"/>
      <w:marRight w:val="0"/>
      <w:marTop w:val="0"/>
      <w:marBottom w:val="0"/>
      <w:divBdr>
        <w:top w:val="none" w:sz="0" w:space="0" w:color="auto"/>
        <w:left w:val="none" w:sz="0" w:space="0" w:color="auto"/>
        <w:bottom w:val="none" w:sz="0" w:space="0" w:color="auto"/>
        <w:right w:val="none" w:sz="0" w:space="0" w:color="auto"/>
      </w:divBdr>
    </w:div>
    <w:div w:id="1953241133">
      <w:bodyDiv w:val="1"/>
      <w:marLeft w:val="0"/>
      <w:marRight w:val="0"/>
      <w:marTop w:val="0"/>
      <w:marBottom w:val="0"/>
      <w:divBdr>
        <w:top w:val="none" w:sz="0" w:space="0" w:color="auto"/>
        <w:left w:val="none" w:sz="0" w:space="0" w:color="auto"/>
        <w:bottom w:val="none" w:sz="0" w:space="0" w:color="auto"/>
        <w:right w:val="none" w:sz="0" w:space="0" w:color="auto"/>
      </w:divBdr>
    </w:div>
    <w:div w:id="2021392992">
      <w:bodyDiv w:val="1"/>
      <w:marLeft w:val="0"/>
      <w:marRight w:val="0"/>
      <w:marTop w:val="0"/>
      <w:marBottom w:val="0"/>
      <w:divBdr>
        <w:top w:val="none" w:sz="0" w:space="0" w:color="auto"/>
        <w:left w:val="none" w:sz="0" w:space="0" w:color="auto"/>
        <w:bottom w:val="none" w:sz="0" w:space="0" w:color="auto"/>
        <w:right w:val="none" w:sz="0" w:space="0" w:color="auto"/>
      </w:divBdr>
      <w:divsChild>
        <w:div w:id="49114121">
          <w:marLeft w:val="547"/>
          <w:marRight w:val="0"/>
          <w:marTop w:val="101"/>
          <w:marBottom w:val="0"/>
          <w:divBdr>
            <w:top w:val="none" w:sz="0" w:space="0" w:color="auto"/>
            <w:left w:val="none" w:sz="0" w:space="0" w:color="auto"/>
            <w:bottom w:val="none" w:sz="0" w:space="0" w:color="auto"/>
            <w:right w:val="none" w:sz="0" w:space="0" w:color="auto"/>
          </w:divBdr>
        </w:div>
        <w:div w:id="117334752">
          <w:marLeft w:val="1166"/>
          <w:marRight w:val="0"/>
          <w:marTop w:val="101"/>
          <w:marBottom w:val="0"/>
          <w:divBdr>
            <w:top w:val="none" w:sz="0" w:space="0" w:color="auto"/>
            <w:left w:val="none" w:sz="0" w:space="0" w:color="auto"/>
            <w:bottom w:val="none" w:sz="0" w:space="0" w:color="auto"/>
            <w:right w:val="none" w:sz="0" w:space="0" w:color="auto"/>
          </w:divBdr>
        </w:div>
        <w:div w:id="132019358">
          <w:marLeft w:val="547"/>
          <w:marRight w:val="0"/>
          <w:marTop w:val="101"/>
          <w:marBottom w:val="0"/>
          <w:divBdr>
            <w:top w:val="none" w:sz="0" w:space="0" w:color="auto"/>
            <w:left w:val="none" w:sz="0" w:space="0" w:color="auto"/>
            <w:bottom w:val="none" w:sz="0" w:space="0" w:color="auto"/>
            <w:right w:val="none" w:sz="0" w:space="0" w:color="auto"/>
          </w:divBdr>
        </w:div>
        <w:div w:id="491143831">
          <w:marLeft w:val="547"/>
          <w:marRight w:val="0"/>
          <w:marTop w:val="101"/>
          <w:marBottom w:val="0"/>
          <w:divBdr>
            <w:top w:val="none" w:sz="0" w:space="0" w:color="auto"/>
            <w:left w:val="none" w:sz="0" w:space="0" w:color="auto"/>
            <w:bottom w:val="none" w:sz="0" w:space="0" w:color="auto"/>
            <w:right w:val="none" w:sz="0" w:space="0" w:color="auto"/>
          </w:divBdr>
        </w:div>
        <w:div w:id="972095657">
          <w:marLeft w:val="1166"/>
          <w:marRight w:val="0"/>
          <w:marTop w:val="101"/>
          <w:marBottom w:val="0"/>
          <w:divBdr>
            <w:top w:val="none" w:sz="0" w:space="0" w:color="auto"/>
            <w:left w:val="none" w:sz="0" w:space="0" w:color="auto"/>
            <w:bottom w:val="none" w:sz="0" w:space="0" w:color="auto"/>
            <w:right w:val="none" w:sz="0" w:space="0" w:color="auto"/>
          </w:divBdr>
        </w:div>
        <w:div w:id="1015885015">
          <w:marLeft w:val="547"/>
          <w:marRight w:val="0"/>
          <w:marTop w:val="101"/>
          <w:marBottom w:val="0"/>
          <w:divBdr>
            <w:top w:val="none" w:sz="0" w:space="0" w:color="auto"/>
            <w:left w:val="none" w:sz="0" w:space="0" w:color="auto"/>
            <w:bottom w:val="none" w:sz="0" w:space="0" w:color="auto"/>
            <w:right w:val="none" w:sz="0" w:space="0" w:color="auto"/>
          </w:divBdr>
        </w:div>
        <w:div w:id="1063019827">
          <w:marLeft w:val="547"/>
          <w:marRight w:val="0"/>
          <w:marTop w:val="101"/>
          <w:marBottom w:val="0"/>
          <w:divBdr>
            <w:top w:val="none" w:sz="0" w:space="0" w:color="auto"/>
            <w:left w:val="none" w:sz="0" w:space="0" w:color="auto"/>
            <w:bottom w:val="none" w:sz="0" w:space="0" w:color="auto"/>
            <w:right w:val="none" w:sz="0" w:space="0" w:color="auto"/>
          </w:divBdr>
        </w:div>
        <w:div w:id="1152285249">
          <w:marLeft w:val="1166"/>
          <w:marRight w:val="0"/>
          <w:marTop w:val="101"/>
          <w:marBottom w:val="0"/>
          <w:divBdr>
            <w:top w:val="none" w:sz="0" w:space="0" w:color="auto"/>
            <w:left w:val="none" w:sz="0" w:space="0" w:color="auto"/>
            <w:bottom w:val="none" w:sz="0" w:space="0" w:color="auto"/>
            <w:right w:val="none" w:sz="0" w:space="0" w:color="auto"/>
          </w:divBdr>
        </w:div>
      </w:divsChild>
    </w:div>
    <w:div w:id="20495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grarbericht.ch/fr/exploitation/structures/surface-agricole-utile" TargetMode="External"/><Relationship Id="rId1" Type="http://schemas.openxmlformats.org/officeDocument/2006/relationships/hyperlink" Target="https://www.bfs.admin.ch/bfs/fr/home/statistiques/espace-environnement/utilisation-couverture-sol.assetdetail.34898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9612DF438B5A47B14598812F0FBE46" ma:contentTypeVersion="0" ma:contentTypeDescription="Ein neues Dokument erstellen." ma:contentTypeScope="" ma:versionID="89e8cd02937708299a66b9aafcdbaef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Konzept Windenergie DE [27.06.2017]"/>
    <f:field ref="objsubject" par="" edit="true" text=""/>
    <f:field ref="objcreatedby" par="" text="Cattaneo, Mattia (ARE - CAM)"/>
    <f:field ref="objcreatedat" par="" text="27.06.2017 09:39:52"/>
    <f:field ref="objchangedby" par="" text="Cattaneo, Mattia (ARE - CAM)"/>
    <f:field ref="objmodifiedat" par="" text="27.06.2017 09:39:55"/>
    <f:field ref="doc_FSCFOLIO_1_1001_FieldDocumentNumber" par="" text=""/>
    <f:field ref="doc_FSCFOLIO_1_1001_FieldSubject" par="" edit="true" text=""/>
    <f:field ref="FSCFOLIO_1_1001_FieldCurrentUser" par="" text="Mattia Cattaneo"/>
    <f:field ref="CCAPRECONFIG_15_1001_Objektname" par="" edit="true" text="Konzept Windenergie DE [27.06.2017]"/>
    <f:field ref="CHPRECONFIG_1_1001_Objektname" par="" edit="true" text="Konzept Windenergie DE [27.06.2017]"/>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Posta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BE50-9235-457B-BF39-D8846916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42F03D9B-2D19-40C5-9BF5-EC11E61F2D82}">
  <ds:schemaRefs>
    <ds:schemaRef ds:uri="http://schemas.microsoft.com/sharepoint/v3/contenttype/forms"/>
  </ds:schemaRefs>
</ds:datastoreItem>
</file>

<file path=customXml/itemProps4.xml><?xml version="1.0" encoding="utf-8"?>
<ds:datastoreItem xmlns:ds="http://schemas.openxmlformats.org/officeDocument/2006/customXml" ds:itemID="{97C3ADCD-4F54-4DF0-BA92-C04EA776309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80C27C1-F5FA-4F9F-856D-A371991D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7113</Words>
  <Characters>44815</Characters>
  <Application>Microsoft Office Word</Application>
  <DocSecurity>0</DocSecurity>
  <Lines>373</Lines>
  <Paragraphs>103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Plan sectoriel SDA</vt:lpstr>
      <vt:lpstr/>
    </vt:vector>
  </TitlesOfParts>
  <Company>Bundesamt für Raumentwicklung ARE</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sectoriel SDA</dc:title>
  <dc:subject/>
  <dc:creator>Bundesamt für Raumentwicklung ARE</dc:creator>
  <cp:keywords/>
  <dc:description/>
  <cp:lastModifiedBy>Spycher Fiona ARE</cp:lastModifiedBy>
  <cp:revision>62</cp:revision>
  <cp:lastPrinted>2018-12-19T14:42:00Z</cp:lastPrinted>
  <dcterms:created xsi:type="dcterms:W3CDTF">2018-11-30T16:29:00Z</dcterms:created>
  <dcterms:modified xsi:type="dcterms:W3CDTF">2018-12-20T08:50:00Z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RECFG@100.2000:Doc_Dossier">
    <vt:lpwstr>00 - Verabschiedung BR</vt:lpwstr>
  </property>
  <property fmtid="{D5CDD505-2E9C-101B-9397-08002B2CF9AE}" pid="3" name="FSC#ARECFG@100.2000:Doc_Rubrik">
    <vt:lpwstr>341.3 Konzept Windenergie</vt:lpwstr>
  </property>
  <property fmtid="{D5CDD505-2E9C-101B-9397-08002B2CF9AE}" pid="4" name="FSC#ARECFG@100.2000:Doc_Ordnungspos_1">
    <vt:lpwstr>3 Koordination Mobilität und Infrastrukturen_x000d_
34 Koordination Versorgung und Energie_x000d_
341 Konzepte und Sachpläne Versorgung + Energie</vt:lpwstr>
  </property>
  <property fmtid="{D5CDD505-2E9C-101B-9397-08002B2CF9AE}" pid="5" name="FSC#ARECFG@100.2000:Doc_Ordnungspos_2">
    <vt:lpwstr>00 - Verabschiedung BR</vt:lpwstr>
  </property>
  <property fmtid="{D5CDD505-2E9C-101B-9397-08002B2CF9AE}" pid="6" name="FSC#ARECFG@100.2000:Doc_Ordnungspos_3">
    <vt:lpwstr>00 - Verabschiedung BR</vt:lpwstr>
  </property>
  <property fmtid="{D5CDD505-2E9C-101B-9397-08002B2CF9AE}" pid="7" name="FSC#ARECFG@100.2000:Doc_Ordnungspos_4">
    <vt:lpwstr>00 - Verabschiedung BR</vt:lpwstr>
  </property>
  <property fmtid="{D5CDD505-2E9C-101B-9397-08002B2CF9AE}" pid="8" name="FSC#ARECFG@100.2000:Rec_Contactpers">
    <vt:lpwstr/>
  </property>
  <property fmtid="{D5CDD505-2E9C-101B-9397-08002B2CF9AE}" pid="9" name="FSC#ARECFG@100.2000:Rec_FullName">
    <vt:lpwstr/>
  </property>
  <property fmtid="{D5CDD505-2E9C-101B-9397-08002B2CF9AE}" pid="10" name="FSC#ARECFG@100.2000:Rec_CompleteAddress">
    <vt:lpwstr/>
  </property>
  <property fmtid="{D5CDD505-2E9C-101B-9397-08002B2CF9AE}" pid="11" name="FSC#ARECFG@100.2000:Rec_Email">
    <vt:lpwstr/>
  </property>
  <property fmtid="{D5CDD505-2E9C-101B-9397-08002B2CF9AE}" pid="12" name="FSC#ARECFG@100.2000:Rec_Introduction">
    <vt:lpwstr/>
  </property>
  <property fmtid="{D5CDD505-2E9C-101B-9397-08002B2CF9AE}" pid="13" name="FSC#ARECFG@100.2000:Rec_TransMedia">
    <vt:lpwstr/>
  </property>
  <property fmtid="{D5CDD505-2E9C-101B-9397-08002B2CF9AE}" pid="14" name="FSC#ARECFG@100.2000:Subfile_FileRespOrg">
    <vt:lpwstr>Planifications fédérales</vt:lpwstr>
  </property>
  <property fmtid="{D5CDD505-2E9C-101B-9397-08002B2CF9AE}" pid="15" name="FSC#ARECFG@100.2000:Subfile_FileResponsible">
    <vt:lpwstr>Mattia Cattaneo</vt:lpwstr>
  </property>
  <property fmtid="{D5CDD505-2E9C-101B-9397-08002B2CF9AE}" pid="16" name="FSC#ARECFG@100.2000:Subfile_Sektionschef">
    <vt:lpwstr>Dr. Lena Poschet</vt:lpwstr>
  </property>
  <property fmtid="{D5CDD505-2E9C-101B-9397-08002B2CF9AE}" pid="17" name="FSC#ARECFG@100.2000:Doc_cooAddress">
    <vt:lpwstr>COO.2093.100.5.697158</vt:lpwstr>
  </property>
  <property fmtid="{D5CDD505-2E9C-101B-9397-08002B2CF9AE}" pid="18" name="FSC#ARECFG@100.2000:Doc_FileReference">
    <vt:lpwstr>341.3-00004/00014/00001/00008</vt:lpwstr>
  </property>
  <property fmtid="{D5CDD505-2E9C-101B-9397-08002B2CF9AE}" pid="19" name="FSC#ARECFG@100.2000:Subfile_Titel">
    <vt:lpwstr/>
  </property>
  <property fmtid="{D5CDD505-2E9C-101B-9397-08002B2CF9AE}" pid="20" name="FSC#ARECFG@100.2000:Proj_Number">
    <vt:lpwstr/>
  </property>
  <property fmtid="{D5CDD505-2E9C-101B-9397-08002B2CF9AE}" pid="21" name="FSC#ARECFG@100.2000:Proj_Total">
    <vt:lpwstr/>
  </property>
  <property fmtid="{D5CDD505-2E9C-101B-9397-08002B2CF9AE}" pid="22" name="FSC#ARECFG@100.2000:Proj_Start">
    <vt:lpwstr/>
  </property>
  <property fmtid="{D5CDD505-2E9C-101B-9397-08002B2CF9AE}" pid="23" name="FSC#ARECFG@100.2000:Proj_Ende">
    <vt:lpwstr/>
  </property>
  <property fmtid="{D5CDD505-2E9C-101B-9397-08002B2CF9AE}" pid="24" name="FSC#ARECFG@100.2000:Proj_Ziele">
    <vt:lpwstr/>
  </property>
  <property fmtid="{D5CDD505-2E9C-101B-9397-08002B2CF9AE}" pid="25" name="FSC#ARECFG@100.2000:Proj_Kurzbeschr">
    <vt:lpwstr/>
  </property>
  <property fmtid="{D5CDD505-2E9C-101B-9397-08002B2CF9AE}" pid="26" name="FSC#ARECFG@100.2000:Proj_Schwerpunkt">
    <vt:lpwstr/>
  </property>
  <property fmtid="{D5CDD505-2E9C-101B-9397-08002B2CF9AE}" pid="27" name="FSC#ARECFG@100.2000:Proj_Jahr_1">
    <vt:lpwstr>0</vt:lpwstr>
  </property>
  <property fmtid="{D5CDD505-2E9C-101B-9397-08002B2CF9AE}" pid="28" name="FSC#ARECFG@100.2000:Proj_Jahr_2">
    <vt:lpwstr>1</vt:lpwstr>
  </property>
  <property fmtid="{D5CDD505-2E9C-101B-9397-08002B2CF9AE}" pid="29" name="FSC#ARECFG@100.2000:Proj_Jahr_3">
    <vt:lpwstr>2</vt:lpwstr>
  </property>
  <property fmtid="{D5CDD505-2E9C-101B-9397-08002B2CF9AE}" pid="30" name="FSC#ARECFG@100.2000:Proj_Jahr_4">
    <vt:lpwstr>3</vt:lpwstr>
  </property>
  <property fmtid="{D5CDD505-2E9C-101B-9397-08002B2CF9AE}" pid="31" name="FSC#ARECFG@100.2000:Proj_Jahr_5">
    <vt:lpwstr>4</vt:lpwstr>
  </property>
  <property fmtid="{D5CDD505-2E9C-101B-9397-08002B2CF9AE}" pid="32" name="FSC#ARECFG@100.2000:Proj_Betrag_1">
    <vt:lpwstr/>
  </property>
  <property fmtid="{D5CDD505-2E9C-101B-9397-08002B2CF9AE}" pid="33" name="FSC#ARECFG@100.2000:Proj_Betrag_2">
    <vt:lpwstr/>
  </property>
  <property fmtid="{D5CDD505-2E9C-101B-9397-08002B2CF9AE}" pid="34" name="FSC#ARECFG@100.2000:Proj_Betrag_3">
    <vt:lpwstr/>
  </property>
  <property fmtid="{D5CDD505-2E9C-101B-9397-08002B2CF9AE}" pid="35" name="FSC#ARECFG@100.2000:Proj_Betrag_4">
    <vt:lpwstr/>
  </property>
  <property fmtid="{D5CDD505-2E9C-101B-9397-08002B2CF9AE}" pid="36" name="FSC#ARECFG@100.2000:Proj_Betrag_5">
    <vt:lpwstr/>
  </property>
  <property fmtid="{D5CDD505-2E9C-101B-9397-08002B2CF9AE}" pid="37" name="FSC#ARECFG@100.2000:Proj_Anteil_ARE">
    <vt:lpwstr/>
  </property>
  <property fmtid="{D5CDD505-2E9C-101B-9397-08002B2CF9AE}" pid="38" name="FSC#ARECFG@100.2000:Proj_Herkunft_Geld">
    <vt:lpwstr/>
  </property>
  <property fmtid="{D5CDD505-2E9C-101B-9397-08002B2CF9AE}" pid="39" name="FSC#ARECFG@100.2000:Proj_Kreditart">
    <vt:lpwstr/>
  </property>
  <property fmtid="{D5CDD505-2E9C-101B-9397-08002B2CF9AE}" pid="40" name="FSC#ARECFG@100.2000:Proj_Beschaffung">
    <vt:lpwstr/>
  </property>
  <property fmtid="{D5CDD505-2E9C-101B-9397-08002B2CF9AE}" pid="41" name="FSC#ARECFG@100.2000:Proj_Beschaffung_Bemerk">
    <vt:lpwstr/>
  </property>
  <property fmtid="{D5CDD505-2E9C-101B-9397-08002B2CF9AE}" pid="42" name="FSC#ARECFG@100.2000:Vert_Jahr_1">
    <vt:lpwstr>0</vt:lpwstr>
  </property>
  <property fmtid="{D5CDD505-2E9C-101B-9397-08002B2CF9AE}" pid="43" name="FSC#ARECFG@100.2000:Vert_Jahr_2">
    <vt:lpwstr>1</vt:lpwstr>
  </property>
  <property fmtid="{D5CDD505-2E9C-101B-9397-08002B2CF9AE}" pid="44" name="FSC#ARECFG@100.2000:Vert_Jahr_3">
    <vt:lpwstr>2</vt:lpwstr>
  </property>
  <property fmtid="{D5CDD505-2E9C-101B-9397-08002B2CF9AE}" pid="45" name="FSC#ARECFG@100.2000:Vert_Jahr_4">
    <vt:lpwstr>3</vt:lpwstr>
  </property>
  <property fmtid="{D5CDD505-2E9C-101B-9397-08002B2CF9AE}" pid="46" name="FSC#ARECFG@100.2000:Vert_Jahr_5">
    <vt:lpwstr>4</vt:lpwstr>
  </property>
  <property fmtid="{D5CDD505-2E9C-101B-9397-08002B2CF9AE}" pid="47" name="FSC#ARECFG@100.2000:Vert_Betrag_1">
    <vt:lpwstr/>
  </property>
  <property fmtid="{D5CDD505-2E9C-101B-9397-08002B2CF9AE}" pid="48" name="FSC#ARECFG@100.2000:Vert_Betrag_2">
    <vt:lpwstr/>
  </property>
  <property fmtid="{D5CDD505-2E9C-101B-9397-08002B2CF9AE}" pid="49" name="FSC#ARECFG@100.2000:Vert_Betrag_3">
    <vt:lpwstr/>
  </property>
  <property fmtid="{D5CDD505-2E9C-101B-9397-08002B2CF9AE}" pid="50" name="FSC#ARECFG@100.2000:Vert_Betrag_4">
    <vt:lpwstr/>
  </property>
  <property fmtid="{D5CDD505-2E9C-101B-9397-08002B2CF9AE}" pid="51" name="FSC#ARECFG@100.2000:Vert_Betrag_5">
    <vt:lpwstr/>
  </property>
  <property fmtid="{D5CDD505-2E9C-101B-9397-08002B2CF9AE}" pid="52" name="FSC#ARECFG@100.2000:Vert_Selbstaendig">
    <vt:lpwstr/>
  </property>
  <property fmtid="{D5CDD505-2E9C-101B-9397-08002B2CF9AE}" pid="53" name="FSC#ARECFG@100.2000:Vert_Total">
    <vt:lpwstr/>
  </property>
  <property fmtid="{D5CDD505-2E9C-101B-9397-08002B2CF9AE}" pid="54" name="FSC#ARECFG@100.2000:Proj_Genehmiger">
    <vt:lpwstr/>
  </property>
  <property fmtid="{D5CDD505-2E9C-101B-9397-08002B2CF9AE}" pid="55" name="FSC#ARECFG@100.2000:Vert_Genehmiger">
    <vt:lpwstr/>
  </property>
  <property fmtid="{D5CDD505-2E9C-101B-9397-08002B2CF9AE}" pid="56" name="FSC#UVEKCFG@15.1700:Function">
    <vt:lpwstr/>
  </property>
  <property fmtid="{D5CDD505-2E9C-101B-9397-08002B2CF9AE}" pid="57" name="FSC#UVEKCFG@15.1700:FileRespOrg">
    <vt:lpwstr>Planifications fédérales</vt:lpwstr>
  </property>
  <property fmtid="{D5CDD505-2E9C-101B-9397-08002B2CF9AE}" pid="58" name="FSC#UVEKCFG@15.1700:DefaultGroupFileResponsible">
    <vt:lpwstr/>
  </property>
  <property fmtid="{D5CDD505-2E9C-101B-9397-08002B2CF9AE}" pid="59" name="FSC#UVEKCFG@15.1700:FileRespFunction">
    <vt:lpwstr/>
  </property>
  <property fmtid="{D5CDD505-2E9C-101B-9397-08002B2CF9AE}" pid="60" name="FSC#UVEKCFG@15.1700:AssignedClassification">
    <vt:lpwstr/>
  </property>
  <property fmtid="{D5CDD505-2E9C-101B-9397-08002B2CF9AE}" pid="61" name="FSC#UVEKCFG@15.1700:AssignedClassificationCode">
    <vt:lpwstr/>
  </property>
  <property fmtid="{D5CDD505-2E9C-101B-9397-08002B2CF9AE}" pid="62" name="FSC#UVEKCFG@15.1700:FileResponsible">
    <vt:lpwstr/>
  </property>
  <property fmtid="{D5CDD505-2E9C-101B-9397-08002B2CF9AE}" pid="63" name="FSC#UVEKCFG@15.1700:FileResponsibleTel">
    <vt:lpwstr/>
  </property>
  <property fmtid="{D5CDD505-2E9C-101B-9397-08002B2CF9AE}" pid="64" name="FSC#UVEKCFG@15.1700:FileResponsibleEmail">
    <vt:lpwstr/>
  </property>
  <property fmtid="{D5CDD505-2E9C-101B-9397-08002B2CF9AE}" pid="65" name="FSC#UVEKCFG@15.1700:FileResponsibleFax">
    <vt:lpwstr/>
  </property>
  <property fmtid="{D5CDD505-2E9C-101B-9397-08002B2CF9AE}" pid="66" name="FSC#UVEKCFG@15.1700:FileResponsibleAddress">
    <vt:lpwstr/>
  </property>
  <property fmtid="{D5CDD505-2E9C-101B-9397-08002B2CF9AE}" pid="67" name="FSC#UVEKCFG@15.1700:FileResponsibleStreet">
    <vt:lpwstr/>
  </property>
  <property fmtid="{D5CDD505-2E9C-101B-9397-08002B2CF9AE}" pid="68" name="FSC#UVEKCFG@15.1700:FileResponsiblezipcode">
    <vt:lpwstr/>
  </property>
  <property fmtid="{D5CDD505-2E9C-101B-9397-08002B2CF9AE}" pid="69" name="FSC#UVEKCFG@15.1700:FileResponsiblecity">
    <vt:lpwstr/>
  </property>
  <property fmtid="{D5CDD505-2E9C-101B-9397-08002B2CF9AE}" pid="70" name="FSC#UVEKCFG@15.1700:FileResponsibleAbbreviation">
    <vt:lpwstr/>
  </property>
  <property fmtid="{D5CDD505-2E9C-101B-9397-08002B2CF9AE}" pid="71" name="FSC#UVEKCFG@15.1700:FileRespOrgHome">
    <vt:lpwstr>Worblentalstrasse 66, 3063 Ittigen</vt:lpwstr>
  </property>
  <property fmtid="{D5CDD505-2E9C-101B-9397-08002B2CF9AE}" pid="72" name="FSC#UVEKCFG@15.1700:CurrUserAbbreviation">
    <vt:lpwstr>CAM</vt:lpwstr>
  </property>
  <property fmtid="{D5CDD505-2E9C-101B-9397-08002B2CF9AE}" pid="73" name="FSC#UVEKCFG@15.1700:CategoryReference">
    <vt:lpwstr>341.3</vt:lpwstr>
  </property>
  <property fmtid="{D5CDD505-2E9C-101B-9397-08002B2CF9AE}" pid="74" name="FSC#UVEKCFG@15.1700:cooAddress">
    <vt:lpwstr>COO.2093.100.5.697156</vt:lpwstr>
  </property>
  <property fmtid="{D5CDD505-2E9C-101B-9397-08002B2CF9AE}" pid="75" name="FSC#UVEKCFG@15.1700:sleeveFileReference">
    <vt:lpwstr/>
  </property>
  <property fmtid="{D5CDD505-2E9C-101B-9397-08002B2CF9AE}" pid="76" name="FSC#UVEKCFG@15.1700:BureauName">
    <vt:lpwstr/>
  </property>
  <property fmtid="{D5CDD505-2E9C-101B-9397-08002B2CF9AE}" pid="77" name="FSC#UVEKCFG@15.1700:BureauShortName">
    <vt:lpwstr/>
  </property>
  <property fmtid="{D5CDD505-2E9C-101B-9397-08002B2CF9AE}" pid="78" name="FSC#UVEKCFG@15.1700:BureauWebsite">
    <vt:lpwstr/>
  </property>
  <property fmtid="{D5CDD505-2E9C-101B-9397-08002B2CF9AE}" pid="79" name="FSC#UVEKCFG@15.1700:SubFileTitle">
    <vt:lpwstr>Konzept Windenergie DE [27.06.2017]</vt:lpwstr>
  </property>
  <property fmtid="{D5CDD505-2E9C-101B-9397-08002B2CF9AE}" pid="80" name="FSC#UVEKCFG@15.1700:ForeignNumber">
    <vt:lpwstr/>
  </property>
  <property fmtid="{D5CDD505-2E9C-101B-9397-08002B2CF9AE}" pid="81" name="FSC#UVEKCFG@15.1700:Amtstitel">
    <vt:lpwstr/>
  </property>
  <property fmtid="{D5CDD505-2E9C-101B-9397-08002B2CF9AE}" pid="82" name="FSC#UVEKCFG@15.1700:ZusendungAm">
    <vt:lpwstr/>
  </property>
  <property fmtid="{D5CDD505-2E9C-101B-9397-08002B2CF9AE}" pid="83" name="FSC#UVEKCFG@15.1700:SignerLeft">
    <vt:lpwstr/>
  </property>
  <property fmtid="{D5CDD505-2E9C-101B-9397-08002B2CF9AE}" pid="84" name="FSC#UVEKCFG@15.1700:SignerRight">
    <vt:lpwstr/>
  </property>
  <property fmtid="{D5CDD505-2E9C-101B-9397-08002B2CF9AE}" pid="85" name="FSC#UVEKCFG@15.1700:SignerLeftJobTitle">
    <vt:lpwstr/>
  </property>
  <property fmtid="{D5CDD505-2E9C-101B-9397-08002B2CF9AE}" pid="86" name="FSC#UVEKCFG@15.1700:SignerRightJobTitle">
    <vt:lpwstr/>
  </property>
  <property fmtid="{D5CDD505-2E9C-101B-9397-08002B2CF9AE}" pid="87" name="FSC#UVEKCFG@15.1700:SignerLeftFunction">
    <vt:lpwstr/>
  </property>
  <property fmtid="{D5CDD505-2E9C-101B-9397-08002B2CF9AE}" pid="88" name="FSC#UVEKCFG@15.1700:SignerRightFunction">
    <vt:lpwstr/>
  </property>
  <property fmtid="{D5CDD505-2E9C-101B-9397-08002B2CF9AE}" pid="89" name="FSC#UVEKCFG@15.1700:SignerLeftUserRoleGroup">
    <vt:lpwstr/>
  </property>
  <property fmtid="{D5CDD505-2E9C-101B-9397-08002B2CF9AE}" pid="90" name="FSC#UVEKCFG@15.1700:SignerRightUserRoleGroup">
    <vt:lpwstr/>
  </property>
  <property fmtid="{D5CDD505-2E9C-101B-9397-08002B2CF9AE}" pid="91" name="FSC#COOELAK@1.1001:Subject">
    <vt:lpwstr/>
  </property>
  <property fmtid="{D5CDD505-2E9C-101B-9397-08002B2CF9AE}" pid="92" name="FSC#COOELAK@1.1001:FileReference">
    <vt:lpwstr>341.3-00004</vt:lpwstr>
  </property>
  <property fmtid="{D5CDD505-2E9C-101B-9397-08002B2CF9AE}" pid="93" name="FSC#COOELAK@1.1001:FileRefYear">
    <vt:lpwstr>2017</vt:lpwstr>
  </property>
  <property fmtid="{D5CDD505-2E9C-101B-9397-08002B2CF9AE}" pid="94" name="FSC#COOELAK@1.1001:FileRefOrdinal">
    <vt:lpwstr>4</vt:lpwstr>
  </property>
  <property fmtid="{D5CDD505-2E9C-101B-9397-08002B2CF9AE}" pid="95" name="FSC#COOELAK@1.1001:FileRefOU">
    <vt:lpwstr>BP</vt:lpwstr>
  </property>
  <property fmtid="{D5CDD505-2E9C-101B-9397-08002B2CF9AE}" pid="96" name="FSC#COOELAK@1.1001:Organization">
    <vt:lpwstr/>
  </property>
  <property fmtid="{D5CDD505-2E9C-101B-9397-08002B2CF9AE}" pid="97" name="FSC#COOELAK@1.1001:Owner">
    <vt:lpwstr>Cattaneo Mattia</vt:lpwstr>
  </property>
  <property fmtid="{D5CDD505-2E9C-101B-9397-08002B2CF9AE}" pid="98" name="FSC#COOELAK@1.1001:OwnerExtension">
    <vt:lpwstr>+41 58 462 89 25</vt:lpwstr>
  </property>
  <property fmtid="{D5CDD505-2E9C-101B-9397-08002B2CF9AE}" pid="99" name="FSC#COOELAK@1.1001:OwnerFaxExtension">
    <vt:lpwstr>+ 41 58 463 18 86</vt:lpwstr>
  </property>
  <property fmtid="{D5CDD505-2E9C-101B-9397-08002B2CF9AE}" pid="100" name="FSC#COOELAK@1.1001:DispatchedBy">
    <vt:lpwstr/>
  </property>
  <property fmtid="{D5CDD505-2E9C-101B-9397-08002B2CF9AE}" pid="101" name="FSC#COOELAK@1.1001:DispatchedAt">
    <vt:lpwstr/>
  </property>
  <property fmtid="{D5CDD505-2E9C-101B-9397-08002B2CF9AE}" pid="102" name="FSC#COOELAK@1.1001:ApprovedBy">
    <vt:lpwstr/>
  </property>
  <property fmtid="{D5CDD505-2E9C-101B-9397-08002B2CF9AE}" pid="103" name="FSC#COOELAK@1.1001:ApprovedAt">
    <vt:lpwstr/>
  </property>
  <property fmtid="{D5CDD505-2E9C-101B-9397-08002B2CF9AE}" pid="104" name="FSC#COOELAK@1.1001:Department">
    <vt:lpwstr>Planifications fédérales (ARE)</vt:lpwstr>
  </property>
  <property fmtid="{D5CDD505-2E9C-101B-9397-08002B2CF9AE}" pid="105" name="FSC#COOELAK@1.1001:CreatedAt">
    <vt:lpwstr>27.06.2017</vt:lpwstr>
  </property>
  <property fmtid="{D5CDD505-2E9C-101B-9397-08002B2CF9AE}" pid="106" name="FSC#COOELAK@1.1001:OU">
    <vt:lpwstr>Planifications fédérales (ARE)</vt:lpwstr>
  </property>
  <property fmtid="{D5CDD505-2E9C-101B-9397-08002B2CF9AE}" pid="107" name="FSC#COOELAK@1.1001:Priority">
    <vt:lpwstr> ()</vt:lpwstr>
  </property>
  <property fmtid="{D5CDD505-2E9C-101B-9397-08002B2CF9AE}" pid="108" name="FSC#COOELAK@1.1001:ObjBarCode">
    <vt:lpwstr>*COO.2093.100.5.697156*</vt:lpwstr>
  </property>
  <property fmtid="{D5CDD505-2E9C-101B-9397-08002B2CF9AE}" pid="109" name="FSC#COOELAK@1.1001:RefBarCode">
    <vt:lpwstr>*COO.2093.100.5.697158*</vt:lpwstr>
  </property>
  <property fmtid="{D5CDD505-2E9C-101B-9397-08002B2CF9AE}" pid="110" name="FSC#COOELAK@1.1001:FileRefBarCode">
    <vt:lpwstr>*341.3-00004*</vt:lpwstr>
  </property>
  <property fmtid="{D5CDD505-2E9C-101B-9397-08002B2CF9AE}" pid="111" name="FSC#COOELAK@1.1001:ExternalRef">
    <vt:lpwstr/>
  </property>
  <property fmtid="{D5CDD505-2E9C-101B-9397-08002B2CF9AE}" pid="112" name="FSC#COOELAK@1.1001:IncomingNumber">
    <vt:lpwstr/>
  </property>
  <property fmtid="{D5CDD505-2E9C-101B-9397-08002B2CF9AE}" pid="113" name="FSC#COOELAK@1.1001:IncomingSubject">
    <vt:lpwstr/>
  </property>
  <property fmtid="{D5CDD505-2E9C-101B-9397-08002B2CF9AE}" pid="114" name="FSC#COOELAK@1.1001:ProcessResponsible">
    <vt:lpwstr/>
  </property>
  <property fmtid="{D5CDD505-2E9C-101B-9397-08002B2CF9AE}" pid="115" name="FSC#COOELAK@1.1001:ProcessResponsiblePhone">
    <vt:lpwstr/>
  </property>
  <property fmtid="{D5CDD505-2E9C-101B-9397-08002B2CF9AE}" pid="116" name="FSC#COOELAK@1.1001:ProcessResponsibleMail">
    <vt:lpwstr/>
  </property>
  <property fmtid="{D5CDD505-2E9C-101B-9397-08002B2CF9AE}" pid="117" name="FSC#COOELAK@1.1001:ProcessResponsibleFax">
    <vt:lpwstr/>
  </property>
  <property fmtid="{D5CDD505-2E9C-101B-9397-08002B2CF9AE}" pid="118" name="FSC#COOELAK@1.1001:ApproverFirstName">
    <vt:lpwstr/>
  </property>
  <property fmtid="{D5CDD505-2E9C-101B-9397-08002B2CF9AE}" pid="119" name="FSC#COOELAK@1.1001:ApproverSurName">
    <vt:lpwstr/>
  </property>
  <property fmtid="{D5CDD505-2E9C-101B-9397-08002B2CF9AE}" pid="120" name="FSC#COOELAK@1.1001:ApproverTitle">
    <vt:lpwstr/>
  </property>
  <property fmtid="{D5CDD505-2E9C-101B-9397-08002B2CF9AE}" pid="121" name="FSC#COOELAK@1.1001:ExternalDate">
    <vt:lpwstr/>
  </property>
  <property fmtid="{D5CDD505-2E9C-101B-9397-08002B2CF9AE}" pid="122" name="FSC#COOELAK@1.1001:SettlementApprovedAt">
    <vt:lpwstr/>
  </property>
  <property fmtid="{D5CDD505-2E9C-101B-9397-08002B2CF9AE}" pid="123" name="FSC#COOELAK@1.1001:BaseNumber">
    <vt:lpwstr>341.3</vt:lpwstr>
  </property>
  <property fmtid="{D5CDD505-2E9C-101B-9397-08002B2CF9AE}" pid="124" name="FSC#COOELAK@1.1001:CurrentUserRolePos">
    <vt:lpwstr>Collaborateur, -trice spécialisé(e)</vt:lpwstr>
  </property>
  <property fmtid="{D5CDD505-2E9C-101B-9397-08002B2CF9AE}" pid="125" name="FSC#COOELAK@1.1001:CurrentUserEmail">
    <vt:lpwstr>mattia.cattaneo@are.admin.ch</vt:lpwstr>
  </property>
  <property fmtid="{D5CDD505-2E9C-101B-9397-08002B2CF9AE}" pid="126" name="FSC#ELAKGOV@1.1001:PersonalSubjGender">
    <vt:lpwstr/>
  </property>
  <property fmtid="{D5CDD505-2E9C-101B-9397-08002B2CF9AE}" pid="127" name="FSC#ELAKGOV@1.1001:PersonalSubjFirstName">
    <vt:lpwstr/>
  </property>
  <property fmtid="{D5CDD505-2E9C-101B-9397-08002B2CF9AE}" pid="128" name="FSC#ELAKGOV@1.1001:PersonalSubjSurName">
    <vt:lpwstr/>
  </property>
  <property fmtid="{D5CDD505-2E9C-101B-9397-08002B2CF9AE}" pid="129" name="FSC#ELAKGOV@1.1001:PersonalSubjSalutation">
    <vt:lpwstr/>
  </property>
  <property fmtid="{D5CDD505-2E9C-101B-9397-08002B2CF9AE}" pid="130" name="FSC#ELAKGOV@1.1001:PersonalSubjAddress">
    <vt:lpwstr/>
  </property>
  <property fmtid="{D5CDD505-2E9C-101B-9397-08002B2CF9AE}" pid="131" name="FSC#ATSTATECFG@1.1001:Office">
    <vt:lpwstr/>
  </property>
  <property fmtid="{D5CDD505-2E9C-101B-9397-08002B2CF9AE}" pid="132" name="FSC#ATSTATECFG@1.1001:Agent">
    <vt:lpwstr/>
  </property>
  <property fmtid="{D5CDD505-2E9C-101B-9397-08002B2CF9AE}" pid="133" name="FSC#ATSTATECFG@1.1001:AgentPhone">
    <vt:lpwstr/>
  </property>
  <property fmtid="{D5CDD505-2E9C-101B-9397-08002B2CF9AE}" pid="134" name="FSC#ATSTATECFG@1.1001:DepartmentFax">
    <vt:lpwstr>+ 41  58 463 18 86</vt:lpwstr>
  </property>
  <property fmtid="{D5CDD505-2E9C-101B-9397-08002B2CF9AE}" pid="135" name="FSC#ATSTATECFG@1.1001:DepartmentEmail">
    <vt:lpwstr>info@are.admin.ch</vt:lpwstr>
  </property>
  <property fmtid="{D5CDD505-2E9C-101B-9397-08002B2CF9AE}" pid="136" name="FSC#ATSTATECFG@1.1001:SubfileDate">
    <vt:lpwstr/>
  </property>
  <property fmtid="{D5CDD505-2E9C-101B-9397-08002B2CF9AE}" pid="137" name="FSC#ATSTATECFG@1.1001:SubfileSubject">
    <vt:lpwstr>Konzept Windenergie DE [27.06.2017]</vt:lpwstr>
  </property>
  <property fmtid="{D5CDD505-2E9C-101B-9397-08002B2CF9AE}" pid="138" name="FSC#ATSTATECFG@1.1001:DepartmentZipCode">
    <vt:lpwstr>3063</vt:lpwstr>
  </property>
  <property fmtid="{D5CDD505-2E9C-101B-9397-08002B2CF9AE}" pid="139" name="FSC#ATSTATECFG@1.1001:DepartmentCountry">
    <vt:lpwstr/>
  </property>
  <property fmtid="{D5CDD505-2E9C-101B-9397-08002B2CF9AE}" pid="140" name="FSC#ATSTATECFG@1.1001:DepartmentCity">
    <vt:lpwstr>Ittigen</vt:lpwstr>
  </property>
  <property fmtid="{D5CDD505-2E9C-101B-9397-08002B2CF9AE}" pid="141" name="FSC#ATSTATECFG@1.1001:DepartmentStreet">
    <vt:lpwstr>Worblentalstrasse 66</vt:lpwstr>
  </property>
  <property fmtid="{D5CDD505-2E9C-101B-9397-08002B2CF9AE}" pid="142" name="FSC#ATSTATECFG@1.1001:DepartmentDVR">
    <vt:lpwstr/>
  </property>
  <property fmtid="{D5CDD505-2E9C-101B-9397-08002B2CF9AE}" pid="143" name="FSC#ATSTATECFG@1.1001:DepartmentUID">
    <vt:lpwstr/>
  </property>
  <property fmtid="{D5CDD505-2E9C-101B-9397-08002B2CF9AE}" pid="144" name="FSC#ATSTATECFG@1.1001:SubfileReference">
    <vt:lpwstr>341.3-00004/00014/00001/00008</vt:lpwstr>
  </property>
  <property fmtid="{D5CDD505-2E9C-101B-9397-08002B2CF9AE}" pid="145" name="FSC#ATSTATECFG@1.1001:Clause">
    <vt:lpwstr/>
  </property>
  <property fmtid="{D5CDD505-2E9C-101B-9397-08002B2CF9AE}" pid="146" name="FSC#ATSTATECFG@1.1001:ApprovedSignature">
    <vt:lpwstr/>
  </property>
  <property fmtid="{D5CDD505-2E9C-101B-9397-08002B2CF9AE}" pid="147" name="FSC#ATSTATECFG@1.1001:BankAccount">
    <vt:lpwstr/>
  </property>
  <property fmtid="{D5CDD505-2E9C-101B-9397-08002B2CF9AE}" pid="148" name="FSC#ATSTATECFG@1.1001:BankAccountOwner">
    <vt:lpwstr/>
  </property>
  <property fmtid="{D5CDD505-2E9C-101B-9397-08002B2CF9AE}" pid="149" name="FSC#ATSTATECFG@1.1001:BankInstitute">
    <vt:lpwstr/>
  </property>
  <property fmtid="{D5CDD505-2E9C-101B-9397-08002B2CF9AE}" pid="150" name="FSC#ATSTATECFG@1.1001:BankAccountID">
    <vt:lpwstr/>
  </property>
  <property fmtid="{D5CDD505-2E9C-101B-9397-08002B2CF9AE}" pid="151" name="FSC#ATSTATECFG@1.1001:BankAccountIBAN">
    <vt:lpwstr/>
  </property>
  <property fmtid="{D5CDD505-2E9C-101B-9397-08002B2CF9AE}" pid="152" name="FSC#ATSTATECFG@1.1001:BankAccountBIC">
    <vt:lpwstr/>
  </property>
  <property fmtid="{D5CDD505-2E9C-101B-9397-08002B2CF9AE}" pid="153" name="FSC#ATSTATECFG@1.1001:BankName">
    <vt:lpwstr/>
  </property>
  <property fmtid="{D5CDD505-2E9C-101B-9397-08002B2CF9AE}" pid="154" name="FSC#COOSYSTEM@1.1:Container">
    <vt:lpwstr>COO.2093.100.5.697156</vt:lpwstr>
  </property>
  <property fmtid="{D5CDD505-2E9C-101B-9397-08002B2CF9AE}" pid="155" name="FSC#FSCFOLIO@1.1001:docpropproject">
    <vt:lpwstr/>
  </property>
  <property fmtid="{D5CDD505-2E9C-101B-9397-08002B2CF9AE}" pid="156" name="FSC$NOPARSEFILE">
    <vt:bool>false</vt:bool>
  </property>
  <property fmtid="{D5CDD505-2E9C-101B-9397-08002B2CF9AE}" pid="157" name="FSC#ARECFG@100.2000:Doc_SubDossier_Last">
    <vt:lpwstr>Word Dok.</vt:lpwstr>
  </property>
  <property fmtid="{D5CDD505-2E9C-101B-9397-08002B2CF9AE}" pid="158" name="FSC#ARECFG@100.2000:Doc_SubDossier_Location">
    <vt:lpwstr/>
  </property>
  <property fmtid="{D5CDD505-2E9C-101B-9397-08002B2CF9AE}" pid="159" name="FSC#ARECFG@100.2000:Doc_SubDossier_Path">
    <vt:lpwstr>Publikation KW - Dokumente DE</vt:lpwstr>
  </property>
  <property fmtid="{D5CDD505-2E9C-101B-9397-08002B2CF9AE}" pid="160" name="FSC#HonorarAnsatzPro">
    <vt:lpwstr/>
  </property>
  <property fmtid="{D5CDD505-2E9C-101B-9397-08002B2CF9AE}" pid="161" name="FSC#HonorarAnsatz">
    <vt:lpwstr/>
  </property>
  <property fmtid="{D5CDD505-2E9C-101B-9397-08002B2CF9AE}" pid="162" name="FSC#MWST">
    <vt:lpwstr/>
  </property>
  <property fmtid="{D5CDD505-2E9C-101B-9397-08002B2CF9AE}" pid="163" name="FSC#ARECFG@100.2000:Doc_Sprache">
    <vt:lpwstr>SUBLANG_FRENCH_UVEK</vt:lpwstr>
  </property>
  <property fmtid="{D5CDD505-2E9C-101B-9397-08002B2CF9AE}" pid="164" name="FSC#ARECFG@100.2000:Proj_Anteil_1">
    <vt:lpwstr/>
  </property>
  <property fmtid="{D5CDD505-2E9C-101B-9397-08002B2CF9AE}" pid="165" name="FSC#ARECFG@100.2000:Proj_Anteil_2">
    <vt:lpwstr/>
  </property>
  <property fmtid="{D5CDD505-2E9C-101B-9397-08002B2CF9AE}" pid="166" name="FSC#ARECFG@100.2000:Proj_Anteil_3">
    <vt:lpwstr/>
  </property>
  <property fmtid="{D5CDD505-2E9C-101B-9397-08002B2CF9AE}" pid="167" name="FSC#ARECFG@100.2000:Proj_Anteil_4">
    <vt:lpwstr/>
  </property>
  <property fmtid="{D5CDD505-2E9C-101B-9397-08002B2CF9AE}" pid="168" name="FSC#ARECFG@100.2000:Proj_Anteil_5">
    <vt:lpwstr/>
  </property>
  <property fmtid="{D5CDD505-2E9C-101B-9397-08002B2CF9AE}" pid="169" name="FSC#ARECFG@100.2000:Vert_Anteil_ARE_1">
    <vt:lpwstr/>
  </property>
  <property fmtid="{D5CDD505-2E9C-101B-9397-08002B2CF9AE}" pid="170" name="FSC#ARECFG@100.2000:Vert_Anteil_ARE_2">
    <vt:lpwstr/>
  </property>
  <property fmtid="{D5CDD505-2E9C-101B-9397-08002B2CF9AE}" pid="171" name="FSC#ARECFG@100.2000:Vert_Anteil_ARE_3">
    <vt:lpwstr/>
  </property>
  <property fmtid="{D5CDD505-2E9C-101B-9397-08002B2CF9AE}" pid="172" name="FSC#ARECFG@100.2000:Vert_Anteil_ARE_4">
    <vt:lpwstr/>
  </property>
  <property fmtid="{D5CDD505-2E9C-101B-9397-08002B2CF9AE}" pid="173" name="FSC#ARECFG@100.2000:Vert_Anteil_ARE_5">
    <vt:lpwstr/>
  </property>
  <property fmtid="{D5CDD505-2E9C-101B-9397-08002B2CF9AE}" pid="174" name="FSC#UVEKCFG@15.1700:DocumentNumber">
    <vt:lpwstr>2017-06-27-0046</vt:lpwstr>
  </property>
  <property fmtid="{D5CDD505-2E9C-101B-9397-08002B2CF9AE}" pid="175" name="FSC#UVEKCFG@15.1700:AssignmentNumber">
    <vt:lpwstr/>
  </property>
  <property fmtid="{D5CDD505-2E9C-101B-9397-08002B2CF9AE}" pid="176" name="FSC#UVEKCFG@15.1700:EM_Personal">
    <vt:lpwstr/>
  </property>
  <property fmtid="{D5CDD505-2E9C-101B-9397-08002B2CF9AE}" pid="177" name="FSC#UVEKCFG@15.1700:EM_Geschlecht">
    <vt:lpwstr/>
  </property>
  <property fmtid="{D5CDD505-2E9C-101B-9397-08002B2CF9AE}" pid="178" name="FSC#UVEKCFG@15.1700:EM_GebDatum">
    <vt:lpwstr/>
  </property>
  <property fmtid="{D5CDD505-2E9C-101B-9397-08002B2CF9AE}" pid="179" name="FSC#UVEKCFG@15.1700:EM_Funktion">
    <vt:lpwstr/>
  </property>
  <property fmtid="{D5CDD505-2E9C-101B-9397-08002B2CF9AE}" pid="180" name="FSC#UVEKCFG@15.1700:EM_Beruf">
    <vt:lpwstr/>
  </property>
  <property fmtid="{D5CDD505-2E9C-101B-9397-08002B2CF9AE}" pid="181" name="FSC#UVEKCFG@15.1700:EM_SVNR">
    <vt:lpwstr/>
  </property>
  <property fmtid="{D5CDD505-2E9C-101B-9397-08002B2CF9AE}" pid="182" name="FSC#UVEKCFG@15.1700:EM_Familienstand">
    <vt:lpwstr/>
  </property>
  <property fmtid="{D5CDD505-2E9C-101B-9397-08002B2CF9AE}" pid="183" name="FSC#UVEKCFG@15.1700:EM_Muttersprache">
    <vt:lpwstr/>
  </property>
  <property fmtid="{D5CDD505-2E9C-101B-9397-08002B2CF9AE}" pid="184" name="FSC#UVEKCFG@15.1700:EM_Geboren_in">
    <vt:lpwstr/>
  </property>
  <property fmtid="{D5CDD505-2E9C-101B-9397-08002B2CF9AE}" pid="185" name="FSC#UVEKCFG@15.1700:EM_Briefanrede">
    <vt:lpwstr/>
  </property>
  <property fmtid="{D5CDD505-2E9C-101B-9397-08002B2CF9AE}" pid="186" name="FSC#UVEKCFG@15.1700:EM_Kommunikationssprache">
    <vt:lpwstr/>
  </property>
  <property fmtid="{D5CDD505-2E9C-101B-9397-08002B2CF9AE}" pid="187" name="FSC#UVEKCFG@15.1700:EM_Webseite">
    <vt:lpwstr/>
  </property>
  <property fmtid="{D5CDD505-2E9C-101B-9397-08002B2CF9AE}" pid="188" name="FSC#UVEKCFG@15.1700:EM_TelNr_Business">
    <vt:lpwstr/>
  </property>
  <property fmtid="{D5CDD505-2E9C-101B-9397-08002B2CF9AE}" pid="189" name="FSC#UVEKCFG@15.1700:EM_TelNr_Private">
    <vt:lpwstr/>
  </property>
  <property fmtid="{D5CDD505-2E9C-101B-9397-08002B2CF9AE}" pid="190" name="FSC#UVEKCFG@15.1700:EM_TelNr_Mobile">
    <vt:lpwstr/>
  </property>
  <property fmtid="{D5CDD505-2E9C-101B-9397-08002B2CF9AE}" pid="191" name="FSC#UVEKCFG@15.1700:EM_TelNr_Other">
    <vt:lpwstr/>
  </property>
  <property fmtid="{D5CDD505-2E9C-101B-9397-08002B2CF9AE}" pid="192" name="FSC#UVEKCFG@15.1700:EM_EMail1">
    <vt:lpwstr/>
  </property>
  <property fmtid="{D5CDD505-2E9C-101B-9397-08002B2CF9AE}" pid="193" name="FSC#UVEKCFG@15.1700:EM_EMail2">
    <vt:lpwstr/>
  </property>
  <property fmtid="{D5CDD505-2E9C-101B-9397-08002B2CF9AE}" pid="194" name="FSC#UVEKCFG@15.1700:EM_EMail3">
    <vt:lpwstr/>
  </property>
  <property fmtid="{D5CDD505-2E9C-101B-9397-08002B2CF9AE}" pid="195" name="FSC#UVEKCFG@15.1700:EM_Name">
    <vt:lpwstr/>
  </property>
  <property fmtid="{D5CDD505-2E9C-101B-9397-08002B2CF9AE}" pid="196" name="FSC#UVEKCFG@15.1700:EM_UID">
    <vt:lpwstr/>
  </property>
  <property fmtid="{D5CDD505-2E9C-101B-9397-08002B2CF9AE}" pid="197" name="FSC#UVEKCFG@15.1700:EM_Rechtsform">
    <vt:lpwstr/>
  </property>
  <property fmtid="{D5CDD505-2E9C-101B-9397-08002B2CF9AE}" pid="198" name="FSC#UVEKCFG@15.1700:EM_Klassifizierung">
    <vt:lpwstr/>
  </property>
  <property fmtid="{D5CDD505-2E9C-101B-9397-08002B2CF9AE}" pid="199" name="FSC#UVEKCFG@15.1700:EM_Gruendungsjahr">
    <vt:lpwstr/>
  </property>
  <property fmtid="{D5CDD505-2E9C-101B-9397-08002B2CF9AE}" pid="200" name="FSC#UVEKCFG@15.1700:EM_Versandart">
    <vt:lpwstr>Posta B</vt:lpwstr>
  </property>
  <property fmtid="{D5CDD505-2E9C-101B-9397-08002B2CF9AE}" pid="201" name="FSC#UVEKCFG@15.1700:EM_Versandvermek">
    <vt:lpwstr/>
  </property>
  <property fmtid="{D5CDD505-2E9C-101B-9397-08002B2CF9AE}" pid="202" name="FSC#UVEKCFG@15.1700:EM_Anrede">
    <vt:lpwstr/>
  </property>
  <property fmtid="{D5CDD505-2E9C-101B-9397-08002B2CF9AE}" pid="203" name="FSC#UVEKCFG@15.1700:EM_Titel">
    <vt:lpwstr/>
  </property>
  <property fmtid="{D5CDD505-2E9C-101B-9397-08002B2CF9AE}" pid="204" name="FSC#UVEKCFG@15.1700:EM_Nachgestellter_Titel">
    <vt:lpwstr/>
  </property>
  <property fmtid="{D5CDD505-2E9C-101B-9397-08002B2CF9AE}" pid="205" name="FSC#UVEKCFG@15.1700:EM_Vorname">
    <vt:lpwstr/>
  </property>
  <property fmtid="{D5CDD505-2E9C-101B-9397-08002B2CF9AE}" pid="206" name="FSC#UVEKCFG@15.1700:EM_Nachname">
    <vt:lpwstr/>
  </property>
  <property fmtid="{D5CDD505-2E9C-101B-9397-08002B2CF9AE}" pid="207" name="FSC#UVEKCFG@15.1700:EM_Kurzbezeichnung">
    <vt:lpwstr/>
  </property>
  <property fmtid="{D5CDD505-2E9C-101B-9397-08002B2CF9AE}" pid="208" name="FSC#UVEKCFG@15.1700:EM_Organisations_Zeile_1">
    <vt:lpwstr/>
  </property>
  <property fmtid="{D5CDD505-2E9C-101B-9397-08002B2CF9AE}" pid="209" name="FSC#UVEKCFG@15.1700:EM_Organisations_Zeile_2">
    <vt:lpwstr/>
  </property>
  <property fmtid="{D5CDD505-2E9C-101B-9397-08002B2CF9AE}" pid="210" name="FSC#UVEKCFG@15.1700:EM_Organisations_Zeile_3">
    <vt:lpwstr/>
  </property>
  <property fmtid="{D5CDD505-2E9C-101B-9397-08002B2CF9AE}" pid="211" name="FSC#UVEKCFG@15.1700:EM_Strasse">
    <vt:lpwstr/>
  </property>
  <property fmtid="{D5CDD505-2E9C-101B-9397-08002B2CF9AE}" pid="212" name="FSC#UVEKCFG@15.1700:EM_Hausnummer">
    <vt:lpwstr/>
  </property>
  <property fmtid="{D5CDD505-2E9C-101B-9397-08002B2CF9AE}" pid="213" name="FSC#UVEKCFG@15.1700:EM_Strasse2">
    <vt:lpwstr/>
  </property>
  <property fmtid="{D5CDD505-2E9C-101B-9397-08002B2CF9AE}" pid="214" name="FSC#UVEKCFG@15.1700:EM_Hausnummer_Zusatz">
    <vt:lpwstr/>
  </property>
  <property fmtid="{D5CDD505-2E9C-101B-9397-08002B2CF9AE}" pid="215" name="FSC#UVEKCFG@15.1700:EM_Postfach">
    <vt:lpwstr/>
  </property>
  <property fmtid="{D5CDD505-2E9C-101B-9397-08002B2CF9AE}" pid="216" name="FSC#UVEKCFG@15.1700:EM_PLZ">
    <vt:lpwstr/>
  </property>
  <property fmtid="{D5CDD505-2E9C-101B-9397-08002B2CF9AE}" pid="217" name="FSC#UVEKCFG@15.1700:EM_Ort">
    <vt:lpwstr/>
  </property>
  <property fmtid="{D5CDD505-2E9C-101B-9397-08002B2CF9AE}" pid="218" name="FSC#UVEKCFG@15.1700:EM_Land">
    <vt:lpwstr/>
  </property>
  <property fmtid="{D5CDD505-2E9C-101B-9397-08002B2CF9AE}" pid="219" name="FSC#UVEKCFG@15.1700:EM_E_Mail_Adresse">
    <vt:lpwstr/>
  </property>
  <property fmtid="{D5CDD505-2E9C-101B-9397-08002B2CF9AE}" pid="220" name="FSC#UVEKCFG@15.1700:EM_Funktionsbezeichnung">
    <vt:lpwstr/>
  </property>
  <property fmtid="{D5CDD505-2E9C-101B-9397-08002B2CF9AE}" pid="221" name="FSC#UVEKCFG@15.1700:EM_Serienbrieffeld_1">
    <vt:lpwstr/>
  </property>
  <property fmtid="{D5CDD505-2E9C-101B-9397-08002B2CF9AE}" pid="222" name="FSC#UVEKCFG@15.1700:EM_Serienbrieffeld_2">
    <vt:lpwstr/>
  </property>
  <property fmtid="{D5CDD505-2E9C-101B-9397-08002B2CF9AE}" pid="223" name="FSC#UVEKCFG@15.1700:EM_Serienbrieffeld_3">
    <vt:lpwstr/>
  </property>
  <property fmtid="{D5CDD505-2E9C-101B-9397-08002B2CF9AE}" pid="224" name="FSC#UVEKCFG@15.1700:EM_Serienbrieffeld_4">
    <vt:lpwstr/>
  </property>
  <property fmtid="{D5CDD505-2E9C-101B-9397-08002B2CF9AE}" pid="225" name="FSC#UVEKCFG@15.1700:EM_Serienbrieffeld_5">
    <vt:lpwstr/>
  </property>
  <property fmtid="{D5CDD505-2E9C-101B-9397-08002B2CF9AE}" pid="226" name="FSC#UVEKCFG@15.1700:EM_Addresse_CH">
    <vt:lpwstr/>
  </property>
  <property fmtid="{D5CDD505-2E9C-101B-9397-08002B2CF9AE}" pid="227" name="FSC#UVEKCFG@15.1700:EM_Addresse_EU">
    <vt:lpwstr/>
  </property>
  <property fmtid="{D5CDD505-2E9C-101B-9397-08002B2CF9AE}" pid="228" name="FSC#UVEKCFG@15.1700:EM_Addresse_UK">
    <vt:lpwstr/>
  </property>
  <property fmtid="{D5CDD505-2E9C-101B-9397-08002B2CF9AE}" pid="229" name="FSC#UVEKCFG@15.1700:EM_Addresse_US">
    <vt:lpwstr/>
  </property>
  <property fmtid="{D5CDD505-2E9C-101B-9397-08002B2CF9AE}" pid="230" name="FSC#UVEKCFG@15.1700:EM_TelNr_Fax">
    <vt:lpwstr/>
  </property>
  <property fmtid="{D5CDD505-2E9C-101B-9397-08002B2CF9AE}" pid="231" name="FSC#UVEKCFG@15.1700:EM_Address">
    <vt:lpwstr/>
  </property>
  <property fmtid="{D5CDD505-2E9C-101B-9397-08002B2CF9AE}" pid="232" name="FSC#UVEKCFG@15.1700:Abs_Nachname">
    <vt:lpwstr/>
  </property>
  <property fmtid="{D5CDD505-2E9C-101B-9397-08002B2CF9AE}" pid="233" name="FSC#UVEKCFG@15.1700:Abs_Vorname">
    <vt:lpwstr/>
  </property>
  <property fmtid="{D5CDD505-2E9C-101B-9397-08002B2CF9AE}" pid="234" name="FSC#UVEKCFG@15.1700:Abs_Zeichen">
    <vt:lpwstr/>
  </property>
  <property fmtid="{D5CDD505-2E9C-101B-9397-08002B2CF9AE}" pid="235" name="FSC#UVEKCFG@15.1700:Anrede">
    <vt:lpwstr/>
  </property>
  <property fmtid="{D5CDD505-2E9C-101B-9397-08002B2CF9AE}" pid="236" name="FSC#UVEKCFG@15.1700:EM_Versandartspez">
    <vt:lpwstr/>
  </property>
  <property fmtid="{D5CDD505-2E9C-101B-9397-08002B2CF9AE}" pid="237" name="FSC#UVEKCFG@15.1700:Briefdatum">
    <vt:lpwstr>03.04.2018</vt:lpwstr>
  </property>
  <property fmtid="{D5CDD505-2E9C-101B-9397-08002B2CF9AE}" pid="238" name="FSC#UVEKCFG@15.1700:Empf_Zeichen">
    <vt:lpwstr/>
  </property>
  <property fmtid="{D5CDD505-2E9C-101B-9397-08002B2CF9AE}" pid="239" name="FSC#UVEKCFG@15.1700:FilialePLZ">
    <vt:lpwstr/>
  </property>
  <property fmtid="{D5CDD505-2E9C-101B-9397-08002B2CF9AE}" pid="240" name="FSC#UVEKCFG@15.1700:Gegenstand">
    <vt:lpwstr>Konzept Windenergie DE [27.06.2017]</vt:lpwstr>
  </property>
  <property fmtid="{D5CDD505-2E9C-101B-9397-08002B2CF9AE}" pid="241" name="FSC#UVEKCFG@15.1700:Nummer">
    <vt:lpwstr>2017-06-27-0046</vt:lpwstr>
  </property>
  <property fmtid="{D5CDD505-2E9C-101B-9397-08002B2CF9AE}" pid="242" name="FSC#UVEKCFG@15.1700:Unterschrift_Nachname">
    <vt:lpwstr/>
  </property>
  <property fmtid="{D5CDD505-2E9C-101B-9397-08002B2CF9AE}" pid="243" name="FSC#UVEKCFG@15.1700:Unterschrift_Vorname">
    <vt:lpwstr/>
  </property>
  <property fmtid="{D5CDD505-2E9C-101B-9397-08002B2CF9AE}" pid="244" name="ContentTypeId">
    <vt:lpwstr>0x0101005F9612DF438B5A47B14598812F0FBE46</vt:lpwstr>
  </property>
</Properties>
</file>