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948615" w14:textId="4A2D99E8" w:rsidR="00572D0C" w:rsidRPr="00572D0C" w:rsidRDefault="00572D0C">
      <w:pPr>
        <w:pStyle w:val="Titel"/>
        <w:rPr>
          <w:rFonts w:eastAsiaTheme="minorEastAsia"/>
          <w:lang w:val="fr-CH" w:eastAsia="en-US"/>
        </w:rPr>
      </w:pPr>
      <w:bookmarkStart w:id="0" w:name="_Toc531192983"/>
      <w:bookmarkStart w:id="1" w:name="_Toc518456815"/>
      <w:bookmarkStart w:id="2" w:name="_Toc519518524"/>
      <w:bookmarkStart w:id="3" w:name="_Toc523813313"/>
      <w:bookmarkStart w:id="4" w:name="_Toc525022613"/>
      <w:bookmarkStart w:id="5" w:name="_Toc526946702"/>
      <w:bookmarkStart w:id="6" w:name="_Toc359397546"/>
      <w:bookmarkStart w:id="7" w:name="_Toc532996273"/>
      <w:r w:rsidRPr="00572D0C">
        <w:rPr>
          <w:rFonts w:eastAsiaTheme="minorEastAsia"/>
          <w:lang w:val="fr-CH" w:eastAsia="en-US"/>
        </w:rPr>
        <w:t>Plan sectoriel des surfaces d’assolement</w:t>
      </w:r>
      <w:bookmarkEnd w:id="0"/>
      <w:bookmarkEnd w:id="7"/>
    </w:p>
    <w:p w14:paraId="2F59E294" w14:textId="514B29DF" w:rsidR="003C6D24" w:rsidRPr="00572D0C" w:rsidRDefault="00572D0C">
      <w:pPr>
        <w:pStyle w:val="Titel"/>
        <w:rPr>
          <w:rFonts w:eastAsiaTheme="minorEastAsia"/>
          <w:lang w:val="fr-CH" w:eastAsia="en-US"/>
        </w:rPr>
      </w:pPr>
      <w:bookmarkStart w:id="8" w:name="_Toc531192984"/>
      <w:bookmarkStart w:id="9" w:name="_Toc532996274"/>
      <w:r w:rsidRPr="00572D0C">
        <w:rPr>
          <w:rFonts w:eastAsiaTheme="minorEastAsia"/>
          <w:lang w:val="fr-CH" w:eastAsia="en-US"/>
        </w:rPr>
        <w:t xml:space="preserve">Rapport </w:t>
      </w:r>
      <w:bookmarkEnd w:id="1"/>
      <w:bookmarkEnd w:id="2"/>
      <w:bookmarkEnd w:id="3"/>
      <w:bookmarkEnd w:id="4"/>
      <w:bookmarkEnd w:id="5"/>
      <w:r w:rsidRPr="00572D0C">
        <w:rPr>
          <w:rFonts w:eastAsiaTheme="minorEastAsia"/>
          <w:lang w:val="fr-CH" w:eastAsia="en-US"/>
        </w:rPr>
        <w:t>explicatif</w:t>
      </w:r>
      <w:bookmarkEnd w:id="8"/>
      <w:bookmarkEnd w:id="9"/>
    </w:p>
    <w:p w14:paraId="2C6950B5" w14:textId="433C2065" w:rsidR="004A527C" w:rsidRDefault="004A527C" w:rsidP="004A527C">
      <w:pPr>
        <w:spacing w:after="160" w:line="259" w:lineRule="auto"/>
        <w:rPr>
          <w:rFonts w:eastAsiaTheme="minorEastAsia" w:cs="Arial"/>
          <w:color w:val="808080" w:themeColor="background1" w:themeShade="80"/>
          <w:lang w:val="fr-CH" w:eastAsia="en-US"/>
        </w:rPr>
      </w:pPr>
      <w:r w:rsidRPr="00572D0C">
        <w:rPr>
          <w:rFonts w:eastAsiaTheme="minorEastAsia" w:cs="Arial"/>
          <w:color w:val="808080" w:themeColor="background1" w:themeShade="80"/>
          <w:lang w:val="fr-CH" w:eastAsia="en-US"/>
        </w:rPr>
        <w:t>(</w:t>
      </w:r>
      <w:r w:rsidR="00572D0C" w:rsidRPr="00572D0C">
        <w:rPr>
          <w:rFonts w:eastAsiaTheme="minorEastAsia" w:cs="Arial"/>
          <w:color w:val="808080" w:themeColor="background1" w:themeShade="80"/>
          <w:lang w:val="fr-CH" w:eastAsia="en-US"/>
        </w:rPr>
        <w:t>Projet pour la consultation</w:t>
      </w:r>
      <w:r w:rsidRPr="00572D0C">
        <w:rPr>
          <w:rFonts w:eastAsiaTheme="minorEastAsia" w:cs="Arial"/>
          <w:color w:val="808080" w:themeColor="background1" w:themeShade="80"/>
          <w:lang w:val="fr-CH" w:eastAsia="en-US"/>
        </w:rPr>
        <w:t xml:space="preserve">, </w:t>
      </w:r>
      <w:r w:rsidR="00D06A6A">
        <w:rPr>
          <w:rFonts w:eastAsiaTheme="minorEastAsia" w:cs="Arial"/>
          <w:color w:val="808080" w:themeColor="background1" w:themeShade="80"/>
          <w:lang w:val="fr-CH" w:eastAsia="en-US"/>
        </w:rPr>
        <w:t>décembre</w:t>
      </w:r>
      <w:r w:rsidR="00D06A6A" w:rsidRPr="00572D0C">
        <w:rPr>
          <w:rFonts w:eastAsiaTheme="minorEastAsia" w:cs="Arial"/>
          <w:color w:val="808080" w:themeColor="background1" w:themeShade="80"/>
          <w:lang w:val="fr-CH" w:eastAsia="en-US"/>
        </w:rPr>
        <w:t xml:space="preserve"> </w:t>
      </w:r>
      <w:r w:rsidRPr="00572D0C">
        <w:rPr>
          <w:rFonts w:eastAsiaTheme="minorEastAsia" w:cs="Arial"/>
          <w:color w:val="808080" w:themeColor="background1" w:themeShade="80"/>
          <w:lang w:val="fr-CH" w:eastAsia="en-US"/>
        </w:rPr>
        <w:t>2018)</w:t>
      </w:r>
    </w:p>
    <w:p w14:paraId="74B38A2C" w14:textId="3BBF2C91" w:rsidR="000B10A7" w:rsidRDefault="000B10A7" w:rsidP="004A527C">
      <w:pPr>
        <w:spacing w:after="160" w:line="259" w:lineRule="auto"/>
        <w:rPr>
          <w:rFonts w:eastAsiaTheme="minorEastAsia" w:cs="Arial"/>
          <w:color w:val="808080" w:themeColor="background1" w:themeShade="80"/>
          <w:lang w:val="fr-CH" w:eastAsia="en-US"/>
        </w:rPr>
      </w:pPr>
    </w:p>
    <w:p w14:paraId="301D9CBB" w14:textId="62657C5A" w:rsidR="000B10A7" w:rsidRPr="000B10A7" w:rsidRDefault="000B10A7" w:rsidP="000B10A7">
      <w:pPr>
        <w:rPr>
          <w:rFonts w:eastAsiaTheme="minorEastAsia"/>
          <w:sz w:val="24"/>
          <w:lang w:val="fr-CH" w:eastAsia="en-US"/>
        </w:rPr>
      </w:pPr>
    </w:p>
    <w:p w14:paraId="30B5F203" w14:textId="6A6067C7" w:rsidR="008D3375" w:rsidRDefault="000B10A7" w:rsidP="004A527C">
      <w:pPr>
        <w:spacing w:after="160" w:line="259" w:lineRule="auto"/>
        <w:rPr>
          <w:rFonts w:eastAsiaTheme="minorEastAsia" w:cs="Arial"/>
          <w:color w:val="808080" w:themeColor="background1" w:themeShade="80"/>
          <w:lang w:val="fr-CH" w:eastAsia="en-US"/>
        </w:rPr>
      </w:pPr>
      <w:r w:rsidRPr="000B10A7">
        <w:rPr>
          <w:rFonts w:eastAsiaTheme="minorEastAsia"/>
          <w:noProof/>
          <w:sz w:val="24"/>
        </w:rPr>
        <mc:AlternateContent>
          <mc:Choice Requires="wps">
            <w:drawing>
              <wp:anchor distT="45720" distB="45720" distL="114300" distR="114300" simplePos="0" relativeHeight="251660288" behindDoc="0" locked="0" layoutInCell="1" allowOverlap="1" wp14:anchorId="27B414E1" wp14:editId="45F72ED7">
                <wp:simplePos x="0" y="0"/>
                <wp:positionH relativeFrom="margin">
                  <wp:align>center</wp:align>
                </wp:positionH>
                <wp:positionV relativeFrom="margin">
                  <wp:align>center</wp:align>
                </wp:positionV>
                <wp:extent cx="2360930" cy="1404620"/>
                <wp:effectExtent l="0" t="0" r="19050" b="1016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bg1">
                            <a:lumMod val="75000"/>
                          </a:schemeClr>
                        </a:solidFill>
                        <a:ln w="9525">
                          <a:solidFill>
                            <a:srgbClr val="000000"/>
                          </a:solidFill>
                          <a:miter lim="800000"/>
                          <a:headEnd/>
                          <a:tailEnd/>
                        </a:ln>
                      </wps:spPr>
                      <wps:txbx>
                        <w:txbxContent>
                          <w:p w14:paraId="2FBA0B3D" w14:textId="56D1AC40" w:rsidR="00DA731C" w:rsidRPr="000B10A7" w:rsidRDefault="00DA731C" w:rsidP="000B10A7">
                            <w:pPr>
                              <w:spacing w:after="0" w:line="240" w:lineRule="auto"/>
                              <w:jc w:val="center"/>
                              <w:rPr>
                                <w:b/>
                                <w:sz w:val="24"/>
                              </w:rPr>
                            </w:pPr>
                            <w:r w:rsidRPr="000B10A7">
                              <w:rPr>
                                <w:b/>
                                <w:sz w:val="24"/>
                              </w:rPr>
                              <w:t>Traduction de travail</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7B414E1" id="_x0000_t202" coordsize="21600,21600" o:spt="202" path="m,l,21600r21600,l21600,xe">
                <v:stroke joinstyle="miter"/>
                <v:path gradientshapeok="t" o:connecttype="rect"/>
              </v:shapetype>
              <v:shape id="Textfeld 2" o:spid="_x0000_s1026" type="#_x0000_t202" style="position:absolute;margin-left:0;margin-top:0;width:185.9pt;height:110.6pt;z-index:251660288;visibility:visible;mso-wrap-style:square;mso-width-percent:400;mso-height-percent:200;mso-wrap-distance-left:9pt;mso-wrap-distance-top:3.6pt;mso-wrap-distance-right:9pt;mso-wrap-distance-bottom:3.6pt;mso-position-horizontal:center;mso-position-horizontal-relative:margin;mso-position-vertical:center;mso-position-vertical-relative:margin;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" fillcolor="#bfbfbf [2412]">
                <v:textbox style="mso-fit-shape-to-text:t">
                  <w:txbxContent>
                    <w:p w14:paraId="2FBA0B3D" w14:textId="56D1AC40" w:rsidR="00DA731C" w:rsidRPr="000B10A7" w:rsidRDefault="00DA731C" w:rsidP="000B10A7">
                      <w:pPr>
                        <w:spacing w:after="0" w:line="240" w:lineRule="auto"/>
                        <w:jc w:val="center"/>
                        <w:rPr>
                          <w:b/>
                          <w:sz w:val="24"/>
                        </w:rPr>
                      </w:pPr>
                      <w:r w:rsidRPr="000B10A7">
                        <w:rPr>
                          <w:b/>
                          <w:sz w:val="24"/>
                        </w:rPr>
                        <w:t>Traduction de travail</w:t>
                      </w:r>
                    </w:p>
                  </w:txbxContent>
                </v:textbox>
                <w10:wrap type="square" anchorx="margin" anchory="margin"/>
              </v:shape>
            </w:pict>
          </mc:Fallback>
        </mc:AlternateContent>
      </w:r>
    </w:p>
    <w:p w14:paraId="669279C5" w14:textId="77909083" w:rsidR="008D3375" w:rsidRPr="00572D0C" w:rsidRDefault="008D3375" w:rsidP="004A527C">
      <w:pPr>
        <w:spacing w:after="160" w:line="259" w:lineRule="auto"/>
        <w:rPr>
          <w:rFonts w:eastAsiaTheme="minorEastAsia" w:cs="Arial"/>
          <w:color w:val="808080" w:themeColor="background1" w:themeShade="80"/>
          <w:lang w:val="fr-CH" w:eastAsia="en-US"/>
        </w:rPr>
      </w:pPr>
    </w:p>
    <w:p w14:paraId="1773587E" w14:textId="6D895F1F" w:rsidR="003C6D24" w:rsidRPr="00572D0C" w:rsidRDefault="003C6D24" w:rsidP="003C6D24">
      <w:pPr>
        <w:rPr>
          <w:rFonts w:eastAsiaTheme="minorHAnsi" w:cs="Arial"/>
          <w:kern w:val="28"/>
          <w:sz w:val="42"/>
          <w:szCs w:val="32"/>
          <w:lang w:val="fr-CH" w:eastAsia="en-US"/>
        </w:rPr>
      </w:pPr>
      <w:r w:rsidRPr="00572D0C">
        <w:rPr>
          <w:rFonts w:eastAsiaTheme="minorHAnsi"/>
          <w:lang w:val="fr-CH" w:eastAsia="en-US"/>
        </w:rPr>
        <w:br w:type="page"/>
      </w:r>
    </w:p>
    <w:p w14:paraId="59B1E666" w14:textId="7CC33EAF" w:rsidR="006D3F32" w:rsidRPr="00572D0C" w:rsidRDefault="00EE720E">
      <w:pPr>
        <w:autoSpaceDE w:val="0"/>
        <w:autoSpaceDN w:val="0"/>
        <w:adjustRightInd w:val="0"/>
        <w:jc w:val="both"/>
        <w:rPr>
          <w:rFonts w:eastAsiaTheme="minorEastAsia" w:cs="Arial"/>
          <w:color w:val="808080" w:themeColor="background1" w:themeShade="80"/>
          <w:lang w:val="fr-CH" w:eastAsia="en-US"/>
        </w:rPr>
      </w:pPr>
      <w:r>
        <w:rPr>
          <w:rFonts w:eastAsiaTheme="minorEastAsia" w:cs="Arial"/>
          <w:color w:val="808080" w:themeColor="background1" w:themeShade="80"/>
          <w:lang w:val="fr-CH" w:eastAsia="en-US"/>
        </w:rPr>
        <w:lastRenderedPageBreak/>
        <w:t>L</w:t>
      </w:r>
      <w:r w:rsidRPr="00EE720E">
        <w:rPr>
          <w:rFonts w:eastAsiaTheme="minorEastAsia" w:cs="Arial"/>
          <w:color w:val="808080" w:themeColor="background1" w:themeShade="80"/>
          <w:lang w:val="fr-CH" w:eastAsia="en-US"/>
        </w:rPr>
        <w:t>es conceptions et plans sectoriels au sens de l’art. 13 de la loi sur l’aménagement du territoire du 22 juin 1979 (LAT ; RS 700) constituent les principaux instruments d’aménagement dont dispose la Confédération. Ils lui permettent non seulement de satisfaire à l’exigence légale de planification et de coordination de ses activités à incidence spatiale, mais également de mieux répondre aux problèmes de plus en plus complexes qui se posent dans le cadre de la réalisation des tâches fédérales ayant des effets sur l’organisation du territoire. Dans le cadre de ses conceptions et plans sectoriels, la Confédération montre comment elle prévoit d’accomplir ses tâches dans un domaine sectoriel ou thématique et précise notamment les objectifs qu’elle poursuit ainsi que les conditions ou exigences qu’elle entend respecter. Elaborés sur la base d’un partenariat entre les autorités fédérales et cantonales, ces instruments contribuent à une meilleure harmonisation des efforts des autorités de tous niveaux en matière d’aménagement du territoire.</w:t>
      </w:r>
    </w:p>
    <w:p w14:paraId="00FC5B83" w14:textId="6DA21EAF" w:rsidR="00DD472C" w:rsidRPr="00F0226F" w:rsidRDefault="00D14110" w:rsidP="00DD472C">
      <w:pPr>
        <w:autoSpaceDE w:val="0"/>
        <w:autoSpaceDN w:val="0"/>
        <w:adjustRightInd w:val="0"/>
        <w:jc w:val="both"/>
        <w:rPr>
          <w:rFonts w:eastAsiaTheme="minorEastAsia" w:cs="Arial"/>
          <w:i/>
          <w:iCs/>
          <w:color w:val="000000" w:themeColor="text1"/>
          <w:lang w:val="fr-CH" w:eastAsia="en-US"/>
        </w:rPr>
      </w:pPr>
      <w:r>
        <w:rPr>
          <w:rFonts w:eastAsiaTheme="minorEastAsia" w:cs="Arial"/>
          <w:i/>
          <w:iCs/>
          <w:color w:val="808080" w:themeColor="background1" w:themeShade="80"/>
          <w:lang w:val="fr-CH" w:eastAsia="en-US"/>
        </w:rPr>
        <w:t>À</w:t>
      </w:r>
      <w:r w:rsidR="00D06A6A">
        <w:rPr>
          <w:rFonts w:eastAsiaTheme="minorEastAsia" w:cs="Arial"/>
          <w:i/>
          <w:iCs/>
          <w:color w:val="808080" w:themeColor="background1" w:themeShade="80"/>
          <w:lang w:val="fr-CH" w:eastAsia="en-US"/>
        </w:rPr>
        <w:t xml:space="preserve"> la différence des autres plans sectoriels de la Confédération, le</w:t>
      </w:r>
      <w:r w:rsidR="00DD472C">
        <w:rPr>
          <w:rFonts w:eastAsiaTheme="minorEastAsia" w:cs="Arial"/>
          <w:i/>
          <w:iCs/>
          <w:color w:val="808080" w:themeColor="background1" w:themeShade="80"/>
          <w:lang w:val="fr-CH" w:eastAsia="en-US"/>
        </w:rPr>
        <w:t xml:space="preserve"> </w:t>
      </w:r>
      <w:r w:rsidR="005A3CAA">
        <w:rPr>
          <w:rFonts w:eastAsiaTheme="minorEastAsia" w:cs="Arial"/>
          <w:i/>
          <w:iCs/>
          <w:color w:val="808080" w:themeColor="background1" w:themeShade="80"/>
          <w:lang w:val="fr-CH" w:eastAsia="en-US"/>
        </w:rPr>
        <w:t>P</w:t>
      </w:r>
      <w:r w:rsidR="00DD472C">
        <w:rPr>
          <w:rFonts w:eastAsiaTheme="minorEastAsia" w:cs="Arial"/>
          <w:i/>
          <w:iCs/>
          <w:color w:val="808080" w:themeColor="background1" w:themeShade="80"/>
          <w:lang w:val="fr-CH" w:eastAsia="en-US"/>
        </w:rPr>
        <w:t>lan sectoriel des surfaces d’assolement</w:t>
      </w:r>
      <w:r w:rsidR="00DD472C" w:rsidRPr="00F0226F">
        <w:rPr>
          <w:rFonts w:eastAsiaTheme="minorEastAsia" w:cs="Arial"/>
          <w:i/>
          <w:iCs/>
          <w:color w:val="808080" w:themeColor="background1" w:themeShade="80"/>
          <w:lang w:val="fr-CH" w:eastAsia="en-US"/>
        </w:rPr>
        <w:t xml:space="preserve"> (</w:t>
      </w:r>
      <w:r w:rsidR="00DD472C">
        <w:rPr>
          <w:rFonts w:eastAsiaTheme="minorEastAsia" w:cs="Arial"/>
          <w:i/>
          <w:iCs/>
          <w:color w:val="808080" w:themeColor="background1" w:themeShade="80"/>
          <w:lang w:val="fr-CH" w:eastAsia="en-US"/>
        </w:rPr>
        <w:t>SDA</w:t>
      </w:r>
      <w:r w:rsidR="00DD472C" w:rsidRPr="00F0226F">
        <w:rPr>
          <w:rFonts w:eastAsiaTheme="minorEastAsia" w:cs="Arial"/>
          <w:i/>
          <w:iCs/>
          <w:color w:val="808080" w:themeColor="background1" w:themeShade="80"/>
          <w:lang w:val="fr-CH" w:eastAsia="en-US"/>
        </w:rPr>
        <w:t xml:space="preserve">) </w:t>
      </w:r>
      <w:r w:rsidR="00DD472C">
        <w:rPr>
          <w:rFonts w:eastAsiaTheme="minorEastAsia" w:cs="Arial"/>
          <w:i/>
          <w:iCs/>
          <w:color w:val="808080" w:themeColor="background1" w:themeShade="80"/>
          <w:lang w:val="fr-CH" w:eastAsia="en-US"/>
        </w:rPr>
        <w:t xml:space="preserve">au sens des </w:t>
      </w:r>
      <w:r w:rsidR="00C824DA">
        <w:rPr>
          <w:rFonts w:eastAsiaTheme="minorEastAsia" w:cs="Arial"/>
          <w:i/>
          <w:iCs/>
          <w:color w:val="808080" w:themeColor="background1" w:themeShade="80"/>
          <w:lang w:val="fr-CH" w:eastAsia="en-US"/>
        </w:rPr>
        <w:t xml:space="preserve">art. </w:t>
      </w:r>
      <w:r w:rsidR="00DD472C">
        <w:rPr>
          <w:rFonts w:eastAsiaTheme="minorEastAsia" w:cs="Arial"/>
          <w:i/>
          <w:iCs/>
          <w:color w:val="808080" w:themeColor="background1" w:themeShade="80"/>
          <w:lang w:val="fr-CH" w:eastAsia="en-US"/>
        </w:rPr>
        <w:t>26</w:t>
      </w:r>
      <w:r w:rsidR="00EE720E">
        <w:rPr>
          <w:rFonts w:eastAsiaTheme="minorEastAsia" w:cs="Arial"/>
          <w:i/>
          <w:iCs/>
          <w:color w:val="808080" w:themeColor="background1" w:themeShade="80"/>
          <w:lang w:val="fr-CH" w:eastAsia="en-US"/>
        </w:rPr>
        <w:t xml:space="preserve">et </w:t>
      </w:r>
      <w:r w:rsidR="00C824DA">
        <w:rPr>
          <w:rFonts w:eastAsiaTheme="minorEastAsia" w:cs="Arial"/>
          <w:i/>
          <w:iCs/>
          <w:color w:val="808080" w:themeColor="background1" w:themeShade="80"/>
          <w:lang w:val="fr-CH" w:eastAsia="en-US"/>
        </w:rPr>
        <w:t>ss</w:t>
      </w:r>
      <w:r w:rsidR="00DD472C">
        <w:rPr>
          <w:rFonts w:eastAsiaTheme="minorEastAsia" w:cs="Arial"/>
          <w:i/>
          <w:iCs/>
          <w:color w:val="808080" w:themeColor="background1" w:themeShade="80"/>
          <w:lang w:val="fr-CH" w:eastAsia="en-US"/>
        </w:rPr>
        <w:t xml:space="preserve"> de l’ordonnance du 28 juin 2000 sur l’aménagement du territoire</w:t>
      </w:r>
      <w:r w:rsidR="00DD472C" w:rsidRPr="00F0226F">
        <w:rPr>
          <w:rFonts w:eastAsiaTheme="minorEastAsia" w:cs="Arial"/>
          <w:i/>
          <w:iCs/>
          <w:color w:val="808080" w:themeColor="background1" w:themeShade="80"/>
          <w:lang w:val="fr-CH" w:eastAsia="en-US"/>
        </w:rPr>
        <w:t xml:space="preserve"> (</w:t>
      </w:r>
      <w:r w:rsidR="00DD472C">
        <w:rPr>
          <w:rFonts w:eastAsiaTheme="minorEastAsia" w:cs="Arial"/>
          <w:i/>
          <w:iCs/>
          <w:color w:val="808080" w:themeColor="background1" w:themeShade="80"/>
          <w:lang w:val="fr-CH" w:eastAsia="en-US"/>
        </w:rPr>
        <w:t xml:space="preserve">OAT </w:t>
      </w:r>
      <w:r w:rsidR="00DD472C" w:rsidRPr="00F0226F">
        <w:rPr>
          <w:rFonts w:eastAsiaTheme="minorEastAsia" w:cs="Arial"/>
          <w:i/>
          <w:iCs/>
          <w:color w:val="808080" w:themeColor="background1" w:themeShade="80"/>
          <w:lang w:val="fr-CH" w:eastAsia="en-US"/>
        </w:rPr>
        <w:t xml:space="preserve">; </w:t>
      </w:r>
      <w:r w:rsidR="00DD472C">
        <w:rPr>
          <w:rFonts w:eastAsiaTheme="minorEastAsia" w:cs="Arial"/>
          <w:i/>
          <w:iCs/>
          <w:color w:val="808080" w:themeColor="background1" w:themeShade="80"/>
          <w:lang w:val="fr-CH" w:eastAsia="en-US"/>
        </w:rPr>
        <w:t>RS</w:t>
      </w:r>
      <w:r w:rsidR="00DD472C" w:rsidRPr="00F0226F">
        <w:rPr>
          <w:rFonts w:eastAsiaTheme="minorEastAsia" w:cs="Arial"/>
          <w:i/>
          <w:iCs/>
          <w:color w:val="808080" w:themeColor="background1" w:themeShade="80"/>
          <w:lang w:val="fr-CH" w:eastAsia="en-US"/>
        </w:rPr>
        <w:t xml:space="preserve"> 700.1) </w:t>
      </w:r>
      <w:r w:rsidR="00DD472C">
        <w:rPr>
          <w:rFonts w:eastAsiaTheme="minorEastAsia" w:cs="Arial"/>
          <w:i/>
          <w:iCs/>
          <w:color w:val="808080" w:themeColor="background1" w:themeShade="80"/>
          <w:lang w:val="fr-CH" w:eastAsia="en-US"/>
        </w:rPr>
        <w:t xml:space="preserve">ne </w:t>
      </w:r>
      <w:r w:rsidR="00EE720E">
        <w:rPr>
          <w:rFonts w:eastAsiaTheme="minorEastAsia" w:cs="Arial"/>
          <w:i/>
          <w:iCs/>
          <w:color w:val="808080" w:themeColor="background1" w:themeShade="80"/>
          <w:lang w:val="fr-CH" w:eastAsia="en-US"/>
        </w:rPr>
        <w:t xml:space="preserve">planifie </w:t>
      </w:r>
      <w:r w:rsidR="00DD472C">
        <w:rPr>
          <w:rFonts w:eastAsiaTheme="minorEastAsia" w:cs="Arial"/>
          <w:i/>
          <w:iCs/>
          <w:color w:val="808080" w:themeColor="background1" w:themeShade="80"/>
          <w:lang w:val="fr-CH" w:eastAsia="en-US"/>
        </w:rPr>
        <w:t xml:space="preserve">pas de projets, mais détermine la surface totale minimale d’assolement et sa répartition entre les cantons. Il définit également les mesures d’aménagement à prendre pour </w:t>
      </w:r>
      <w:r w:rsidR="00D06A6A">
        <w:rPr>
          <w:rFonts w:eastAsiaTheme="minorEastAsia" w:cs="Arial"/>
          <w:i/>
          <w:iCs/>
          <w:color w:val="808080" w:themeColor="background1" w:themeShade="80"/>
          <w:lang w:val="fr-CH" w:eastAsia="en-US"/>
        </w:rPr>
        <w:t>garantir les SDA</w:t>
      </w:r>
      <w:r w:rsidR="00DD472C" w:rsidRPr="00F0226F">
        <w:rPr>
          <w:rFonts w:eastAsiaTheme="minorEastAsia" w:cs="Arial"/>
          <w:i/>
          <w:iCs/>
          <w:color w:val="808080" w:themeColor="background1" w:themeShade="80"/>
          <w:lang w:val="fr-CH" w:eastAsia="en-US"/>
        </w:rPr>
        <w:t>.</w:t>
      </w:r>
    </w:p>
    <w:p w14:paraId="18E0C9EC" w14:textId="368E0256" w:rsidR="006D3F32" w:rsidRPr="00572D0C" w:rsidRDefault="006D3F32">
      <w:pPr>
        <w:autoSpaceDE w:val="0"/>
        <w:autoSpaceDN w:val="0"/>
        <w:adjustRightInd w:val="0"/>
        <w:jc w:val="both"/>
        <w:rPr>
          <w:rFonts w:eastAsiaTheme="minorEastAsia" w:cs="Arial"/>
          <w:i/>
          <w:color w:val="808080" w:themeColor="background1" w:themeShade="80"/>
          <w:lang w:val="fr-CH" w:eastAsia="en-US"/>
        </w:rPr>
      </w:pPr>
    </w:p>
    <w:p w14:paraId="4E4C406F" w14:textId="45FE1B4D" w:rsidR="00D726BD" w:rsidRPr="00572D0C" w:rsidRDefault="00D726BD" w:rsidP="00355364">
      <w:pPr>
        <w:autoSpaceDE w:val="0"/>
        <w:autoSpaceDN w:val="0"/>
        <w:adjustRightInd w:val="0"/>
        <w:spacing w:line="240" w:lineRule="auto"/>
        <w:rPr>
          <w:lang w:val="fr-CH"/>
        </w:rPr>
      </w:pPr>
    </w:p>
    <w:p w14:paraId="406A42C6" w14:textId="77777777" w:rsidR="00C2065D" w:rsidRPr="00572D0C" w:rsidRDefault="00C2065D" w:rsidP="00355364">
      <w:pPr>
        <w:autoSpaceDE w:val="0"/>
        <w:autoSpaceDN w:val="0"/>
        <w:adjustRightInd w:val="0"/>
        <w:spacing w:line="240" w:lineRule="auto"/>
        <w:rPr>
          <w:lang w:val="fr-CH"/>
        </w:rPr>
      </w:pPr>
    </w:p>
    <w:p w14:paraId="5E50D470" w14:textId="77777777" w:rsidR="00D726BD" w:rsidRPr="00572D0C" w:rsidRDefault="00D726BD" w:rsidP="00355364">
      <w:pPr>
        <w:autoSpaceDE w:val="0"/>
        <w:autoSpaceDN w:val="0"/>
        <w:adjustRightInd w:val="0"/>
        <w:spacing w:line="240" w:lineRule="auto"/>
        <w:rPr>
          <w:lang w:val="fr-CH"/>
        </w:rPr>
      </w:pPr>
    </w:p>
    <w:p w14:paraId="5DF2BF07" w14:textId="77777777" w:rsidR="00D726BD" w:rsidRPr="00572D0C" w:rsidRDefault="00D726BD" w:rsidP="00355364">
      <w:pPr>
        <w:autoSpaceDE w:val="0"/>
        <w:autoSpaceDN w:val="0"/>
        <w:adjustRightInd w:val="0"/>
        <w:spacing w:line="240" w:lineRule="auto"/>
        <w:rPr>
          <w:lang w:val="fr-CH"/>
        </w:rPr>
      </w:pPr>
    </w:p>
    <w:p w14:paraId="4497506D" w14:textId="77777777" w:rsidR="00D726BD" w:rsidRPr="00572D0C" w:rsidRDefault="00D726BD" w:rsidP="00355364">
      <w:pPr>
        <w:autoSpaceDE w:val="0"/>
        <w:autoSpaceDN w:val="0"/>
        <w:adjustRightInd w:val="0"/>
        <w:spacing w:line="240" w:lineRule="auto"/>
        <w:rPr>
          <w:lang w:val="fr-CH"/>
        </w:rPr>
      </w:pPr>
    </w:p>
    <w:p w14:paraId="7BF53A1D" w14:textId="77777777" w:rsidR="00D726BD" w:rsidRPr="00572D0C" w:rsidRDefault="00D726BD" w:rsidP="00355364">
      <w:pPr>
        <w:autoSpaceDE w:val="0"/>
        <w:autoSpaceDN w:val="0"/>
        <w:adjustRightInd w:val="0"/>
        <w:spacing w:line="240" w:lineRule="auto"/>
        <w:rPr>
          <w:lang w:val="fr-CH"/>
        </w:rPr>
      </w:pPr>
    </w:p>
    <w:p w14:paraId="09C3668C" w14:textId="77777777" w:rsidR="00D726BD" w:rsidRPr="00572D0C" w:rsidRDefault="00D726BD" w:rsidP="00355364">
      <w:pPr>
        <w:autoSpaceDE w:val="0"/>
        <w:autoSpaceDN w:val="0"/>
        <w:adjustRightInd w:val="0"/>
        <w:spacing w:line="240" w:lineRule="auto"/>
        <w:rPr>
          <w:lang w:val="fr-CH"/>
        </w:rPr>
      </w:pPr>
    </w:p>
    <w:p w14:paraId="2841ADA7" w14:textId="77777777" w:rsidR="00D726BD" w:rsidRPr="00572D0C" w:rsidRDefault="00D726BD" w:rsidP="00355364">
      <w:pPr>
        <w:autoSpaceDE w:val="0"/>
        <w:autoSpaceDN w:val="0"/>
        <w:adjustRightInd w:val="0"/>
        <w:spacing w:line="240" w:lineRule="auto"/>
        <w:rPr>
          <w:lang w:val="fr-CH"/>
        </w:rPr>
      </w:pPr>
    </w:p>
    <w:p w14:paraId="7AAF9A42" w14:textId="77777777" w:rsidR="00D726BD" w:rsidRPr="00572D0C" w:rsidRDefault="00D726BD" w:rsidP="00355364">
      <w:pPr>
        <w:autoSpaceDE w:val="0"/>
        <w:autoSpaceDN w:val="0"/>
        <w:adjustRightInd w:val="0"/>
        <w:spacing w:line="240" w:lineRule="auto"/>
        <w:rPr>
          <w:lang w:val="fr-CH"/>
        </w:rPr>
      </w:pPr>
    </w:p>
    <w:p w14:paraId="3DBDD7D4" w14:textId="77777777" w:rsidR="00D726BD" w:rsidRPr="00572D0C" w:rsidRDefault="00D726BD" w:rsidP="00355364">
      <w:pPr>
        <w:autoSpaceDE w:val="0"/>
        <w:autoSpaceDN w:val="0"/>
        <w:adjustRightInd w:val="0"/>
        <w:spacing w:line="240" w:lineRule="auto"/>
        <w:rPr>
          <w:lang w:val="fr-CH"/>
        </w:rPr>
      </w:pPr>
    </w:p>
    <w:p w14:paraId="370DB19D" w14:textId="77777777" w:rsidR="00D726BD" w:rsidRPr="00572D0C" w:rsidRDefault="00D726BD" w:rsidP="00355364">
      <w:pPr>
        <w:autoSpaceDE w:val="0"/>
        <w:autoSpaceDN w:val="0"/>
        <w:adjustRightInd w:val="0"/>
        <w:spacing w:line="240" w:lineRule="auto"/>
        <w:rPr>
          <w:lang w:val="fr-CH"/>
        </w:rPr>
      </w:pPr>
    </w:p>
    <w:p w14:paraId="2363A675" w14:textId="77777777" w:rsidR="00D726BD" w:rsidRPr="00572D0C" w:rsidRDefault="00D726BD" w:rsidP="00355364">
      <w:pPr>
        <w:autoSpaceDE w:val="0"/>
        <w:autoSpaceDN w:val="0"/>
        <w:adjustRightInd w:val="0"/>
        <w:spacing w:line="240" w:lineRule="auto"/>
        <w:rPr>
          <w:lang w:val="fr-CH"/>
        </w:rPr>
      </w:pPr>
    </w:p>
    <w:p w14:paraId="40F5A8DA" w14:textId="77777777" w:rsidR="00D726BD" w:rsidRPr="00572D0C" w:rsidRDefault="00D726BD" w:rsidP="00355364">
      <w:pPr>
        <w:autoSpaceDE w:val="0"/>
        <w:autoSpaceDN w:val="0"/>
        <w:adjustRightInd w:val="0"/>
        <w:spacing w:line="240" w:lineRule="auto"/>
        <w:rPr>
          <w:lang w:val="fr-CH"/>
        </w:rPr>
      </w:pPr>
    </w:p>
    <w:p w14:paraId="2B5B7E93" w14:textId="77777777" w:rsidR="00D726BD" w:rsidRPr="00572D0C" w:rsidRDefault="00D726BD" w:rsidP="00355364">
      <w:pPr>
        <w:autoSpaceDE w:val="0"/>
        <w:autoSpaceDN w:val="0"/>
        <w:adjustRightInd w:val="0"/>
        <w:spacing w:line="240" w:lineRule="auto"/>
        <w:rPr>
          <w:lang w:val="fr-CH"/>
        </w:rPr>
      </w:pPr>
    </w:p>
    <w:p w14:paraId="32B5D02E" w14:textId="77777777" w:rsidR="00D726BD" w:rsidRPr="00572D0C" w:rsidRDefault="00D726BD" w:rsidP="00355364">
      <w:pPr>
        <w:autoSpaceDE w:val="0"/>
        <w:autoSpaceDN w:val="0"/>
        <w:adjustRightInd w:val="0"/>
        <w:spacing w:line="240" w:lineRule="auto"/>
        <w:rPr>
          <w:lang w:val="fr-CH"/>
        </w:rPr>
      </w:pPr>
    </w:p>
    <w:p w14:paraId="04004231" w14:textId="77777777" w:rsidR="00D726BD" w:rsidRPr="00572D0C" w:rsidRDefault="00D726BD" w:rsidP="00355364">
      <w:pPr>
        <w:autoSpaceDE w:val="0"/>
        <w:autoSpaceDN w:val="0"/>
        <w:adjustRightInd w:val="0"/>
        <w:spacing w:line="240" w:lineRule="auto"/>
        <w:rPr>
          <w:lang w:val="fr-CH"/>
        </w:rPr>
      </w:pPr>
    </w:p>
    <w:p w14:paraId="77C2F595" w14:textId="77777777" w:rsidR="00F50688" w:rsidRPr="00572D0C" w:rsidRDefault="00F50688" w:rsidP="00355364">
      <w:pPr>
        <w:autoSpaceDE w:val="0"/>
        <w:autoSpaceDN w:val="0"/>
        <w:adjustRightInd w:val="0"/>
        <w:spacing w:line="240" w:lineRule="auto"/>
        <w:rPr>
          <w:lang w:val="fr-CH"/>
        </w:rPr>
      </w:pPr>
    </w:p>
    <w:p w14:paraId="429EC1E1" w14:textId="77777777" w:rsidR="00FA33BB" w:rsidRPr="00572D0C" w:rsidRDefault="00FA33BB" w:rsidP="00355364">
      <w:pPr>
        <w:autoSpaceDE w:val="0"/>
        <w:autoSpaceDN w:val="0"/>
        <w:adjustRightInd w:val="0"/>
        <w:spacing w:line="240" w:lineRule="auto"/>
        <w:rPr>
          <w:lang w:val="fr-CH"/>
        </w:rPr>
      </w:pPr>
    </w:p>
    <w:p w14:paraId="5F80B83E" w14:textId="77777777" w:rsidR="00FA33BB" w:rsidRPr="00572D0C" w:rsidRDefault="00FA33BB" w:rsidP="00355364">
      <w:pPr>
        <w:autoSpaceDE w:val="0"/>
        <w:autoSpaceDN w:val="0"/>
        <w:adjustRightInd w:val="0"/>
        <w:spacing w:line="240" w:lineRule="auto"/>
        <w:rPr>
          <w:lang w:val="fr-CH"/>
        </w:rPr>
      </w:pPr>
    </w:p>
    <w:p w14:paraId="682904C1" w14:textId="77777777" w:rsidR="00FA33BB" w:rsidRPr="00572D0C" w:rsidRDefault="00FA33BB" w:rsidP="00355364">
      <w:pPr>
        <w:autoSpaceDE w:val="0"/>
        <w:autoSpaceDN w:val="0"/>
        <w:adjustRightInd w:val="0"/>
        <w:spacing w:line="240" w:lineRule="auto"/>
        <w:rPr>
          <w:lang w:val="fr-CH"/>
        </w:rPr>
      </w:pPr>
    </w:p>
    <w:p w14:paraId="08A83EFA" w14:textId="77777777" w:rsidR="00FA33BB" w:rsidRPr="00572D0C" w:rsidRDefault="00FA33BB" w:rsidP="00355364">
      <w:pPr>
        <w:autoSpaceDE w:val="0"/>
        <w:autoSpaceDN w:val="0"/>
        <w:adjustRightInd w:val="0"/>
        <w:spacing w:line="240" w:lineRule="auto"/>
        <w:rPr>
          <w:lang w:val="fr-CH"/>
        </w:rPr>
      </w:pPr>
    </w:p>
    <w:p w14:paraId="3984AEA6" w14:textId="77777777" w:rsidR="00FA33BB" w:rsidRPr="00572D0C" w:rsidRDefault="00FA33BB" w:rsidP="00355364">
      <w:pPr>
        <w:autoSpaceDE w:val="0"/>
        <w:autoSpaceDN w:val="0"/>
        <w:adjustRightInd w:val="0"/>
        <w:spacing w:line="240" w:lineRule="auto"/>
        <w:rPr>
          <w:lang w:val="fr-CH"/>
        </w:rPr>
      </w:pPr>
    </w:p>
    <w:p w14:paraId="322CE821" w14:textId="77777777" w:rsidR="00FA33BB" w:rsidRPr="00572D0C" w:rsidRDefault="00FA33BB" w:rsidP="00355364">
      <w:pPr>
        <w:autoSpaceDE w:val="0"/>
        <w:autoSpaceDN w:val="0"/>
        <w:adjustRightInd w:val="0"/>
        <w:spacing w:line="240" w:lineRule="auto"/>
        <w:rPr>
          <w:lang w:val="fr-CH"/>
        </w:rPr>
      </w:pPr>
    </w:p>
    <w:p w14:paraId="0D545FC0" w14:textId="77777777" w:rsidR="00F50688" w:rsidRPr="00572D0C" w:rsidRDefault="00F50688" w:rsidP="00355364">
      <w:pPr>
        <w:autoSpaceDE w:val="0"/>
        <w:autoSpaceDN w:val="0"/>
        <w:adjustRightInd w:val="0"/>
        <w:spacing w:line="240" w:lineRule="auto"/>
        <w:rPr>
          <w:lang w:val="fr-CH"/>
        </w:rPr>
      </w:pPr>
    </w:p>
    <w:p w14:paraId="78E9FDB9" w14:textId="77777777" w:rsidR="00F50688" w:rsidRPr="00572D0C" w:rsidRDefault="00F50688" w:rsidP="00355364">
      <w:pPr>
        <w:autoSpaceDE w:val="0"/>
        <w:autoSpaceDN w:val="0"/>
        <w:adjustRightInd w:val="0"/>
        <w:spacing w:line="240" w:lineRule="auto"/>
        <w:rPr>
          <w:lang w:val="fr-CH"/>
        </w:rPr>
      </w:pPr>
    </w:p>
    <w:p w14:paraId="43B78C28" w14:textId="77777777" w:rsidR="00F50688" w:rsidRPr="00572D0C" w:rsidRDefault="00F50688" w:rsidP="00355364">
      <w:pPr>
        <w:autoSpaceDE w:val="0"/>
        <w:autoSpaceDN w:val="0"/>
        <w:adjustRightInd w:val="0"/>
        <w:spacing w:line="240" w:lineRule="auto"/>
        <w:rPr>
          <w:lang w:val="fr-CH"/>
        </w:rPr>
      </w:pPr>
    </w:p>
    <w:p w14:paraId="7388AE60" w14:textId="77777777" w:rsidR="00F50688" w:rsidRPr="00572D0C" w:rsidRDefault="00F50688" w:rsidP="00355364">
      <w:pPr>
        <w:autoSpaceDE w:val="0"/>
        <w:autoSpaceDN w:val="0"/>
        <w:adjustRightInd w:val="0"/>
        <w:spacing w:line="240" w:lineRule="auto"/>
        <w:rPr>
          <w:lang w:val="fr-CH"/>
        </w:rPr>
      </w:pPr>
    </w:p>
    <w:p w14:paraId="48229732" w14:textId="77777777" w:rsidR="00A65A9C" w:rsidRDefault="00A65A9C" w:rsidP="00370BB9">
      <w:pPr>
        <w:autoSpaceDE w:val="0"/>
        <w:autoSpaceDN w:val="0"/>
        <w:adjustRightInd w:val="0"/>
        <w:spacing w:line="240" w:lineRule="auto"/>
        <w:rPr>
          <w:rFonts w:eastAsiaTheme="minorEastAsia" w:cs="Arial"/>
          <w:b/>
          <w:bCs/>
          <w:sz w:val="16"/>
          <w:szCs w:val="16"/>
          <w:u w:val="single"/>
          <w:lang w:val="fr-CH"/>
        </w:rPr>
      </w:pPr>
    </w:p>
    <w:p w14:paraId="74F47602" w14:textId="662C2F61" w:rsidR="0042183A" w:rsidRPr="00572D0C" w:rsidRDefault="00DD472C" w:rsidP="00370BB9">
      <w:pPr>
        <w:autoSpaceDE w:val="0"/>
        <w:autoSpaceDN w:val="0"/>
        <w:adjustRightInd w:val="0"/>
        <w:spacing w:line="240" w:lineRule="auto"/>
        <w:rPr>
          <w:rFonts w:eastAsiaTheme="minorEastAsia" w:cs="Arial"/>
          <w:b/>
          <w:sz w:val="16"/>
          <w:szCs w:val="16"/>
          <w:u w:val="single"/>
          <w:lang w:val="fr-CH"/>
        </w:rPr>
      </w:pPr>
      <w:bookmarkStart w:id="10" w:name="_GoBack"/>
      <w:bookmarkEnd w:id="10"/>
      <w:r>
        <w:rPr>
          <w:rFonts w:eastAsiaTheme="minorEastAsia" w:cs="Arial"/>
          <w:b/>
          <w:bCs/>
          <w:sz w:val="16"/>
          <w:szCs w:val="16"/>
          <w:u w:val="single"/>
          <w:lang w:val="fr-CH"/>
        </w:rPr>
        <w:lastRenderedPageBreak/>
        <w:t>Éditeu</w:t>
      </w:r>
      <w:r w:rsidR="147A5F7B" w:rsidRPr="00572D0C">
        <w:rPr>
          <w:rFonts w:eastAsiaTheme="minorEastAsia" w:cs="Arial"/>
          <w:b/>
          <w:bCs/>
          <w:sz w:val="16"/>
          <w:szCs w:val="16"/>
          <w:u w:val="single"/>
          <w:lang w:val="fr-CH"/>
        </w:rPr>
        <w:t>r</w:t>
      </w:r>
    </w:p>
    <w:p w14:paraId="61601413" w14:textId="25097BE2" w:rsidR="0042183A" w:rsidRPr="00572D0C" w:rsidRDefault="00DD472C" w:rsidP="00370BB9">
      <w:pPr>
        <w:autoSpaceDE w:val="0"/>
        <w:autoSpaceDN w:val="0"/>
        <w:adjustRightInd w:val="0"/>
        <w:spacing w:line="240" w:lineRule="auto"/>
        <w:rPr>
          <w:rFonts w:eastAsiaTheme="minorEastAsia" w:cs="Arial"/>
          <w:sz w:val="16"/>
          <w:szCs w:val="16"/>
          <w:lang w:val="fr-CH"/>
        </w:rPr>
      </w:pPr>
      <w:r>
        <w:rPr>
          <w:rFonts w:eastAsiaTheme="minorEastAsia" w:cs="Arial"/>
          <w:sz w:val="16"/>
          <w:szCs w:val="16"/>
          <w:lang w:val="fr-CH"/>
        </w:rPr>
        <w:t>Office fédéral du développement territorial</w:t>
      </w:r>
      <w:r w:rsidR="147A5F7B" w:rsidRPr="00572D0C">
        <w:rPr>
          <w:rFonts w:eastAsiaTheme="minorEastAsia" w:cs="Arial"/>
          <w:sz w:val="16"/>
          <w:szCs w:val="16"/>
          <w:lang w:val="fr-CH"/>
        </w:rPr>
        <w:t xml:space="preserve"> (ARE)</w:t>
      </w:r>
    </w:p>
    <w:p w14:paraId="3DEF05BA" w14:textId="77777777" w:rsidR="0042183A" w:rsidRPr="00572D0C" w:rsidRDefault="0042183A" w:rsidP="0042183A">
      <w:pPr>
        <w:autoSpaceDE w:val="0"/>
        <w:autoSpaceDN w:val="0"/>
        <w:adjustRightInd w:val="0"/>
        <w:spacing w:line="240" w:lineRule="auto"/>
        <w:rPr>
          <w:rFonts w:eastAsiaTheme="minorHAnsi" w:cs="Arial"/>
          <w:sz w:val="16"/>
          <w:szCs w:val="14"/>
          <w:lang w:val="fr-CH"/>
        </w:rPr>
      </w:pPr>
    </w:p>
    <w:p w14:paraId="15BB8ED5" w14:textId="327BA17C" w:rsidR="0042183A" w:rsidRPr="00572D0C" w:rsidRDefault="004206F1" w:rsidP="00370BB9">
      <w:pPr>
        <w:autoSpaceDE w:val="0"/>
        <w:autoSpaceDN w:val="0"/>
        <w:adjustRightInd w:val="0"/>
        <w:spacing w:line="240" w:lineRule="auto"/>
        <w:rPr>
          <w:rFonts w:eastAsiaTheme="minorEastAsia" w:cs="Arial"/>
          <w:b/>
          <w:sz w:val="16"/>
          <w:szCs w:val="16"/>
          <w:u w:val="single"/>
          <w:lang w:val="fr-CH"/>
        </w:rPr>
      </w:pPr>
      <w:r>
        <w:rPr>
          <w:rFonts w:eastAsiaTheme="minorEastAsia" w:cs="Arial"/>
          <w:b/>
          <w:bCs/>
          <w:sz w:val="16"/>
          <w:szCs w:val="16"/>
          <w:u w:val="single"/>
          <w:lang w:val="fr-CH"/>
        </w:rPr>
        <w:t xml:space="preserve">Services </w:t>
      </w:r>
      <w:r w:rsidR="00DD472C">
        <w:rPr>
          <w:rFonts w:eastAsiaTheme="minorEastAsia" w:cs="Arial"/>
          <w:b/>
          <w:bCs/>
          <w:sz w:val="16"/>
          <w:szCs w:val="16"/>
          <w:u w:val="single"/>
          <w:lang w:val="fr-CH"/>
        </w:rPr>
        <w:t xml:space="preserve">fédéraux ayant participé à l’élaboration du </w:t>
      </w:r>
      <w:r w:rsidR="00DD472C" w:rsidRPr="004206F1">
        <w:rPr>
          <w:rFonts w:eastAsiaTheme="minorEastAsia" w:cs="Arial"/>
          <w:b/>
          <w:bCs/>
          <w:sz w:val="16"/>
          <w:szCs w:val="16"/>
          <w:u w:val="single"/>
          <w:lang w:val="fr-CH"/>
        </w:rPr>
        <w:t>projet</w:t>
      </w:r>
    </w:p>
    <w:p w14:paraId="5763482F" w14:textId="58A7DF30" w:rsidR="0042183A" w:rsidRPr="00572D0C" w:rsidRDefault="00DD472C" w:rsidP="00370BB9">
      <w:pPr>
        <w:autoSpaceDE w:val="0"/>
        <w:autoSpaceDN w:val="0"/>
        <w:adjustRightInd w:val="0"/>
        <w:spacing w:line="240" w:lineRule="auto"/>
        <w:rPr>
          <w:rFonts w:eastAsiaTheme="minorEastAsia" w:cs="Arial"/>
          <w:sz w:val="16"/>
          <w:szCs w:val="16"/>
          <w:lang w:val="fr-CH"/>
        </w:rPr>
      </w:pPr>
      <w:r>
        <w:rPr>
          <w:rFonts w:eastAsiaTheme="minorEastAsia" w:cs="Arial"/>
          <w:sz w:val="16"/>
          <w:szCs w:val="16"/>
          <w:lang w:val="fr-CH"/>
        </w:rPr>
        <w:t>Office fédéral de l’agricul</w:t>
      </w:r>
      <w:r w:rsidR="147A5F7B" w:rsidRPr="00572D0C">
        <w:rPr>
          <w:rFonts w:eastAsiaTheme="minorEastAsia" w:cs="Arial"/>
          <w:sz w:val="16"/>
          <w:szCs w:val="16"/>
          <w:lang w:val="fr-CH"/>
        </w:rPr>
        <w:t>t</w:t>
      </w:r>
      <w:r>
        <w:rPr>
          <w:rFonts w:eastAsiaTheme="minorEastAsia" w:cs="Arial"/>
          <w:sz w:val="16"/>
          <w:szCs w:val="16"/>
          <w:lang w:val="fr-CH"/>
        </w:rPr>
        <w:t>ure</w:t>
      </w:r>
      <w:r w:rsidR="147A5F7B" w:rsidRPr="00572D0C">
        <w:rPr>
          <w:rFonts w:eastAsiaTheme="minorEastAsia" w:cs="Arial"/>
          <w:sz w:val="16"/>
          <w:szCs w:val="16"/>
          <w:lang w:val="fr-CH"/>
        </w:rPr>
        <w:t xml:space="preserve"> (</w:t>
      </w:r>
      <w:r>
        <w:rPr>
          <w:rFonts w:eastAsiaTheme="minorEastAsia" w:cs="Arial"/>
          <w:sz w:val="16"/>
          <w:szCs w:val="16"/>
          <w:lang w:val="fr-CH"/>
        </w:rPr>
        <w:t>OFAG</w:t>
      </w:r>
      <w:r w:rsidR="00D14110">
        <w:rPr>
          <w:rFonts w:eastAsiaTheme="minorEastAsia" w:cs="Arial"/>
          <w:sz w:val="16"/>
          <w:szCs w:val="16"/>
          <w:lang w:val="fr-CH"/>
        </w:rPr>
        <w:t>)</w:t>
      </w:r>
    </w:p>
    <w:p w14:paraId="4B38164C" w14:textId="786AEDFB" w:rsidR="006D3F32" w:rsidRPr="00572D0C" w:rsidRDefault="00DD472C" w:rsidP="00370BB9">
      <w:pPr>
        <w:autoSpaceDE w:val="0"/>
        <w:autoSpaceDN w:val="0"/>
        <w:adjustRightInd w:val="0"/>
        <w:spacing w:line="240" w:lineRule="auto"/>
        <w:rPr>
          <w:rFonts w:eastAsiaTheme="minorEastAsia" w:cs="Arial"/>
          <w:sz w:val="16"/>
          <w:szCs w:val="16"/>
          <w:lang w:val="fr-CH"/>
        </w:rPr>
      </w:pPr>
      <w:r>
        <w:rPr>
          <w:rFonts w:eastAsiaTheme="minorEastAsia" w:cs="Arial"/>
          <w:sz w:val="16"/>
          <w:szCs w:val="16"/>
          <w:lang w:val="fr-CH"/>
        </w:rPr>
        <w:t>Office fédéral de l’environnemen</w:t>
      </w:r>
      <w:r w:rsidR="147A5F7B" w:rsidRPr="00572D0C">
        <w:rPr>
          <w:rFonts w:eastAsiaTheme="minorEastAsia" w:cs="Arial"/>
          <w:sz w:val="16"/>
          <w:szCs w:val="16"/>
          <w:lang w:val="fr-CH"/>
        </w:rPr>
        <w:t>t (</w:t>
      </w:r>
      <w:r>
        <w:rPr>
          <w:rFonts w:eastAsiaTheme="minorEastAsia" w:cs="Arial"/>
          <w:sz w:val="16"/>
          <w:szCs w:val="16"/>
          <w:lang w:val="fr-CH"/>
        </w:rPr>
        <w:t>OFEV</w:t>
      </w:r>
      <w:r w:rsidR="147A5F7B" w:rsidRPr="00572D0C">
        <w:rPr>
          <w:rFonts w:eastAsiaTheme="minorEastAsia" w:cs="Arial"/>
          <w:sz w:val="16"/>
          <w:szCs w:val="16"/>
          <w:lang w:val="fr-CH"/>
        </w:rPr>
        <w:t>)</w:t>
      </w:r>
    </w:p>
    <w:p w14:paraId="5CB18627" w14:textId="0424536A" w:rsidR="009877E9" w:rsidRPr="00572D0C" w:rsidRDefault="00DD472C" w:rsidP="00370BB9">
      <w:pPr>
        <w:autoSpaceDE w:val="0"/>
        <w:autoSpaceDN w:val="0"/>
        <w:adjustRightInd w:val="0"/>
        <w:spacing w:line="240" w:lineRule="auto"/>
        <w:rPr>
          <w:rFonts w:eastAsiaTheme="minorEastAsia" w:cs="Arial"/>
          <w:sz w:val="16"/>
          <w:szCs w:val="16"/>
          <w:lang w:val="fr-CH"/>
        </w:rPr>
      </w:pPr>
      <w:r>
        <w:rPr>
          <w:rFonts w:eastAsiaTheme="minorEastAsia" w:cs="Arial"/>
          <w:sz w:val="16"/>
          <w:szCs w:val="16"/>
          <w:lang w:val="fr-CH"/>
        </w:rPr>
        <w:t>Office fédéral pour l’approvisionnement économique du pays</w:t>
      </w:r>
      <w:r w:rsidR="147A5F7B" w:rsidRPr="00572D0C">
        <w:rPr>
          <w:rFonts w:eastAsiaTheme="minorEastAsia" w:cs="Arial"/>
          <w:sz w:val="16"/>
          <w:szCs w:val="16"/>
          <w:lang w:val="fr-CH"/>
        </w:rPr>
        <w:t xml:space="preserve"> (</w:t>
      </w:r>
      <w:r>
        <w:rPr>
          <w:rFonts w:eastAsiaTheme="minorEastAsia" w:cs="Arial"/>
          <w:sz w:val="16"/>
          <w:szCs w:val="16"/>
          <w:lang w:val="fr-CH"/>
        </w:rPr>
        <w:t>OFAE</w:t>
      </w:r>
      <w:r w:rsidR="147A5F7B" w:rsidRPr="00572D0C">
        <w:rPr>
          <w:rFonts w:eastAsiaTheme="minorEastAsia" w:cs="Arial"/>
          <w:sz w:val="16"/>
          <w:szCs w:val="16"/>
          <w:lang w:val="fr-CH"/>
        </w:rPr>
        <w:t>)</w:t>
      </w:r>
    </w:p>
    <w:p w14:paraId="1DEE259D" w14:textId="52116AC5" w:rsidR="0042183A" w:rsidRPr="00572D0C" w:rsidRDefault="0042183A" w:rsidP="0042183A">
      <w:pPr>
        <w:autoSpaceDE w:val="0"/>
        <w:autoSpaceDN w:val="0"/>
        <w:adjustRightInd w:val="0"/>
        <w:spacing w:line="240" w:lineRule="auto"/>
        <w:rPr>
          <w:rFonts w:eastAsiaTheme="minorHAnsi" w:cs="Arial"/>
          <w:sz w:val="16"/>
          <w:szCs w:val="14"/>
          <w:lang w:val="fr-CH"/>
        </w:rPr>
      </w:pPr>
    </w:p>
    <w:p w14:paraId="5425C97B" w14:textId="350A889A" w:rsidR="0042183A" w:rsidRPr="00572D0C" w:rsidRDefault="004206F1" w:rsidP="00370BB9">
      <w:pPr>
        <w:autoSpaceDE w:val="0"/>
        <w:autoSpaceDN w:val="0"/>
        <w:adjustRightInd w:val="0"/>
        <w:spacing w:line="240" w:lineRule="auto"/>
        <w:rPr>
          <w:rFonts w:eastAsiaTheme="minorEastAsia" w:cs="Arial"/>
          <w:sz w:val="16"/>
          <w:szCs w:val="16"/>
          <w:lang w:val="fr-CH"/>
        </w:rPr>
      </w:pPr>
      <w:r w:rsidRPr="00B231C1">
        <w:rPr>
          <w:rFonts w:eastAsiaTheme="minorEastAsia" w:cs="Arial"/>
          <w:sz w:val="16"/>
          <w:szCs w:val="16"/>
          <w:lang w:val="fr-CH"/>
        </w:rPr>
        <w:t xml:space="preserve">Dans un souci de lisibilité, nous avons </w:t>
      </w:r>
      <w:r>
        <w:rPr>
          <w:rFonts w:eastAsiaTheme="minorEastAsia" w:cs="Arial"/>
          <w:sz w:val="16"/>
          <w:szCs w:val="16"/>
          <w:lang w:val="fr-CH"/>
        </w:rPr>
        <w:t>employé</w:t>
      </w:r>
      <w:r w:rsidRPr="00B231C1">
        <w:rPr>
          <w:rFonts w:eastAsiaTheme="minorEastAsia" w:cs="Arial"/>
          <w:sz w:val="16"/>
          <w:szCs w:val="16"/>
          <w:lang w:val="fr-CH"/>
        </w:rPr>
        <w:t xml:space="preserve"> le masculin générique dans le présent </w:t>
      </w:r>
      <w:r>
        <w:rPr>
          <w:rFonts w:eastAsiaTheme="minorEastAsia" w:cs="Arial"/>
          <w:sz w:val="16"/>
          <w:szCs w:val="16"/>
          <w:lang w:val="fr-CH"/>
        </w:rPr>
        <w:t>document</w:t>
      </w:r>
      <w:r w:rsidRPr="00B231C1">
        <w:rPr>
          <w:rFonts w:eastAsiaTheme="minorEastAsia" w:cs="Arial"/>
          <w:sz w:val="16"/>
          <w:szCs w:val="16"/>
          <w:lang w:val="fr-CH"/>
        </w:rPr>
        <w:t xml:space="preserve">. </w:t>
      </w:r>
      <w:r>
        <w:rPr>
          <w:rFonts w:eastAsiaTheme="minorEastAsia" w:cs="Arial"/>
          <w:sz w:val="16"/>
          <w:szCs w:val="16"/>
          <w:lang w:val="fr-CH"/>
        </w:rPr>
        <w:t>Il désigne cependant aussi bien les femmes que les hommes</w:t>
      </w:r>
      <w:r w:rsidRPr="00B231C1">
        <w:rPr>
          <w:rFonts w:eastAsiaTheme="minorEastAsia" w:cs="Arial"/>
          <w:sz w:val="16"/>
          <w:szCs w:val="16"/>
          <w:lang w:val="fr-CH"/>
        </w:rPr>
        <w:t>.</w:t>
      </w:r>
    </w:p>
    <w:p w14:paraId="48AF5E88" w14:textId="77777777" w:rsidR="0042183A" w:rsidRPr="00572D0C" w:rsidRDefault="0042183A" w:rsidP="0042183A">
      <w:pPr>
        <w:autoSpaceDE w:val="0"/>
        <w:autoSpaceDN w:val="0"/>
        <w:adjustRightInd w:val="0"/>
        <w:spacing w:line="240" w:lineRule="auto"/>
        <w:rPr>
          <w:rFonts w:eastAsiaTheme="minorHAnsi" w:cs="Arial"/>
          <w:sz w:val="16"/>
          <w:szCs w:val="14"/>
          <w:lang w:val="fr-CH"/>
        </w:rPr>
      </w:pPr>
    </w:p>
    <w:p w14:paraId="0ACA6200" w14:textId="51FDED34" w:rsidR="0042183A" w:rsidRPr="00572D0C" w:rsidRDefault="147A5F7B" w:rsidP="00370BB9">
      <w:pPr>
        <w:autoSpaceDE w:val="0"/>
        <w:autoSpaceDN w:val="0"/>
        <w:adjustRightInd w:val="0"/>
        <w:spacing w:line="240" w:lineRule="auto"/>
        <w:rPr>
          <w:rFonts w:eastAsiaTheme="minorEastAsia" w:cs="Arial"/>
          <w:sz w:val="16"/>
          <w:szCs w:val="16"/>
          <w:lang w:val="fr-CH"/>
        </w:rPr>
      </w:pPr>
      <w:r w:rsidRPr="00572D0C">
        <w:rPr>
          <w:rFonts w:eastAsiaTheme="minorEastAsia" w:cs="Arial"/>
          <w:sz w:val="16"/>
          <w:szCs w:val="16"/>
          <w:lang w:val="fr-CH"/>
        </w:rPr>
        <w:t xml:space="preserve">© </w:t>
      </w:r>
      <w:r w:rsidR="00DD472C">
        <w:rPr>
          <w:rFonts w:eastAsiaTheme="minorEastAsia" w:cs="Arial"/>
          <w:sz w:val="16"/>
          <w:szCs w:val="16"/>
          <w:lang w:val="fr-CH"/>
        </w:rPr>
        <w:t>Office fédéral du développement ter</w:t>
      </w:r>
      <w:r w:rsidR="00D4739B">
        <w:rPr>
          <w:rFonts w:eastAsiaTheme="minorEastAsia" w:cs="Arial"/>
          <w:sz w:val="16"/>
          <w:szCs w:val="16"/>
          <w:lang w:val="fr-CH"/>
        </w:rPr>
        <w:t>r</w:t>
      </w:r>
      <w:r w:rsidR="00DD472C">
        <w:rPr>
          <w:rFonts w:eastAsiaTheme="minorEastAsia" w:cs="Arial"/>
          <w:sz w:val="16"/>
          <w:szCs w:val="16"/>
          <w:lang w:val="fr-CH"/>
        </w:rPr>
        <w:t xml:space="preserve">itorial </w:t>
      </w:r>
      <w:r w:rsidRPr="00572D0C">
        <w:rPr>
          <w:rFonts w:eastAsiaTheme="minorEastAsia" w:cs="Arial"/>
          <w:sz w:val="16"/>
          <w:szCs w:val="16"/>
          <w:lang w:val="fr-CH"/>
        </w:rPr>
        <w:t>(ARE)</w:t>
      </w:r>
    </w:p>
    <w:p w14:paraId="154503F2" w14:textId="2BFD24EF" w:rsidR="00F4444E" w:rsidRPr="00572D0C" w:rsidRDefault="147A5F7B" w:rsidP="147A5F7B">
      <w:pPr>
        <w:autoSpaceDE w:val="0"/>
        <w:autoSpaceDN w:val="0"/>
        <w:adjustRightInd w:val="0"/>
        <w:spacing w:before="240" w:line="240" w:lineRule="auto"/>
        <w:rPr>
          <w:b/>
          <w:bCs/>
          <w:sz w:val="14"/>
          <w:szCs w:val="14"/>
          <w:u w:val="single"/>
          <w:lang w:val="fr-CH"/>
        </w:rPr>
      </w:pPr>
      <w:r w:rsidRPr="00572D0C">
        <w:rPr>
          <w:rFonts w:eastAsiaTheme="minorEastAsia"/>
          <w:b/>
          <w:bCs/>
          <w:sz w:val="14"/>
          <w:szCs w:val="14"/>
          <w:lang w:val="fr-CH"/>
        </w:rPr>
        <w:t>Bern</w:t>
      </w:r>
      <w:r w:rsidR="00DD472C">
        <w:rPr>
          <w:rFonts w:eastAsiaTheme="minorEastAsia"/>
          <w:b/>
          <w:bCs/>
          <w:sz w:val="14"/>
          <w:szCs w:val="14"/>
          <w:lang w:val="fr-CH"/>
        </w:rPr>
        <w:t>e</w:t>
      </w:r>
      <w:r w:rsidRPr="00572D0C">
        <w:rPr>
          <w:rFonts w:eastAsiaTheme="minorEastAsia"/>
          <w:b/>
          <w:bCs/>
          <w:sz w:val="14"/>
          <w:szCs w:val="14"/>
          <w:lang w:val="fr-CH"/>
        </w:rPr>
        <w:t xml:space="preserve">, </w:t>
      </w:r>
      <w:r w:rsidRPr="00572D0C">
        <w:rPr>
          <w:rFonts w:eastAsiaTheme="minorEastAsia"/>
          <w:b/>
          <w:bCs/>
          <w:sz w:val="14"/>
          <w:szCs w:val="14"/>
          <w:highlight w:val="yellow"/>
          <w:lang w:val="fr-CH"/>
        </w:rPr>
        <w:t>xxx</w:t>
      </w:r>
      <w:r w:rsidRPr="00572D0C">
        <w:rPr>
          <w:rFonts w:eastAsiaTheme="minorEastAsia"/>
          <w:b/>
          <w:bCs/>
          <w:sz w:val="14"/>
          <w:szCs w:val="14"/>
          <w:lang w:val="fr-CH"/>
        </w:rPr>
        <w:t xml:space="preserve"> 2019</w:t>
      </w:r>
      <w:r w:rsidR="0042183A" w:rsidRPr="00572D0C">
        <w:rPr>
          <w:b/>
          <w:bCs/>
          <w:sz w:val="14"/>
          <w:szCs w:val="14"/>
          <w:u w:val="single"/>
          <w:lang w:val="fr-CH"/>
        </w:rPr>
        <w:br w:type="page"/>
      </w:r>
    </w:p>
    <w:p w14:paraId="13B526E5" w14:textId="3A3F7C7D" w:rsidR="00340180" w:rsidRPr="00572D0C" w:rsidRDefault="00D4739B" w:rsidP="147A5F7B">
      <w:pPr>
        <w:rPr>
          <w:b/>
          <w:bCs/>
          <w:sz w:val="42"/>
          <w:szCs w:val="42"/>
          <w:lang w:val="fr-CH"/>
        </w:rPr>
      </w:pPr>
      <w:bookmarkStart w:id="11" w:name="_Toc432609058"/>
      <w:r>
        <w:rPr>
          <w:b/>
          <w:bCs/>
          <w:sz w:val="42"/>
          <w:szCs w:val="42"/>
          <w:lang w:val="fr-CH"/>
        </w:rPr>
        <w:lastRenderedPageBreak/>
        <w:t>Table des matière</w:t>
      </w:r>
      <w:r w:rsidR="00340180" w:rsidRPr="00572D0C">
        <w:rPr>
          <w:b/>
          <w:bCs/>
          <w:sz w:val="42"/>
          <w:szCs w:val="42"/>
          <w:lang w:val="fr-CH"/>
        </w:rPr>
        <w:t>s</w:t>
      </w:r>
      <w:bookmarkEnd w:id="11"/>
    </w:p>
    <w:p w14:paraId="27A1D9B6" w14:textId="77777777" w:rsidR="00340180" w:rsidRPr="00572D0C" w:rsidRDefault="00340180" w:rsidP="00704012">
      <w:pPr>
        <w:pStyle w:val="Verzeichnis1"/>
        <w:rPr>
          <w:noProof w:val="0"/>
          <w:lang w:val="fr-CH"/>
        </w:rPr>
      </w:pPr>
    </w:p>
    <w:p w14:paraId="3818AF3A" w14:textId="7B6B5224" w:rsidR="009D3D32" w:rsidRDefault="00474F55">
      <w:pPr>
        <w:pStyle w:val="Verzeichnis1"/>
        <w:rPr>
          <w:rFonts w:asciiTheme="minorHAnsi" w:eastAsiaTheme="minorEastAsia" w:hAnsiTheme="minorHAnsi" w:cstheme="minorBidi"/>
          <w:b w:val="0"/>
          <w:sz w:val="22"/>
          <w:szCs w:val="22"/>
        </w:rPr>
      </w:pPr>
      <w:r>
        <w:rPr>
          <w:b w:val="0"/>
          <w:lang w:val="fr-CH"/>
        </w:rPr>
        <w:fldChar w:fldCharType="begin"/>
      </w:r>
      <w:r>
        <w:rPr>
          <w:b w:val="0"/>
          <w:lang w:val="fr-CH"/>
        </w:rPr>
        <w:instrText xml:space="preserve"> TOC \o "1-3" \h \z \u </w:instrText>
      </w:r>
      <w:r>
        <w:rPr>
          <w:b w:val="0"/>
          <w:lang w:val="fr-CH"/>
        </w:rPr>
        <w:fldChar w:fldCharType="separate"/>
      </w:r>
      <w:hyperlink w:anchor="_Toc532996275" w:history="1">
        <w:r w:rsidR="009D3D32" w:rsidRPr="00A76983">
          <w:rPr>
            <w:rStyle w:val="Hyperlink"/>
            <w:lang w:val="fr-CH"/>
          </w:rPr>
          <w:t>1</w:t>
        </w:r>
        <w:r w:rsidR="009D3D32">
          <w:rPr>
            <w:rFonts w:asciiTheme="minorHAnsi" w:eastAsiaTheme="minorEastAsia" w:hAnsiTheme="minorHAnsi" w:cstheme="minorBidi"/>
            <w:b w:val="0"/>
            <w:sz w:val="22"/>
            <w:szCs w:val="22"/>
          </w:rPr>
          <w:tab/>
        </w:r>
        <w:r w:rsidR="009D3D32" w:rsidRPr="00A76983">
          <w:rPr>
            <w:rStyle w:val="Hyperlink"/>
            <w:lang w:val="fr-CH"/>
          </w:rPr>
          <w:t>Contexte et déroulement du remaniement du Plan sectoriel</w:t>
        </w:r>
        <w:r w:rsidR="009D3D32">
          <w:rPr>
            <w:webHidden/>
          </w:rPr>
          <w:tab/>
        </w:r>
        <w:r w:rsidR="009D3D32">
          <w:rPr>
            <w:webHidden/>
          </w:rPr>
          <w:fldChar w:fldCharType="begin"/>
        </w:r>
        <w:r w:rsidR="009D3D32">
          <w:rPr>
            <w:webHidden/>
          </w:rPr>
          <w:instrText xml:space="preserve"> PAGEREF _Toc532996275 \h </w:instrText>
        </w:r>
        <w:r w:rsidR="009D3D32">
          <w:rPr>
            <w:webHidden/>
          </w:rPr>
        </w:r>
        <w:r w:rsidR="009D3D32">
          <w:rPr>
            <w:webHidden/>
          </w:rPr>
          <w:fldChar w:fldCharType="separate"/>
        </w:r>
        <w:r w:rsidR="00A65A9C">
          <w:rPr>
            <w:webHidden/>
          </w:rPr>
          <w:t>5</w:t>
        </w:r>
        <w:r w:rsidR="009D3D32">
          <w:rPr>
            <w:webHidden/>
          </w:rPr>
          <w:fldChar w:fldCharType="end"/>
        </w:r>
      </w:hyperlink>
    </w:p>
    <w:p w14:paraId="2607233B" w14:textId="759EA333" w:rsidR="009D3D32" w:rsidRDefault="009D3D32">
      <w:pPr>
        <w:pStyle w:val="Verzeichnis2"/>
        <w:rPr>
          <w:rFonts w:asciiTheme="minorHAnsi" w:eastAsiaTheme="minorEastAsia" w:hAnsiTheme="minorHAnsi" w:cstheme="minorBidi"/>
          <w:noProof/>
          <w:sz w:val="22"/>
          <w:szCs w:val="22"/>
        </w:rPr>
      </w:pPr>
      <w:hyperlink w:anchor="_Toc532996276" w:history="1">
        <w:r w:rsidRPr="00A76983">
          <w:rPr>
            <w:rStyle w:val="Hyperlink"/>
            <w:noProof/>
            <w:lang w:val="fr-CH"/>
          </w:rPr>
          <w:t>1.1</w:t>
        </w:r>
        <w:r>
          <w:rPr>
            <w:rFonts w:asciiTheme="minorHAnsi" w:eastAsiaTheme="minorEastAsia" w:hAnsiTheme="minorHAnsi" w:cstheme="minorBidi"/>
            <w:noProof/>
            <w:sz w:val="22"/>
            <w:szCs w:val="22"/>
          </w:rPr>
          <w:tab/>
        </w:r>
        <w:r w:rsidRPr="00A76983">
          <w:rPr>
            <w:rStyle w:val="Hyperlink"/>
            <w:noProof/>
            <w:lang w:val="fr-CH"/>
          </w:rPr>
          <w:t>Contexte des travaux de remaniement du Plan sectoriel</w:t>
        </w:r>
        <w:r>
          <w:rPr>
            <w:noProof/>
            <w:webHidden/>
          </w:rPr>
          <w:tab/>
        </w:r>
        <w:r>
          <w:rPr>
            <w:noProof/>
            <w:webHidden/>
          </w:rPr>
          <w:fldChar w:fldCharType="begin"/>
        </w:r>
        <w:r>
          <w:rPr>
            <w:noProof/>
            <w:webHidden/>
          </w:rPr>
          <w:instrText xml:space="preserve"> PAGEREF _Toc532996276 \h </w:instrText>
        </w:r>
        <w:r>
          <w:rPr>
            <w:noProof/>
            <w:webHidden/>
          </w:rPr>
        </w:r>
        <w:r>
          <w:rPr>
            <w:noProof/>
            <w:webHidden/>
          </w:rPr>
          <w:fldChar w:fldCharType="separate"/>
        </w:r>
        <w:r w:rsidR="00A65A9C">
          <w:rPr>
            <w:noProof/>
            <w:webHidden/>
          </w:rPr>
          <w:t>5</w:t>
        </w:r>
        <w:r>
          <w:rPr>
            <w:noProof/>
            <w:webHidden/>
          </w:rPr>
          <w:fldChar w:fldCharType="end"/>
        </w:r>
      </w:hyperlink>
    </w:p>
    <w:p w14:paraId="7ADF5C22" w14:textId="12D7B572" w:rsidR="009D3D32" w:rsidRDefault="009D3D32">
      <w:pPr>
        <w:pStyle w:val="Verzeichnis2"/>
        <w:rPr>
          <w:rFonts w:asciiTheme="minorHAnsi" w:eastAsiaTheme="minorEastAsia" w:hAnsiTheme="minorHAnsi" w:cstheme="minorBidi"/>
          <w:noProof/>
          <w:sz w:val="22"/>
          <w:szCs w:val="22"/>
        </w:rPr>
      </w:pPr>
      <w:hyperlink w:anchor="_Toc532996277" w:history="1">
        <w:r w:rsidRPr="00A76983">
          <w:rPr>
            <w:rStyle w:val="Hyperlink"/>
            <w:noProof/>
            <w:lang w:val="fr-CH"/>
          </w:rPr>
          <w:t>1.2</w:t>
        </w:r>
        <w:r>
          <w:rPr>
            <w:rFonts w:asciiTheme="minorHAnsi" w:eastAsiaTheme="minorEastAsia" w:hAnsiTheme="minorHAnsi" w:cstheme="minorBidi"/>
            <w:noProof/>
            <w:sz w:val="22"/>
            <w:szCs w:val="22"/>
          </w:rPr>
          <w:tab/>
        </w:r>
        <w:r w:rsidRPr="00A76983">
          <w:rPr>
            <w:rStyle w:val="Hyperlink"/>
            <w:noProof/>
            <w:lang w:val="fr-CH"/>
          </w:rPr>
          <w:t>Déroulement des travaux</w:t>
        </w:r>
        <w:r>
          <w:rPr>
            <w:noProof/>
            <w:webHidden/>
          </w:rPr>
          <w:tab/>
        </w:r>
        <w:r>
          <w:rPr>
            <w:noProof/>
            <w:webHidden/>
          </w:rPr>
          <w:fldChar w:fldCharType="begin"/>
        </w:r>
        <w:r>
          <w:rPr>
            <w:noProof/>
            <w:webHidden/>
          </w:rPr>
          <w:instrText xml:space="preserve"> PAGEREF _Toc532996277 \h </w:instrText>
        </w:r>
        <w:r>
          <w:rPr>
            <w:noProof/>
            <w:webHidden/>
          </w:rPr>
        </w:r>
        <w:r>
          <w:rPr>
            <w:noProof/>
            <w:webHidden/>
          </w:rPr>
          <w:fldChar w:fldCharType="separate"/>
        </w:r>
        <w:r w:rsidR="00A65A9C">
          <w:rPr>
            <w:noProof/>
            <w:webHidden/>
          </w:rPr>
          <w:t>5</w:t>
        </w:r>
        <w:r>
          <w:rPr>
            <w:noProof/>
            <w:webHidden/>
          </w:rPr>
          <w:fldChar w:fldCharType="end"/>
        </w:r>
      </w:hyperlink>
    </w:p>
    <w:p w14:paraId="179B635F" w14:textId="77777777" w:rsidR="009D3D32" w:rsidRDefault="009D3D32">
      <w:pPr>
        <w:pStyle w:val="Verzeichnis1"/>
        <w:rPr>
          <w:rStyle w:val="Hyperlink"/>
          <w:lang w:val="fr-CH"/>
        </w:rPr>
      </w:pPr>
      <w:r w:rsidRPr="00A76983">
        <w:rPr>
          <w:rStyle w:val="Hyperlink"/>
        </w:rPr>
        <w:fldChar w:fldCharType="begin"/>
      </w:r>
      <w:r w:rsidRPr="00A76983">
        <w:rPr>
          <w:rStyle w:val="Hyperlink"/>
        </w:rPr>
        <w:instrText xml:space="preserve"> </w:instrText>
      </w:r>
      <w:r>
        <w:instrText>HYPERLINK \l "_Toc532996278"</w:instrText>
      </w:r>
      <w:r w:rsidRPr="00A76983">
        <w:rPr>
          <w:rStyle w:val="Hyperlink"/>
        </w:rPr>
        <w:instrText xml:space="preserve"> </w:instrText>
      </w:r>
      <w:r w:rsidRPr="00A76983">
        <w:rPr>
          <w:rStyle w:val="Hyperlink"/>
        </w:rPr>
      </w:r>
      <w:r w:rsidRPr="00A76983">
        <w:rPr>
          <w:rStyle w:val="Hyperlink"/>
        </w:rPr>
        <w:fldChar w:fldCharType="separate"/>
      </w:r>
      <w:r w:rsidRPr="00A76983">
        <w:rPr>
          <w:rStyle w:val="Hyperlink"/>
          <w:lang w:val="fr-CH"/>
        </w:rPr>
        <w:t>2</w:t>
      </w:r>
      <w:r>
        <w:rPr>
          <w:rFonts w:asciiTheme="minorHAnsi" w:eastAsiaTheme="minorEastAsia" w:hAnsiTheme="minorHAnsi" w:cstheme="minorBidi"/>
          <w:b w:val="0"/>
          <w:sz w:val="22"/>
          <w:szCs w:val="22"/>
        </w:rPr>
        <w:tab/>
      </w:r>
      <w:r w:rsidRPr="00A76983">
        <w:rPr>
          <w:rStyle w:val="Hyperlink"/>
          <w:lang w:val="fr-CH"/>
        </w:rPr>
        <w:t>Insuffisance des informations sur les sols : deu</w:t>
      </w:r>
      <w:r>
        <w:rPr>
          <w:rStyle w:val="Hyperlink"/>
          <w:lang w:val="fr-CH"/>
        </w:rPr>
        <w:t>x phases de remaniement du Plan</w:t>
      </w:r>
    </w:p>
    <w:p w14:paraId="65DE6C0D" w14:textId="786F58D5" w:rsidR="009D3D32" w:rsidRDefault="009D3D32">
      <w:pPr>
        <w:pStyle w:val="Verzeichnis1"/>
        <w:rPr>
          <w:rFonts w:asciiTheme="minorHAnsi" w:eastAsiaTheme="minorEastAsia" w:hAnsiTheme="minorHAnsi" w:cstheme="minorBidi"/>
          <w:b w:val="0"/>
          <w:sz w:val="22"/>
          <w:szCs w:val="22"/>
        </w:rPr>
      </w:pPr>
      <w:r>
        <w:rPr>
          <w:rStyle w:val="Hyperlink"/>
          <w:lang w:val="fr-CH"/>
        </w:rPr>
        <w:tab/>
      </w:r>
      <w:r w:rsidRPr="00A76983">
        <w:rPr>
          <w:rStyle w:val="Hyperlink"/>
          <w:lang w:val="fr-CH"/>
        </w:rPr>
        <w:t>sectoriel SDA</w:t>
      </w:r>
      <w:r>
        <w:rPr>
          <w:webHidden/>
        </w:rPr>
        <w:tab/>
      </w:r>
      <w:r>
        <w:rPr>
          <w:webHidden/>
        </w:rPr>
        <w:fldChar w:fldCharType="begin"/>
      </w:r>
      <w:r>
        <w:rPr>
          <w:webHidden/>
        </w:rPr>
        <w:instrText xml:space="preserve"> PAGEREF _Toc532996278 \h </w:instrText>
      </w:r>
      <w:r>
        <w:rPr>
          <w:webHidden/>
        </w:rPr>
      </w:r>
      <w:r>
        <w:rPr>
          <w:webHidden/>
        </w:rPr>
        <w:fldChar w:fldCharType="separate"/>
      </w:r>
      <w:r w:rsidR="00A65A9C">
        <w:rPr>
          <w:webHidden/>
        </w:rPr>
        <w:t>7</w:t>
      </w:r>
      <w:r>
        <w:rPr>
          <w:webHidden/>
        </w:rPr>
        <w:fldChar w:fldCharType="end"/>
      </w:r>
      <w:r w:rsidRPr="00A76983">
        <w:rPr>
          <w:rStyle w:val="Hyperlink"/>
        </w:rPr>
        <w:fldChar w:fldCharType="end"/>
      </w:r>
    </w:p>
    <w:p w14:paraId="20E4178D" w14:textId="0F89EA96" w:rsidR="009D3D32" w:rsidRDefault="009D3D32">
      <w:pPr>
        <w:pStyle w:val="Verzeichnis2"/>
        <w:rPr>
          <w:rFonts w:asciiTheme="minorHAnsi" w:eastAsiaTheme="minorEastAsia" w:hAnsiTheme="minorHAnsi" w:cstheme="minorBidi"/>
          <w:noProof/>
          <w:sz w:val="22"/>
          <w:szCs w:val="22"/>
        </w:rPr>
      </w:pPr>
      <w:hyperlink w:anchor="_Toc532996279" w:history="1">
        <w:r w:rsidRPr="00A76983">
          <w:rPr>
            <w:rStyle w:val="Hyperlink"/>
            <w:noProof/>
            <w:lang w:val="fr-CH"/>
          </w:rPr>
          <w:t>2.1</w:t>
        </w:r>
        <w:r>
          <w:rPr>
            <w:rFonts w:asciiTheme="minorHAnsi" w:eastAsiaTheme="minorEastAsia" w:hAnsiTheme="minorHAnsi" w:cstheme="minorBidi"/>
            <w:noProof/>
            <w:sz w:val="22"/>
            <w:szCs w:val="22"/>
          </w:rPr>
          <w:tab/>
        </w:r>
        <w:r w:rsidRPr="00A76983">
          <w:rPr>
            <w:rStyle w:val="Hyperlink"/>
            <w:noProof/>
            <w:lang w:val="fr-CH"/>
          </w:rPr>
          <w:t>Base de données des SDA actuellement inventoriées</w:t>
        </w:r>
        <w:r>
          <w:rPr>
            <w:noProof/>
            <w:webHidden/>
          </w:rPr>
          <w:tab/>
        </w:r>
        <w:r>
          <w:rPr>
            <w:noProof/>
            <w:webHidden/>
          </w:rPr>
          <w:fldChar w:fldCharType="begin"/>
        </w:r>
        <w:r>
          <w:rPr>
            <w:noProof/>
            <w:webHidden/>
          </w:rPr>
          <w:instrText xml:space="preserve"> PAGEREF _Toc532996279 \h </w:instrText>
        </w:r>
        <w:r>
          <w:rPr>
            <w:noProof/>
            <w:webHidden/>
          </w:rPr>
        </w:r>
        <w:r>
          <w:rPr>
            <w:noProof/>
            <w:webHidden/>
          </w:rPr>
          <w:fldChar w:fldCharType="separate"/>
        </w:r>
        <w:r w:rsidR="00A65A9C">
          <w:rPr>
            <w:noProof/>
            <w:webHidden/>
          </w:rPr>
          <w:t>7</w:t>
        </w:r>
        <w:r>
          <w:rPr>
            <w:noProof/>
            <w:webHidden/>
          </w:rPr>
          <w:fldChar w:fldCharType="end"/>
        </w:r>
      </w:hyperlink>
    </w:p>
    <w:p w14:paraId="6968341E" w14:textId="4DE549E8" w:rsidR="009D3D32" w:rsidRDefault="009D3D32">
      <w:pPr>
        <w:pStyle w:val="Verzeichnis2"/>
        <w:rPr>
          <w:rFonts w:asciiTheme="minorHAnsi" w:eastAsiaTheme="minorEastAsia" w:hAnsiTheme="minorHAnsi" w:cstheme="minorBidi"/>
          <w:noProof/>
          <w:sz w:val="22"/>
          <w:szCs w:val="22"/>
        </w:rPr>
      </w:pPr>
      <w:hyperlink w:anchor="_Toc532996280" w:history="1">
        <w:r w:rsidRPr="00A76983">
          <w:rPr>
            <w:rStyle w:val="Hyperlink"/>
            <w:noProof/>
            <w:lang w:val="fr-CH"/>
          </w:rPr>
          <w:t>2.2</w:t>
        </w:r>
        <w:r>
          <w:rPr>
            <w:rFonts w:asciiTheme="minorHAnsi" w:eastAsiaTheme="minorEastAsia" w:hAnsiTheme="minorHAnsi" w:cstheme="minorBidi"/>
            <w:noProof/>
            <w:sz w:val="22"/>
            <w:szCs w:val="22"/>
          </w:rPr>
          <w:tab/>
        </w:r>
        <w:r w:rsidRPr="00A76983">
          <w:rPr>
            <w:rStyle w:val="Hyperlink"/>
            <w:noProof/>
            <w:lang w:val="fr-CH"/>
          </w:rPr>
          <w:t xml:space="preserve">Parenthèse : </w:t>
        </w:r>
        <w:r w:rsidRPr="00A76983">
          <w:rPr>
            <w:rStyle w:val="Hyperlink"/>
            <w:noProof/>
            <w:lang w:val="fr-FR"/>
          </w:rPr>
          <w:t>cartographie des sols en Suisse</w:t>
        </w:r>
        <w:r>
          <w:rPr>
            <w:noProof/>
            <w:webHidden/>
          </w:rPr>
          <w:tab/>
        </w:r>
        <w:r>
          <w:rPr>
            <w:noProof/>
            <w:webHidden/>
          </w:rPr>
          <w:fldChar w:fldCharType="begin"/>
        </w:r>
        <w:r>
          <w:rPr>
            <w:noProof/>
            <w:webHidden/>
          </w:rPr>
          <w:instrText xml:space="preserve"> PAGEREF _Toc532996280 \h </w:instrText>
        </w:r>
        <w:r>
          <w:rPr>
            <w:noProof/>
            <w:webHidden/>
          </w:rPr>
        </w:r>
        <w:r>
          <w:rPr>
            <w:noProof/>
            <w:webHidden/>
          </w:rPr>
          <w:fldChar w:fldCharType="separate"/>
        </w:r>
        <w:r w:rsidR="00A65A9C">
          <w:rPr>
            <w:noProof/>
            <w:webHidden/>
          </w:rPr>
          <w:t>8</w:t>
        </w:r>
        <w:r>
          <w:rPr>
            <w:noProof/>
            <w:webHidden/>
          </w:rPr>
          <w:fldChar w:fldCharType="end"/>
        </w:r>
      </w:hyperlink>
    </w:p>
    <w:p w14:paraId="5DA45011" w14:textId="75E2353B" w:rsidR="009D3D32" w:rsidRDefault="009D3D32">
      <w:pPr>
        <w:pStyle w:val="Verzeichnis1"/>
        <w:rPr>
          <w:rFonts w:asciiTheme="minorHAnsi" w:eastAsiaTheme="minorEastAsia" w:hAnsiTheme="minorHAnsi" w:cstheme="minorBidi"/>
          <w:b w:val="0"/>
          <w:sz w:val="22"/>
          <w:szCs w:val="22"/>
        </w:rPr>
      </w:pPr>
      <w:hyperlink w:anchor="_Toc532996281" w:history="1">
        <w:r w:rsidRPr="00A76983">
          <w:rPr>
            <w:rStyle w:val="Hyperlink"/>
            <w:lang w:val="fr-CH"/>
          </w:rPr>
          <w:t>3</w:t>
        </w:r>
        <w:r>
          <w:rPr>
            <w:rFonts w:asciiTheme="minorHAnsi" w:eastAsiaTheme="minorEastAsia" w:hAnsiTheme="minorHAnsi" w:cstheme="minorBidi"/>
            <w:b w:val="0"/>
            <w:sz w:val="22"/>
            <w:szCs w:val="22"/>
          </w:rPr>
          <w:tab/>
        </w:r>
        <w:r w:rsidRPr="00A76983">
          <w:rPr>
            <w:rStyle w:val="Hyperlink"/>
            <w:lang w:val="fr-CH"/>
          </w:rPr>
          <w:t>Explications relatives au but et aux indications</w:t>
        </w:r>
        <w:r>
          <w:rPr>
            <w:webHidden/>
          </w:rPr>
          <w:tab/>
        </w:r>
        <w:r>
          <w:rPr>
            <w:webHidden/>
          </w:rPr>
          <w:fldChar w:fldCharType="begin"/>
        </w:r>
        <w:r>
          <w:rPr>
            <w:webHidden/>
          </w:rPr>
          <w:instrText xml:space="preserve"> PAGEREF _Toc532996281 \h </w:instrText>
        </w:r>
        <w:r>
          <w:rPr>
            <w:webHidden/>
          </w:rPr>
        </w:r>
        <w:r>
          <w:rPr>
            <w:webHidden/>
          </w:rPr>
          <w:fldChar w:fldCharType="separate"/>
        </w:r>
        <w:r w:rsidR="00A65A9C">
          <w:rPr>
            <w:webHidden/>
          </w:rPr>
          <w:t>9</w:t>
        </w:r>
        <w:r>
          <w:rPr>
            <w:webHidden/>
          </w:rPr>
          <w:fldChar w:fldCharType="end"/>
        </w:r>
      </w:hyperlink>
    </w:p>
    <w:p w14:paraId="03A08EF8" w14:textId="47B2D9E1" w:rsidR="009D3D32" w:rsidRDefault="009D3D32">
      <w:pPr>
        <w:pStyle w:val="Verzeichnis2"/>
        <w:rPr>
          <w:rFonts w:asciiTheme="minorHAnsi" w:eastAsiaTheme="minorEastAsia" w:hAnsiTheme="minorHAnsi" w:cstheme="minorBidi"/>
          <w:noProof/>
          <w:sz w:val="22"/>
          <w:szCs w:val="22"/>
        </w:rPr>
      </w:pPr>
      <w:hyperlink w:anchor="_Toc532996282" w:history="1">
        <w:r w:rsidRPr="00A76983">
          <w:rPr>
            <w:rStyle w:val="Hyperlink"/>
            <w:noProof/>
            <w:lang w:val="fr-CH"/>
          </w:rPr>
          <w:t>3.1</w:t>
        </w:r>
        <w:r>
          <w:rPr>
            <w:rFonts w:asciiTheme="minorHAnsi" w:eastAsiaTheme="minorEastAsia" w:hAnsiTheme="minorHAnsi" w:cstheme="minorBidi"/>
            <w:noProof/>
            <w:sz w:val="22"/>
            <w:szCs w:val="22"/>
          </w:rPr>
          <w:tab/>
        </w:r>
        <w:r w:rsidRPr="00A76983">
          <w:rPr>
            <w:rStyle w:val="Hyperlink"/>
            <w:noProof/>
            <w:lang w:val="fr-CH"/>
          </w:rPr>
          <w:t xml:space="preserve">Explications relatives </w:t>
        </w:r>
        <w:r w:rsidRPr="00A76983">
          <w:rPr>
            <w:rStyle w:val="Hyperlink"/>
            <w:noProof/>
          </w:rPr>
          <w:t>au but</w:t>
        </w:r>
        <w:r>
          <w:rPr>
            <w:noProof/>
            <w:webHidden/>
          </w:rPr>
          <w:tab/>
        </w:r>
        <w:r>
          <w:rPr>
            <w:noProof/>
            <w:webHidden/>
          </w:rPr>
          <w:fldChar w:fldCharType="begin"/>
        </w:r>
        <w:r>
          <w:rPr>
            <w:noProof/>
            <w:webHidden/>
          </w:rPr>
          <w:instrText xml:space="preserve"> PAGEREF _Toc532996282 \h </w:instrText>
        </w:r>
        <w:r>
          <w:rPr>
            <w:noProof/>
            <w:webHidden/>
          </w:rPr>
        </w:r>
        <w:r>
          <w:rPr>
            <w:noProof/>
            <w:webHidden/>
          </w:rPr>
          <w:fldChar w:fldCharType="separate"/>
        </w:r>
        <w:r w:rsidR="00A65A9C">
          <w:rPr>
            <w:noProof/>
            <w:webHidden/>
          </w:rPr>
          <w:t>9</w:t>
        </w:r>
        <w:r>
          <w:rPr>
            <w:noProof/>
            <w:webHidden/>
          </w:rPr>
          <w:fldChar w:fldCharType="end"/>
        </w:r>
      </w:hyperlink>
    </w:p>
    <w:p w14:paraId="41997E0F" w14:textId="2234F8EF" w:rsidR="009D3D32" w:rsidRDefault="009D3D32">
      <w:pPr>
        <w:pStyle w:val="Verzeichnis2"/>
        <w:rPr>
          <w:rFonts w:asciiTheme="minorHAnsi" w:eastAsiaTheme="minorEastAsia" w:hAnsiTheme="minorHAnsi" w:cstheme="minorBidi"/>
          <w:noProof/>
          <w:sz w:val="22"/>
          <w:szCs w:val="22"/>
        </w:rPr>
      </w:pPr>
      <w:hyperlink w:anchor="_Toc532996283" w:history="1">
        <w:r w:rsidRPr="00A76983">
          <w:rPr>
            <w:rStyle w:val="Hyperlink"/>
            <w:noProof/>
          </w:rPr>
          <w:t>3.2</w:t>
        </w:r>
        <w:r>
          <w:rPr>
            <w:rFonts w:asciiTheme="minorHAnsi" w:eastAsiaTheme="minorEastAsia" w:hAnsiTheme="minorHAnsi" w:cstheme="minorBidi"/>
            <w:noProof/>
            <w:sz w:val="22"/>
            <w:szCs w:val="22"/>
          </w:rPr>
          <w:tab/>
        </w:r>
        <w:r w:rsidRPr="00A76983">
          <w:rPr>
            <w:rStyle w:val="Hyperlink"/>
            <w:noProof/>
          </w:rPr>
          <w:t>Explications relatives aux indications</w:t>
        </w:r>
        <w:r>
          <w:rPr>
            <w:noProof/>
            <w:webHidden/>
          </w:rPr>
          <w:tab/>
        </w:r>
        <w:r>
          <w:rPr>
            <w:noProof/>
            <w:webHidden/>
          </w:rPr>
          <w:fldChar w:fldCharType="begin"/>
        </w:r>
        <w:r>
          <w:rPr>
            <w:noProof/>
            <w:webHidden/>
          </w:rPr>
          <w:instrText xml:space="preserve"> PAGEREF _Toc532996283 \h </w:instrText>
        </w:r>
        <w:r>
          <w:rPr>
            <w:noProof/>
            <w:webHidden/>
          </w:rPr>
        </w:r>
        <w:r>
          <w:rPr>
            <w:noProof/>
            <w:webHidden/>
          </w:rPr>
          <w:fldChar w:fldCharType="separate"/>
        </w:r>
        <w:r w:rsidR="00A65A9C">
          <w:rPr>
            <w:noProof/>
            <w:webHidden/>
          </w:rPr>
          <w:t>10</w:t>
        </w:r>
        <w:r>
          <w:rPr>
            <w:noProof/>
            <w:webHidden/>
          </w:rPr>
          <w:fldChar w:fldCharType="end"/>
        </w:r>
      </w:hyperlink>
    </w:p>
    <w:p w14:paraId="3885E79B" w14:textId="2F18BAF9" w:rsidR="009D3D32" w:rsidRDefault="009D3D32">
      <w:pPr>
        <w:pStyle w:val="Verzeichnis1"/>
        <w:rPr>
          <w:rFonts w:asciiTheme="minorHAnsi" w:eastAsiaTheme="minorEastAsia" w:hAnsiTheme="minorHAnsi" w:cstheme="minorBidi"/>
          <w:b w:val="0"/>
          <w:sz w:val="22"/>
          <w:szCs w:val="22"/>
        </w:rPr>
      </w:pPr>
      <w:hyperlink w:anchor="_Toc532996284" w:history="1">
        <w:r w:rsidRPr="00A76983">
          <w:rPr>
            <w:rStyle w:val="Hyperlink"/>
            <w:lang w:val="fr-CH"/>
          </w:rPr>
          <w:t>4</w:t>
        </w:r>
        <w:r>
          <w:rPr>
            <w:rFonts w:asciiTheme="minorHAnsi" w:eastAsiaTheme="minorEastAsia" w:hAnsiTheme="minorHAnsi" w:cstheme="minorBidi"/>
            <w:b w:val="0"/>
            <w:sz w:val="22"/>
            <w:szCs w:val="22"/>
          </w:rPr>
          <w:tab/>
        </w:r>
        <w:r w:rsidRPr="00A76983">
          <w:rPr>
            <w:rStyle w:val="Hyperlink"/>
            <w:lang w:val="fr-CH"/>
          </w:rPr>
          <w:t>Explications relatives aux principes</w:t>
        </w:r>
        <w:r>
          <w:rPr>
            <w:webHidden/>
          </w:rPr>
          <w:tab/>
        </w:r>
        <w:r>
          <w:rPr>
            <w:webHidden/>
          </w:rPr>
          <w:fldChar w:fldCharType="begin"/>
        </w:r>
        <w:r>
          <w:rPr>
            <w:webHidden/>
          </w:rPr>
          <w:instrText xml:space="preserve"> PAGEREF _Toc532996284 \h </w:instrText>
        </w:r>
        <w:r>
          <w:rPr>
            <w:webHidden/>
          </w:rPr>
        </w:r>
        <w:r>
          <w:rPr>
            <w:webHidden/>
          </w:rPr>
          <w:fldChar w:fldCharType="separate"/>
        </w:r>
        <w:r w:rsidR="00A65A9C">
          <w:rPr>
            <w:webHidden/>
          </w:rPr>
          <w:t>11</w:t>
        </w:r>
        <w:r>
          <w:rPr>
            <w:webHidden/>
          </w:rPr>
          <w:fldChar w:fldCharType="end"/>
        </w:r>
      </w:hyperlink>
    </w:p>
    <w:p w14:paraId="0412FD34" w14:textId="6D3024F9" w:rsidR="009D3D32" w:rsidRDefault="009D3D32">
      <w:pPr>
        <w:pStyle w:val="Verzeichnis2"/>
        <w:rPr>
          <w:rFonts w:asciiTheme="minorHAnsi" w:eastAsiaTheme="minorEastAsia" w:hAnsiTheme="minorHAnsi" w:cstheme="minorBidi"/>
          <w:noProof/>
          <w:sz w:val="22"/>
          <w:szCs w:val="22"/>
        </w:rPr>
      </w:pPr>
      <w:hyperlink w:anchor="_Toc532996285" w:history="1">
        <w:r w:rsidRPr="00A76983">
          <w:rPr>
            <w:rStyle w:val="Hyperlink"/>
            <w:noProof/>
            <w:lang w:val="fr-CH"/>
          </w:rPr>
          <w:t>4.1</w:t>
        </w:r>
        <w:r>
          <w:rPr>
            <w:rFonts w:asciiTheme="minorHAnsi" w:eastAsiaTheme="minorEastAsia" w:hAnsiTheme="minorHAnsi" w:cstheme="minorBidi"/>
            <w:noProof/>
            <w:sz w:val="22"/>
            <w:szCs w:val="22"/>
          </w:rPr>
          <w:tab/>
        </w:r>
        <w:r w:rsidRPr="00A76983">
          <w:rPr>
            <w:rStyle w:val="Hyperlink"/>
            <w:noProof/>
            <w:lang w:val="fr-CH"/>
          </w:rPr>
          <w:t>Garantie à long terme des SDA</w:t>
        </w:r>
        <w:r>
          <w:rPr>
            <w:noProof/>
            <w:webHidden/>
          </w:rPr>
          <w:tab/>
        </w:r>
        <w:r>
          <w:rPr>
            <w:noProof/>
            <w:webHidden/>
          </w:rPr>
          <w:fldChar w:fldCharType="begin"/>
        </w:r>
        <w:r>
          <w:rPr>
            <w:noProof/>
            <w:webHidden/>
          </w:rPr>
          <w:instrText xml:space="preserve"> PAGEREF _Toc532996285 \h </w:instrText>
        </w:r>
        <w:r>
          <w:rPr>
            <w:noProof/>
            <w:webHidden/>
          </w:rPr>
        </w:r>
        <w:r>
          <w:rPr>
            <w:noProof/>
            <w:webHidden/>
          </w:rPr>
          <w:fldChar w:fldCharType="separate"/>
        </w:r>
        <w:r w:rsidR="00A65A9C">
          <w:rPr>
            <w:noProof/>
            <w:webHidden/>
          </w:rPr>
          <w:t>11</w:t>
        </w:r>
        <w:r>
          <w:rPr>
            <w:noProof/>
            <w:webHidden/>
          </w:rPr>
          <w:fldChar w:fldCharType="end"/>
        </w:r>
      </w:hyperlink>
    </w:p>
    <w:p w14:paraId="678869D6" w14:textId="1396D133" w:rsidR="009D3D32" w:rsidRDefault="009D3D32">
      <w:pPr>
        <w:pStyle w:val="Verzeichnis2"/>
        <w:rPr>
          <w:rFonts w:asciiTheme="minorHAnsi" w:eastAsiaTheme="minorEastAsia" w:hAnsiTheme="minorHAnsi" w:cstheme="minorBidi"/>
          <w:noProof/>
          <w:sz w:val="22"/>
          <w:szCs w:val="22"/>
        </w:rPr>
      </w:pPr>
      <w:hyperlink w:anchor="_Toc532996286" w:history="1">
        <w:r w:rsidRPr="00A76983">
          <w:rPr>
            <w:rStyle w:val="Hyperlink"/>
            <w:noProof/>
            <w:lang w:val="fr-CH"/>
          </w:rPr>
          <w:t>4.2</w:t>
        </w:r>
        <w:r>
          <w:rPr>
            <w:rFonts w:asciiTheme="minorHAnsi" w:eastAsiaTheme="minorEastAsia" w:hAnsiTheme="minorHAnsi" w:cstheme="minorBidi"/>
            <w:noProof/>
            <w:sz w:val="22"/>
            <w:szCs w:val="22"/>
          </w:rPr>
          <w:tab/>
        </w:r>
        <w:r w:rsidRPr="00A76983">
          <w:rPr>
            <w:rStyle w:val="Hyperlink"/>
            <w:noProof/>
            <w:lang w:val="fr-CH"/>
          </w:rPr>
          <w:t>Inventaires des SDA, relevés et critères de qualité des SDA</w:t>
        </w:r>
        <w:r>
          <w:rPr>
            <w:noProof/>
            <w:webHidden/>
          </w:rPr>
          <w:tab/>
        </w:r>
        <w:r>
          <w:rPr>
            <w:noProof/>
            <w:webHidden/>
          </w:rPr>
          <w:fldChar w:fldCharType="begin"/>
        </w:r>
        <w:r>
          <w:rPr>
            <w:noProof/>
            <w:webHidden/>
          </w:rPr>
          <w:instrText xml:space="preserve"> PAGEREF _Toc532996286 \h </w:instrText>
        </w:r>
        <w:r>
          <w:rPr>
            <w:noProof/>
            <w:webHidden/>
          </w:rPr>
        </w:r>
        <w:r>
          <w:rPr>
            <w:noProof/>
            <w:webHidden/>
          </w:rPr>
          <w:fldChar w:fldCharType="separate"/>
        </w:r>
        <w:r w:rsidR="00A65A9C">
          <w:rPr>
            <w:noProof/>
            <w:webHidden/>
          </w:rPr>
          <w:t>14</w:t>
        </w:r>
        <w:r>
          <w:rPr>
            <w:noProof/>
            <w:webHidden/>
          </w:rPr>
          <w:fldChar w:fldCharType="end"/>
        </w:r>
      </w:hyperlink>
    </w:p>
    <w:p w14:paraId="77512E8D" w14:textId="20183EF3" w:rsidR="009D3D32" w:rsidRDefault="009D3D32">
      <w:pPr>
        <w:pStyle w:val="Verzeichnis2"/>
        <w:rPr>
          <w:rFonts w:asciiTheme="minorHAnsi" w:eastAsiaTheme="minorEastAsia" w:hAnsiTheme="minorHAnsi" w:cstheme="minorBidi"/>
          <w:noProof/>
          <w:sz w:val="22"/>
          <w:szCs w:val="22"/>
        </w:rPr>
      </w:pPr>
      <w:hyperlink w:anchor="_Toc532996287" w:history="1">
        <w:r w:rsidRPr="00A76983">
          <w:rPr>
            <w:rStyle w:val="Hyperlink"/>
            <w:noProof/>
            <w:lang w:val="fr-CH"/>
          </w:rPr>
          <w:t>4.3</w:t>
        </w:r>
        <w:r>
          <w:rPr>
            <w:rFonts w:asciiTheme="minorHAnsi" w:eastAsiaTheme="minorEastAsia" w:hAnsiTheme="minorHAnsi" w:cstheme="minorBidi"/>
            <w:noProof/>
            <w:sz w:val="22"/>
            <w:szCs w:val="22"/>
          </w:rPr>
          <w:tab/>
        </w:r>
        <w:r w:rsidRPr="00A76983">
          <w:rPr>
            <w:rStyle w:val="Hyperlink"/>
            <w:noProof/>
            <w:lang w:val="fr-CH"/>
          </w:rPr>
          <w:t>Mesures de compensation</w:t>
        </w:r>
        <w:r>
          <w:rPr>
            <w:noProof/>
            <w:webHidden/>
          </w:rPr>
          <w:tab/>
        </w:r>
        <w:r>
          <w:rPr>
            <w:noProof/>
            <w:webHidden/>
          </w:rPr>
          <w:fldChar w:fldCharType="begin"/>
        </w:r>
        <w:r>
          <w:rPr>
            <w:noProof/>
            <w:webHidden/>
          </w:rPr>
          <w:instrText xml:space="preserve"> PAGEREF _Toc532996287 \h </w:instrText>
        </w:r>
        <w:r>
          <w:rPr>
            <w:noProof/>
            <w:webHidden/>
          </w:rPr>
        </w:r>
        <w:r>
          <w:rPr>
            <w:noProof/>
            <w:webHidden/>
          </w:rPr>
          <w:fldChar w:fldCharType="separate"/>
        </w:r>
        <w:r w:rsidR="00A65A9C">
          <w:rPr>
            <w:noProof/>
            <w:webHidden/>
          </w:rPr>
          <w:t>18</w:t>
        </w:r>
        <w:r>
          <w:rPr>
            <w:noProof/>
            <w:webHidden/>
          </w:rPr>
          <w:fldChar w:fldCharType="end"/>
        </w:r>
      </w:hyperlink>
    </w:p>
    <w:p w14:paraId="0073C213" w14:textId="249ECC70" w:rsidR="009D3D32" w:rsidRDefault="009D3D32">
      <w:pPr>
        <w:pStyle w:val="Verzeichnis2"/>
        <w:rPr>
          <w:rFonts w:asciiTheme="minorHAnsi" w:eastAsiaTheme="minorEastAsia" w:hAnsiTheme="minorHAnsi" w:cstheme="minorBidi"/>
          <w:noProof/>
          <w:sz w:val="22"/>
          <w:szCs w:val="22"/>
        </w:rPr>
      </w:pPr>
      <w:hyperlink w:anchor="_Toc532996288" w:history="1">
        <w:r w:rsidRPr="00A76983">
          <w:rPr>
            <w:rStyle w:val="Hyperlink"/>
            <w:noProof/>
            <w:lang w:val="fr-CH"/>
          </w:rPr>
          <w:t>4.4</w:t>
        </w:r>
        <w:r>
          <w:rPr>
            <w:rFonts w:asciiTheme="minorHAnsi" w:eastAsiaTheme="minorEastAsia" w:hAnsiTheme="minorHAnsi" w:cstheme="minorBidi"/>
            <w:noProof/>
            <w:sz w:val="22"/>
            <w:szCs w:val="22"/>
          </w:rPr>
          <w:tab/>
        </w:r>
        <w:r w:rsidRPr="00A76983">
          <w:rPr>
            <w:rStyle w:val="Hyperlink"/>
            <w:noProof/>
            <w:lang w:val="fr-CH"/>
          </w:rPr>
          <w:t>Traitement des SDA par les autorités fédérales et les services fédéraux</w:t>
        </w:r>
        <w:r>
          <w:rPr>
            <w:noProof/>
            <w:webHidden/>
          </w:rPr>
          <w:tab/>
        </w:r>
        <w:r>
          <w:rPr>
            <w:noProof/>
            <w:webHidden/>
          </w:rPr>
          <w:fldChar w:fldCharType="begin"/>
        </w:r>
        <w:r>
          <w:rPr>
            <w:noProof/>
            <w:webHidden/>
          </w:rPr>
          <w:instrText xml:space="preserve"> PAGEREF _Toc532996288 \h </w:instrText>
        </w:r>
        <w:r>
          <w:rPr>
            <w:noProof/>
            <w:webHidden/>
          </w:rPr>
        </w:r>
        <w:r>
          <w:rPr>
            <w:noProof/>
            <w:webHidden/>
          </w:rPr>
          <w:fldChar w:fldCharType="separate"/>
        </w:r>
        <w:r w:rsidR="00A65A9C">
          <w:rPr>
            <w:noProof/>
            <w:webHidden/>
          </w:rPr>
          <w:t>20</w:t>
        </w:r>
        <w:r>
          <w:rPr>
            <w:noProof/>
            <w:webHidden/>
          </w:rPr>
          <w:fldChar w:fldCharType="end"/>
        </w:r>
      </w:hyperlink>
    </w:p>
    <w:p w14:paraId="73E90746" w14:textId="0932F5A3" w:rsidR="009D3D32" w:rsidRDefault="009D3D32">
      <w:pPr>
        <w:pStyle w:val="Verzeichnis2"/>
        <w:rPr>
          <w:rFonts w:asciiTheme="minorHAnsi" w:eastAsiaTheme="minorEastAsia" w:hAnsiTheme="minorHAnsi" w:cstheme="minorBidi"/>
          <w:noProof/>
          <w:sz w:val="22"/>
          <w:szCs w:val="22"/>
        </w:rPr>
      </w:pPr>
      <w:hyperlink w:anchor="_Toc532996289" w:history="1">
        <w:r w:rsidRPr="00A76983">
          <w:rPr>
            <w:rStyle w:val="Hyperlink"/>
            <w:noProof/>
            <w:lang w:val="fr-CH"/>
          </w:rPr>
          <w:t>4.5</w:t>
        </w:r>
        <w:r>
          <w:rPr>
            <w:rFonts w:asciiTheme="minorHAnsi" w:eastAsiaTheme="minorEastAsia" w:hAnsiTheme="minorHAnsi" w:cstheme="minorBidi"/>
            <w:noProof/>
            <w:sz w:val="22"/>
            <w:szCs w:val="22"/>
          </w:rPr>
          <w:tab/>
        </w:r>
        <w:r w:rsidRPr="00A76983">
          <w:rPr>
            <w:rStyle w:val="Hyperlink"/>
            <w:noProof/>
            <w:lang w:val="fr-CH"/>
          </w:rPr>
          <w:t>Observation de l’évolution des inventaires de SDA</w:t>
        </w:r>
        <w:r>
          <w:rPr>
            <w:noProof/>
            <w:webHidden/>
          </w:rPr>
          <w:tab/>
        </w:r>
        <w:r>
          <w:rPr>
            <w:noProof/>
            <w:webHidden/>
          </w:rPr>
          <w:fldChar w:fldCharType="begin"/>
        </w:r>
        <w:r>
          <w:rPr>
            <w:noProof/>
            <w:webHidden/>
          </w:rPr>
          <w:instrText xml:space="preserve"> PAGEREF _Toc532996289 \h </w:instrText>
        </w:r>
        <w:r>
          <w:rPr>
            <w:noProof/>
            <w:webHidden/>
          </w:rPr>
        </w:r>
        <w:r>
          <w:rPr>
            <w:noProof/>
            <w:webHidden/>
          </w:rPr>
          <w:fldChar w:fldCharType="separate"/>
        </w:r>
        <w:r w:rsidR="00A65A9C">
          <w:rPr>
            <w:noProof/>
            <w:webHidden/>
          </w:rPr>
          <w:t>22</w:t>
        </w:r>
        <w:r>
          <w:rPr>
            <w:noProof/>
            <w:webHidden/>
          </w:rPr>
          <w:fldChar w:fldCharType="end"/>
        </w:r>
      </w:hyperlink>
    </w:p>
    <w:p w14:paraId="4DC9075C" w14:textId="1D3BD57E" w:rsidR="009D3D32" w:rsidRDefault="009D3D32">
      <w:pPr>
        <w:pStyle w:val="Verzeichnis2"/>
        <w:rPr>
          <w:rFonts w:asciiTheme="minorHAnsi" w:eastAsiaTheme="minorEastAsia" w:hAnsiTheme="minorHAnsi" w:cstheme="minorBidi"/>
          <w:noProof/>
          <w:sz w:val="22"/>
          <w:szCs w:val="22"/>
        </w:rPr>
      </w:pPr>
      <w:hyperlink w:anchor="_Toc532996290" w:history="1">
        <w:r w:rsidRPr="00A76983">
          <w:rPr>
            <w:rStyle w:val="Hyperlink"/>
            <w:noProof/>
            <w:lang w:val="fr-CH"/>
          </w:rPr>
          <w:t>4.6</w:t>
        </w:r>
        <w:r>
          <w:rPr>
            <w:rFonts w:asciiTheme="minorHAnsi" w:eastAsiaTheme="minorEastAsia" w:hAnsiTheme="minorHAnsi" w:cstheme="minorBidi"/>
            <w:noProof/>
            <w:sz w:val="22"/>
            <w:szCs w:val="22"/>
          </w:rPr>
          <w:tab/>
        </w:r>
        <w:r w:rsidRPr="00A76983">
          <w:rPr>
            <w:rStyle w:val="Hyperlink"/>
            <w:noProof/>
            <w:lang w:val="fr-CH"/>
          </w:rPr>
          <w:t>Information de l’ARE et examen des inventaires de SDA</w:t>
        </w:r>
        <w:r>
          <w:rPr>
            <w:noProof/>
            <w:webHidden/>
          </w:rPr>
          <w:tab/>
        </w:r>
        <w:r>
          <w:rPr>
            <w:noProof/>
            <w:webHidden/>
          </w:rPr>
          <w:fldChar w:fldCharType="begin"/>
        </w:r>
        <w:r>
          <w:rPr>
            <w:noProof/>
            <w:webHidden/>
          </w:rPr>
          <w:instrText xml:space="preserve"> PAGEREF _Toc532996290 \h </w:instrText>
        </w:r>
        <w:r>
          <w:rPr>
            <w:noProof/>
            <w:webHidden/>
          </w:rPr>
        </w:r>
        <w:r>
          <w:rPr>
            <w:noProof/>
            <w:webHidden/>
          </w:rPr>
          <w:fldChar w:fldCharType="separate"/>
        </w:r>
        <w:r w:rsidR="00A65A9C">
          <w:rPr>
            <w:noProof/>
            <w:webHidden/>
          </w:rPr>
          <w:t>24</w:t>
        </w:r>
        <w:r>
          <w:rPr>
            <w:noProof/>
            <w:webHidden/>
          </w:rPr>
          <w:fldChar w:fldCharType="end"/>
        </w:r>
      </w:hyperlink>
    </w:p>
    <w:p w14:paraId="342C2E43" w14:textId="33500240" w:rsidR="009D3D32" w:rsidRDefault="009D3D32">
      <w:pPr>
        <w:pStyle w:val="Verzeichnis2"/>
        <w:rPr>
          <w:rFonts w:asciiTheme="minorHAnsi" w:eastAsiaTheme="minorEastAsia" w:hAnsiTheme="minorHAnsi" w:cstheme="minorBidi"/>
          <w:noProof/>
          <w:sz w:val="22"/>
          <w:szCs w:val="22"/>
        </w:rPr>
      </w:pPr>
      <w:hyperlink w:anchor="_Toc532996291" w:history="1">
        <w:r w:rsidRPr="00A76983">
          <w:rPr>
            <w:rStyle w:val="Hyperlink"/>
            <w:noProof/>
            <w:lang w:val="fr-CH"/>
          </w:rPr>
          <w:t>4.7</w:t>
        </w:r>
        <w:r>
          <w:rPr>
            <w:rFonts w:asciiTheme="minorHAnsi" w:eastAsiaTheme="minorEastAsia" w:hAnsiTheme="minorHAnsi" w:cstheme="minorBidi"/>
            <w:noProof/>
            <w:sz w:val="22"/>
            <w:szCs w:val="22"/>
          </w:rPr>
          <w:tab/>
        </w:r>
        <w:r w:rsidRPr="00A76983">
          <w:rPr>
            <w:rStyle w:val="Hyperlink"/>
            <w:noProof/>
            <w:lang w:val="fr-CH"/>
          </w:rPr>
          <w:t>Cas spéciaux</w:t>
        </w:r>
        <w:r>
          <w:rPr>
            <w:noProof/>
            <w:webHidden/>
          </w:rPr>
          <w:tab/>
        </w:r>
        <w:r>
          <w:rPr>
            <w:noProof/>
            <w:webHidden/>
          </w:rPr>
          <w:fldChar w:fldCharType="begin"/>
        </w:r>
        <w:r>
          <w:rPr>
            <w:noProof/>
            <w:webHidden/>
          </w:rPr>
          <w:instrText xml:space="preserve"> PAGEREF _Toc532996291 \h </w:instrText>
        </w:r>
        <w:r>
          <w:rPr>
            <w:noProof/>
            <w:webHidden/>
          </w:rPr>
        </w:r>
        <w:r>
          <w:rPr>
            <w:noProof/>
            <w:webHidden/>
          </w:rPr>
          <w:fldChar w:fldCharType="separate"/>
        </w:r>
        <w:r w:rsidR="00A65A9C">
          <w:rPr>
            <w:noProof/>
            <w:webHidden/>
          </w:rPr>
          <w:t>25</w:t>
        </w:r>
        <w:r>
          <w:rPr>
            <w:noProof/>
            <w:webHidden/>
          </w:rPr>
          <w:fldChar w:fldCharType="end"/>
        </w:r>
      </w:hyperlink>
    </w:p>
    <w:p w14:paraId="1DF79204" w14:textId="1EED12AE" w:rsidR="009D3D32" w:rsidRDefault="009D3D32">
      <w:pPr>
        <w:pStyle w:val="Verzeichnis2"/>
        <w:rPr>
          <w:rFonts w:asciiTheme="minorHAnsi" w:eastAsiaTheme="minorEastAsia" w:hAnsiTheme="minorHAnsi" w:cstheme="minorBidi"/>
          <w:noProof/>
          <w:sz w:val="22"/>
          <w:szCs w:val="22"/>
        </w:rPr>
      </w:pPr>
      <w:hyperlink w:anchor="_Toc532996292" w:history="1">
        <w:r w:rsidRPr="00A76983">
          <w:rPr>
            <w:rStyle w:val="Hyperlink"/>
            <w:noProof/>
            <w:lang w:val="fr-CH"/>
          </w:rPr>
          <w:t>4.8</w:t>
        </w:r>
        <w:r>
          <w:rPr>
            <w:rFonts w:asciiTheme="minorHAnsi" w:eastAsiaTheme="minorEastAsia" w:hAnsiTheme="minorHAnsi" w:cstheme="minorBidi"/>
            <w:noProof/>
            <w:sz w:val="22"/>
            <w:szCs w:val="22"/>
          </w:rPr>
          <w:tab/>
        </w:r>
        <w:r w:rsidRPr="00A76983">
          <w:rPr>
            <w:rStyle w:val="Hyperlink"/>
            <w:noProof/>
            <w:lang w:val="fr-CH"/>
          </w:rPr>
          <w:t>Réglementations relatives aux bases de données des cantons</w:t>
        </w:r>
        <w:r>
          <w:rPr>
            <w:noProof/>
            <w:webHidden/>
          </w:rPr>
          <w:tab/>
        </w:r>
        <w:r>
          <w:rPr>
            <w:noProof/>
            <w:webHidden/>
          </w:rPr>
          <w:fldChar w:fldCharType="begin"/>
        </w:r>
        <w:r>
          <w:rPr>
            <w:noProof/>
            <w:webHidden/>
          </w:rPr>
          <w:instrText xml:space="preserve"> PAGEREF _Toc532996292 \h </w:instrText>
        </w:r>
        <w:r>
          <w:rPr>
            <w:noProof/>
            <w:webHidden/>
          </w:rPr>
        </w:r>
        <w:r>
          <w:rPr>
            <w:noProof/>
            <w:webHidden/>
          </w:rPr>
          <w:fldChar w:fldCharType="separate"/>
        </w:r>
        <w:r w:rsidR="00A65A9C">
          <w:rPr>
            <w:noProof/>
            <w:webHidden/>
          </w:rPr>
          <w:t>28</w:t>
        </w:r>
        <w:r>
          <w:rPr>
            <w:noProof/>
            <w:webHidden/>
          </w:rPr>
          <w:fldChar w:fldCharType="end"/>
        </w:r>
      </w:hyperlink>
    </w:p>
    <w:p w14:paraId="3DA9567B" w14:textId="75FA2283" w:rsidR="009D3D32" w:rsidRDefault="009D3D32">
      <w:pPr>
        <w:pStyle w:val="Verzeichnis1"/>
        <w:rPr>
          <w:rFonts w:asciiTheme="minorHAnsi" w:eastAsiaTheme="minorEastAsia" w:hAnsiTheme="minorHAnsi" w:cstheme="minorBidi"/>
          <w:b w:val="0"/>
          <w:sz w:val="22"/>
          <w:szCs w:val="22"/>
        </w:rPr>
      </w:pPr>
      <w:hyperlink w:anchor="_Toc532996293" w:history="1">
        <w:r w:rsidRPr="00A76983">
          <w:rPr>
            <w:rStyle w:val="Hyperlink"/>
            <w:lang w:val="fr-CH"/>
          </w:rPr>
          <w:t>5</w:t>
        </w:r>
        <w:r>
          <w:rPr>
            <w:rFonts w:asciiTheme="minorHAnsi" w:eastAsiaTheme="minorEastAsia" w:hAnsiTheme="minorHAnsi" w:cstheme="minorBidi"/>
            <w:b w:val="0"/>
            <w:sz w:val="22"/>
            <w:szCs w:val="22"/>
          </w:rPr>
          <w:tab/>
        </w:r>
        <w:r w:rsidRPr="00A76983">
          <w:rPr>
            <w:rStyle w:val="Hyperlink"/>
            <w:lang w:val="fr-CH"/>
          </w:rPr>
          <w:t>Application et mise en œuvre du Plan sectoriel</w:t>
        </w:r>
        <w:r>
          <w:rPr>
            <w:webHidden/>
          </w:rPr>
          <w:tab/>
        </w:r>
        <w:r>
          <w:rPr>
            <w:webHidden/>
          </w:rPr>
          <w:fldChar w:fldCharType="begin"/>
        </w:r>
        <w:r>
          <w:rPr>
            <w:webHidden/>
          </w:rPr>
          <w:instrText xml:space="preserve"> PAGEREF _Toc532996293 \h </w:instrText>
        </w:r>
        <w:r>
          <w:rPr>
            <w:webHidden/>
          </w:rPr>
        </w:r>
        <w:r>
          <w:rPr>
            <w:webHidden/>
          </w:rPr>
          <w:fldChar w:fldCharType="separate"/>
        </w:r>
        <w:r w:rsidR="00A65A9C">
          <w:rPr>
            <w:webHidden/>
          </w:rPr>
          <w:t>29</w:t>
        </w:r>
        <w:r>
          <w:rPr>
            <w:webHidden/>
          </w:rPr>
          <w:fldChar w:fldCharType="end"/>
        </w:r>
      </w:hyperlink>
    </w:p>
    <w:p w14:paraId="24677AE9" w14:textId="76EC1DC4" w:rsidR="009D3D32" w:rsidRDefault="009D3D32">
      <w:pPr>
        <w:pStyle w:val="Verzeichnis2"/>
        <w:rPr>
          <w:rFonts w:asciiTheme="minorHAnsi" w:eastAsiaTheme="minorEastAsia" w:hAnsiTheme="minorHAnsi" w:cstheme="minorBidi"/>
          <w:noProof/>
          <w:sz w:val="22"/>
          <w:szCs w:val="22"/>
        </w:rPr>
      </w:pPr>
      <w:hyperlink w:anchor="_Toc532996294" w:history="1">
        <w:r w:rsidRPr="00A76983">
          <w:rPr>
            <w:rStyle w:val="Hyperlink"/>
            <w:noProof/>
          </w:rPr>
          <w:t>5.1</w:t>
        </w:r>
        <w:r>
          <w:rPr>
            <w:rFonts w:asciiTheme="minorHAnsi" w:eastAsiaTheme="minorEastAsia" w:hAnsiTheme="minorHAnsi" w:cstheme="minorBidi"/>
            <w:noProof/>
            <w:sz w:val="22"/>
            <w:szCs w:val="22"/>
          </w:rPr>
          <w:tab/>
        </w:r>
        <w:r w:rsidRPr="00A76983">
          <w:rPr>
            <w:rStyle w:val="Hyperlink"/>
            <w:noProof/>
            <w:lang w:val="fr-CH"/>
          </w:rPr>
          <w:t>Pesée des intérêts</w:t>
        </w:r>
        <w:r>
          <w:rPr>
            <w:noProof/>
            <w:webHidden/>
          </w:rPr>
          <w:tab/>
        </w:r>
        <w:r>
          <w:rPr>
            <w:noProof/>
            <w:webHidden/>
          </w:rPr>
          <w:fldChar w:fldCharType="begin"/>
        </w:r>
        <w:r>
          <w:rPr>
            <w:noProof/>
            <w:webHidden/>
          </w:rPr>
          <w:instrText xml:space="preserve"> PAGEREF _Toc532996294 \h </w:instrText>
        </w:r>
        <w:r>
          <w:rPr>
            <w:noProof/>
            <w:webHidden/>
          </w:rPr>
        </w:r>
        <w:r>
          <w:rPr>
            <w:noProof/>
            <w:webHidden/>
          </w:rPr>
          <w:fldChar w:fldCharType="separate"/>
        </w:r>
        <w:r w:rsidR="00A65A9C">
          <w:rPr>
            <w:noProof/>
            <w:webHidden/>
          </w:rPr>
          <w:t>29</w:t>
        </w:r>
        <w:r>
          <w:rPr>
            <w:noProof/>
            <w:webHidden/>
          </w:rPr>
          <w:fldChar w:fldCharType="end"/>
        </w:r>
      </w:hyperlink>
    </w:p>
    <w:p w14:paraId="30E30866" w14:textId="1552E788" w:rsidR="009D3D32" w:rsidRDefault="009D3D32">
      <w:pPr>
        <w:pStyle w:val="Verzeichnis3"/>
        <w:rPr>
          <w:rFonts w:asciiTheme="minorHAnsi" w:eastAsiaTheme="minorEastAsia" w:hAnsiTheme="minorHAnsi" w:cstheme="minorBidi"/>
          <w:sz w:val="22"/>
          <w:szCs w:val="22"/>
        </w:rPr>
      </w:pPr>
      <w:hyperlink w:anchor="_Toc532996295" w:history="1">
        <w:r w:rsidRPr="00A76983">
          <w:rPr>
            <w:rStyle w:val="Hyperlink"/>
            <w:lang w:val="fr-CH"/>
          </w:rPr>
          <w:t>5.1.1</w:t>
        </w:r>
        <w:r>
          <w:rPr>
            <w:rFonts w:asciiTheme="minorHAnsi" w:eastAsiaTheme="minorEastAsia" w:hAnsiTheme="minorHAnsi" w:cstheme="minorBidi"/>
            <w:sz w:val="22"/>
            <w:szCs w:val="22"/>
          </w:rPr>
          <w:tab/>
        </w:r>
        <w:r w:rsidRPr="00A76983">
          <w:rPr>
            <w:rStyle w:val="Hyperlink"/>
            <w:lang w:val="fr-CH"/>
          </w:rPr>
          <w:t>La pesée des intérêts en général</w:t>
        </w:r>
        <w:r>
          <w:rPr>
            <w:webHidden/>
          </w:rPr>
          <w:tab/>
        </w:r>
        <w:r>
          <w:rPr>
            <w:webHidden/>
          </w:rPr>
          <w:fldChar w:fldCharType="begin"/>
        </w:r>
        <w:r>
          <w:rPr>
            <w:webHidden/>
          </w:rPr>
          <w:instrText xml:space="preserve"> PAGEREF _Toc532996295 \h </w:instrText>
        </w:r>
        <w:r>
          <w:rPr>
            <w:webHidden/>
          </w:rPr>
        </w:r>
        <w:r>
          <w:rPr>
            <w:webHidden/>
          </w:rPr>
          <w:fldChar w:fldCharType="separate"/>
        </w:r>
        <w:r w:rsidR="00A65A9C">
          <w:rPr>
            <w:webHidden/>
          </w:rPr>
          <w:t>29</w:t>
        </w:r>
        <w:r>
          <w:rPr>
            <w:webHidden/>
          </w:rPr>
          <w:fldChar w:fldCharType="end"/>
        </w:r>
      </w:hyperlink>
    </w:p>
    <w:p w14:paraId="5337FE6F" w14:textId="266B6F6A" w:rsidR="00694395" w:rsidRDefault="009D3D32">
      <w:pPr>
        <w:pStyle w:val="Verzeichnis3"/>
        <w:rPr>
          <w:rStyle w:val="Hyperlink"/>
          <w:lang w:val="fr-CH" w:eastAsia="en-US"/>
        </w:rPr>
      </w:pPr>
      <w:r w:rsidRPr="00A76983">
        <w:rPr>
          <w:rStyle w:val="Hyperlink"/>
        </w:rPr>
        <w:fldChar w:fldCharType="begin"/>
      </w:r>
      <w:r w:rsidRPr="00A76983">
        <w:rPr>
          <w:rStyle w:val="Hyperlink"/>
        </w:rPr>
        <w:instrText xml:space="preserve"> </w:instrText>
      </w:r>
      <w:r>
        <w:instrText>HYPERLINK \l "_Toc532996296"</w:instrText>
      </w:r>
      <w:r w:rsidRPr="00A76983">
        <w:rPr>
          <w:rStyle w:val="Hyperlink"/>
        </w:rPr>
        <w:instrText xml:space="preserve"> </w:instrText>
      </w:r>
      <w:r w:rsidRPr="00A76983">
        <w:rPr>
          <w:rStyle w:val="Hyperlink"/>
        </w:rPr>
      </w:r>
      <w:r w:rsidRPr="00A76983">
        <w:rPr>
          <w:rStyle w:val="Hyperlink"/>
        </w:rPr>
        <w:fldChar w:fldCharType="separate"/>
      </w:r>
      <w:r w:rsidRPr="00A76983">
        <w:rPr>
          <w:rStyle w:val="Hyperlink"/>
          <w:lang w:val="fr-CH" w:eastAsia="en-US"/>
        </w:rPr>
        <w:t>5.1.2</w:t>
      </w:r>
      <w:r>
        <w:rPr>
          <w:rFonts w:asciiTheme="minorHAnsi" w:eastAsiaTheme="minorEastAsia" w:hAnsiTheme="minorHAnsi" w:cstheme="minorBidi"/>
          <w:sz w:val="22"/>
          <w:szCs w:val="22"/>
        </w:rPr>
        <w:tab/>
      </w:r>
      <w:r w:rsidRPr="00A76983">
        <w:rPr>
          <w:rStyle w:val="Hyperlink"/>
          <w:lang w:val="fr-CH" w:eastAsia="en-US"/>
        </w:rPr>
        <w:t>Autres exigences en droit positif sur la protection des SDA lors des classements</w:t>
      </w:r>
      <w:r w:rsidR="00E43FD9">
        <w:rPr>
          <w:rStyle w:val="Hyperlink"/>
          <w:lang w:val="fr-CH" w:eastAsia="en-US"/>
        </w:rPr>
        <w:t xml:space="preserve"> </w:t>
      </w:r>
      <w:r w:rsidR="00694395">
        <w:rPr>
          <w:rStyle w:val="Hyperlink"/>
          <w:lang w:val="fr-CH" w:eastAsia="en-US"/>
        </w:rPr>
        <w:t>en</w:t>
      </w:r>
    </w:p>
    <w:p w14:paraId="10C5FD09" w14:textId="2C17E3E7" w:rsidR="009D3D32" w:rsidRDefault="00694395">
      <w:pPr>
        <w:pStyle w:val="Verzeichnis3"/>
        <w:rPr>
          <w:rFonts w:asciiTheme="minorHAnsi" w:eastAsiaTheme="minorEastAsia" w:hAnsiTheme="minorHAnsi" w:cstheme="minorBidi"/>
          <w:sz w:val="22"/>
          <w:szCs w:val="22"/>
        </w:rPr>
      </w:pPr>
      <w:r>
        <w:rPr>
          <w:rStyle w:val="Hyperlink"/>
          <w:lang w:val="fr-CH" w:eastAsia="en-US"/>
        </w:rPr>
        <w:tab/>
      </w:r>
      <w:r w:rsidR="009D3D32" w:rsidRPr="00A76983">
        <w:rPr>
          <w:rStyle w:val="Hyperlink"/>
          <w:lang w:val="fr-CH" w:eastAsia="en-US"/>
        </w:rPr>
        <w:t>zone à bâtir</w:t>
      </w:r>
      <w:r w:rsidR="009D3D32">
        <w:rPr>
          <w:webHidden/>
        </w:rPr>
        <w:tab/>
      </w:r>
      <w:r w:rsidR="009D3D32">
        <w:rPr>
          <w:webHidden/>
        </w:rPr>
        <w:fldChar w:fldCharType="begin"/>
      </w:r>
      <w:r w:rsidR="009D3D32">
        <w:rPr>
          <w:webHidden/>
        </w:rPr>
        <w:instrText xml:space="preserve"> PAGEREF _Toc532996296 \h </w:instrText>
      </w:r>
      <w:r w:rsidR="009D3D32">
        <w:rPr>
          <w:webHidden/>
        </w:rPr>
      </w:r>
      <w:r w:rsidR="009D3D32">
        <w:rPr>
          <w:webHidden/>
        </w:rPr>
        <w:fldChar w:fldCharType="separate"/>
      </w:r>
      <w:r w:rsidR="00A65A9C">
        <w:rPr>
          <w:webHidden/>
        </w:rPr>
        <w:t>29</w:t>
      </w:r>
      <w:r w:rsidR="009D3D32">
        <w:rPr>
          <w:webHidden/>
        </w:rPr>
        <w:fldChar w:fldCharType="end"/>
      </w:r>
      <w:r w:rsidR="009D3D32" w:rsidRPr="00A76983">
        <w:rPr>
          <w:rStyle w:val="Hyperlink"/>
        </w:rPr>
        <w:fldChar w:fldCharType="end"/>
      </w:r>
    </w:p>
    <w:p w14:paraId="1688FCCB" w14:textId="2350D256" w:rsidR="009D3D32" w:rsidRDefault="009D3D32">
      <w:pPr>
        <w:pStyle w:val="Verzeichnis3"/>
        <w:rPr>
          <w:rFonts w:asciiTheme="minorHAnsi" w:eastAsiaTheme="minorEastAsia" w:hAnsiTheme="minorHAnsi" w:cstheme="minorBidi"/>
          <w:sz w:val="22"/>
          <w:szCs w:val="22"/>
        </w:rPr>
      </w:pPr>
      <w:hyperlink w:anchor="_Toc532996297" w:history="1">
        <w:r w:rsidRPr="00A76983">
          <w:rPr>
            <w:rStyle w:val="Hyperlink"/>
            <w:lang w:val="fr-CH" w:eastAsia="en-US"/>
          </w:rPr>
          <w:t>5.1.3</w:t>
        </w:r>
        <w:r>
          <w:rPr>
            <w:rFonts w:asciiTheme="minorHAnsi" w:eastAsiaTheme="minorEastAsia" w:hAnsiTheme="minorHAnsi" w:cstheme="minorBidi"/>
            <w:sz w:val="22"/>
            <w:szCs w:val="22"/>
          </w:rPr>
          <w:tab/>
        </w:r>
        <w:r w:rsidRPr="00A76983">
          <w:rPr>
            <w:rStyle w:val="Hyperlink"/>
            <w:lang w:val="fr-CH" w:eastAsia="en-US"/>
          </w:rPr>
          <w:t>Autres exigences relatives à la protection des SDA</w:t>
        </w:r>
        <w:r>
          <w:rPr>
            <w:webHidden/>
          </w:rPr>
          <w:tab/>
        </w:r>
        <w:r>
          <w:rPr>
            <w:webHidden/>
          </w:rPr>
          <w:fldChar w:fldCharType="begin"/>
        </w:r>
        <w:r>
          <w:rPr>
            <w:webHidden/>
          </w:rPr>
          <w:instrText xml:space="preserve"> PAGEREF _Toc532996297 \h </w:instrText>
        </w:r>
        <w:r>
          <w:rPr>
            <w:webHidden/>
          </w:rPr>
        </w:r>
        <w:r>
          <w:rPr>
            <w:webHidden/>
          </w:rPr>
          <w:fldChar w:fldCharType="separate"/>
        </w:r>
        <w:r w:rsidR="00A65A9C">
          <w:rPr>
            <w:webHidden/>
          </w:rPr>
          <w:t>30</w:t>
        </w:r>
        <w:r>
          <w:rPr>
            <w:webHidden/>
          </w:rPr>
          <w:fldChar w:fldCharType="end"/>
        </w:r>
      </w:hyperlink>
    </w:p>
    <w:p w14:paraId="2056A5E7" w14:textId="53A6DF79" w:rsidR="009D3D32" w:rsidRDefault="009D3D32">
      <w:pPr>
        <w:pStyle w:val="Verzeichnis1"/>
        <w:rPr>
          <w:rFonts w:asciiTheme="minorHAnsi" w:eastAsiaTheme="minorEastAsia" w:hAnsiTheme="minorHAnsi" w:cstheme="minorBidi"/>
          <w:b w:val="0"/>
          <w:sz w:val="22"/>
          <w:szCs w:val="22"/>
        </w:rPr>
      </w:pPr>
      <w:hyperlink w:anchor="_Toc532996298" w:history="1">
        <w:r w:rsidRPr="00A76983">
          <w:rPr>
            <w:rStyle w:val="Hyperlink"/>
            <w:lang w:val="fr-CH"/>
          </w:rPr>
          <w:t>6</w:t>
        </w:r>
        <w:r>
          <w:rPr>
            <w:rFonts w:asciiTheme="minorHAnsi" w:eastAsiaTheme="minorEastAsia" w:hAnsiTheme="minorHAnsi" w:cstheme="minorBidi"/>
            <w:b w:val="0"/>
            <w:sz w:val="22"/>
            <w:szCs w:val="22"/>
          </w:rPr>
          <w:tab/>
        </w:r>
        <w:r w:rsidRPr="00A76983">
          <w:rPr>
            <w:rStyle w:val="Hyperlink"/>
            <w:lang w:val="fr-CH"/>
          </w:rPr>
          <w:t>Preuves justificatives</w:t>
        </w:r>
        <w:r>
          <w:rPr>
            <w:webHidden/>
          </w:rPr>
          <w:tab/>
        </w:r>
        <w:r>
          <w:rPr>
            <w:webHidden/>
          </w:rPr>
          <w:fldChar w:fldCharType="begin"/>
        </w:r>
        <w:r>
          <w:rPr>
            <w:webHidden/>
          </w:rPr>
          <w:instrText xml:space="preserve"> PAGEREF _Toc532996298 \h </w:instrText>
        </w:r>
        <w:r>
          <w:rPr>
            <w:webHidden/>
          </w:rPr>
        </w:r>
        <w:r>
          <w:rPr>
            <w:webHidden/>
          </w:rPr>
          <w:fldChar w:fldCharType="separate"/>
        </w:r>
        <w:r w:rsidR="00A65A9C">
          <w:rPr>
            <w:webHidden/>
          </w:rPr>
          <w:t>31</w:t>
        </w:r>
        <w:r>
          <w:rPr>
            <w:webHidden/>
          </w:rPr>
          <w:fldChar w:fldCharType="end"/>
        </w:r>
      </w:hyperlink>
    </w:p>
    <w:p w14:paraId="37276490" w14:textId="4F3176F9" w:rsidR="009D3D32" w:rsidRDefault="009D3D32">
      <w:pPr>
        <w:pStyle w:val="Verzeichnis2"/>
        <w:rPr>
          <w:rFonts w:asciiTheme="minorHAnsi" w:eastAsiaTheme="minorEastAsia" w:hAnsiTheme="minorHAnsi" w:cstheme="minorBidi"/>
          <w:noProof/>
          <w:sz w:val="22"/>
          <w:szCs w:val="22"/>
        </w:rPr>
      </w:pPr>
      <w:hyperlink w:anchor="_Toc532996299" w:history="1">
        <w:r w:rsidRPr="00A76983">
          <w:rPr>
            <w:rStyle w:val="Hyperlink"/>
            <w:noProof/>
            <w:lang w:val="fr-CH"/>
          </w:rPr>
          <w:t>6.1</w:t>
        </w:r>
        <w:r>
          <w:rPr>
            <w:rFonts w:asciiTheme="minorHAnsi" w:eastAsiaTheme="minorEastAsia" w:hAnsiTheme="minorHAnsi" w:cstheme="minorBidi"/>
            <w:noProof/>
            <w:sz w:val="22"/>
            <w:szCs w:val="22"/>
          </w:rPr>
          <w:tab/>
        </w:r>
        <w:r w:rsidRPr="00A76983">
          <w:rPr>
            <w:rStyle w:val="Hyperlink"/>
            <w:noProof/>
            <w:lang w:val="fr-CH"/>
          </w:rPr>
          <w:t>Examen selon les art. 17 et 21 OAT</w:t>
        </w:r>
        <w:r>
          <w:rPr>
            <w:noProof/>
            <w:webHidden/>
          </w:rPr>
          <w:tab/>
        </w:r>
        <w:r>
          <w:rPr>
            <w:noProof/>
            <w:webHidden/>
          </w:rPr>
          <w:fldChar w:fldCharType="begin"/>
        </w:r>
        <w:r>
          <w:rPr>
            <w:noProof/>
            <w:webHidden/>
          </w:rPr>
          <w:instrText xml:space="preserve"> PAGEREF _Toc532996299 \h </w:instrText>
        </w:r>
        <w:r>
          <w:rPr>
            <w:noProof/>
            <w:webHidden/>
          </w:rPr>
        </w:r>
        <w:r>
          <w:rPr>
            <w:noProof/>
            <w:webHidden/>
          </w:rPr>
          <w:fldChar w:fldCharType="separate"/>
        </w:r>
        <w:r w:rsidR="00A65A9C">
          <w:rPr>
            <w:noProof/>
            <w:webHidden/>
          </w:rPr>
          <w:t>31</w:t>
        </w:r>
        <w:r>
          <w:rPr>
            <w:noProof/>
            <w:webHidden/>
          </w:rPr>
          <w:fldChar w:fldCharType="end"/>
        </w:r>
      </w:hyperlink>
    </w:p>
    <w:p w14:paraId="7D49B363" w14:textId="2A30A0E7" w:rsidR="009D3D32" w:rsidRDefault="009D3D32">
      <w:pPr>
        <w:pStyle w:val="Verzeichnis3"/>
        <w:rPr>
          <w:rFonts w:asciiTheme="minorHAnsi" w:eastAsiaTheme="minorEastAsia" w:hAnsiTheme="minorHAnsi" w:cstheme="minorBidi"/>
          <w:sz w:val="22"/>
          <w:szCs w:val="22"/>
        </w:rPr>
      </w:pPr>
      <w:hyperlink w:anchor="_Toc532996300" w:history="1">
        <w:r w:rsidRPr="00A76983">
          <w:rPr>
            <w:rStyle w:val="Hyperlink"/>
            <w:lang w:val="fr-CH"/>
          </w:rPr>
          <w:t>6.1.1</w:t>
        </w:r>
        <w:r>
          <w:rPr>
            <w:rFonts w:asciiTheme="minorHAnsi" w:eastAsiaTheme="minorEastAsia" w:hAnsiTheme="minorHAnsi" w:cstheme="minorBidi"/>
            <w:sz w:val="22"/>
            <w:szCs w:val="22"/>
          </w:rPr>
          <w:tab/>
        </w:r>
        <w:r w:rsidRPr="00A76983">
          <w:rPr>
            <w:rStyle w:val="Hyperlink"/>
            <w:lang w:val="fr-CH"/>
          </w:rPr>
          <w:t>Exigences de contenu</w:t>
        </w:r>
        <w:r>
          <w:rPr>
            <w:webHidden/>
          </w:rPr>
          <w:tab/>
        </w:r>
        <w:r>
          <w:rPr>
            <w:webHidden/>
          </w:rPr>
          <w:fldChar w:fldCharType="begin"/>
        </w:r>
        <w:r>
          <w:rPr>
            <w:webHidden/>
          </w:rPr>
          <w:instrText xml:space="preserve"> PAGEREF _Toc532996300 \h </w:instrText>
        </w:r>
        <w:r>
          <w:rPr>
            <w:webHidden/>
          </w:rPr>
        </w:r>
        <w:r>
          <w:rPr>
            <w:webHidden/>
          </w:rPr>
          <w:fldChar w:fldCharType="separate"/>
        </w:r>
        <w:r w:rsidR="00A65A9C">
          <w:rPr>
            <w:webHidden/>
          </w:rPr>
          <w:t>31</w:t>
        </w:r>
        <w:r>
          <w:rPr>
            <w:webHidden/>
          </w:rPr>
          <w:fldChar w:fldCharType="end"/>
        </w:r>
      </w:hyperlink>
    </w:p>
    <w:p w14:paraId="0F73DD52" w14:textId="6D59FF68" w:rsidR="009D3D32" w:rsidRDefault="009D3D32">
      <w:pPr>
        <w:pStyle w:val="Verzeichnis3"/>
        <w:rPr>
          <w:rFonts w:asciiTheme="minorHAnsi" w:eastAsiaTheme="minorEastAsia" w:hAnsiTheme="minorHAnsi" w:cstheme="minorBidi"/>
          <w:sz w:val="22"/>
          <w:szCs w:val="22"/>
        </w:rPr>
      </w:pPr>
      <w:hyperlink w:anchor="_Toc532996301" w:history="1">
        <w:r w:rsidRPr="00A76983">
          <w:rPr>
            <w:rStyle w:val="Hyperlink"/>
            <w:lang w:val="fr-CH"/>
          </w:rPr>
          <w:t>6.1.2</w:t>
        </w:r>
        <w:r>
          <w:rPr>
            <w:rFonts w:asciiTheme="minorHAnsi" w:eastAsiaTheme="minorEastAsia" w:hAnsiTheme="minorHAnsi" w:cstheme="minorBidi"/>
            <w:sz w:val="22"/>
            <w:szCs w:val="22"/>
          </w:rPr>
          <w:tab/>
        </w:r>
        <w:r w:rsidRPr="00A76983">
          <w:rPr>
            <w:rStyle w:val="Hyperlink"/>
            <w:lang w:val="fr-CH"/>
          </w:rPr>
          <w:t>Compatibilité avec d’autres planifications de la Confédération et des cantons</w:t>
        </w:r>
        <w:r>
          <w:rPr>
            <w:webHidden/>
          </w:rPr>
          <w:tab/>
        </w:r>
        <w:r>
          <w:rPr>
            <w:webHidden/>
          </w:rPr>
          <w:fldChar w:fldCharType="begin"/>
        </w:r>
        <w:r>
          <w:rPr>
            <w:webHidden/>
          </w:rPr>
          <w:instrText xml:space="preserve"> PAGEREF _Toc532996301 \h </w:instrText>
        </w:r>
        <w:r>
          <w:rPr>
            <w:webHidden/>
          </w:rPr>
        </w:r>
        <w:r>
          <w:rPr>
            <w:webHidden/>
          </w:rPr>
          <w:fldChar w:fldCharType="separate"/>
        </w:r>
        <w:r w:rsidR="00A65A9C">
          <w:rPr>
            <w:webHidden/>
          </w:rPr>
          <w:t>31</w:t>
        </w:r>
        <w:r>
          <w:rPr>
            <w:webHidden/>
          </w:rPr>
          <w:fldChar w:fldCharType="end"/>
        </w:r>
      </w:hyperlink>
    </w:p>
    <w:p w14:paraId="6AFE4C1B" w14:textId="3C0A220F" w:rsidR="009D3D32" w:rsidRDefault="009D3D32">
      <w:pPr>
        <w:pStyle w:val="Verzeichnis3"/>
        <w:rPr>
          <w:rFonts w:asciiTheme="minorHAnsi" w:eastAsiaTheme="minorEastAsia" w:hAnsiTheme="minorHAnsi" w:cstheme="minorBidi"/>
          <w:sz w:val="22"/>
          <w:szCs w:val="22"/>
        </w:rPr>
      </w:pPr>
      <w:hyperlink w:anchor="_Toc532996302" w:history="1">
        <w:r w:rsidRPr="00A76983">
          <w:rPr>
            <w:rStyle w:val="Hyperlink"/>
            <w:lang w:val="fr-CH"/>
          </w:rPr>
          <w:t>6.1.3</w:t>
        </w:r>
        <w:r>
          <w:rPr>
            <w:rFonts w:asciiTheme="minorHAnsi" w:eastAsiaTheme="minorEastAsia" w:hAnsiTheme="minorHAnsi" w:cstheme="minorBidi"/>
            <w:sz w:val="22"/>
            <w:szCs w:val="22"/>
          </w:rPr>
          <w:tab/>
        </w:r>
        <w:r w:rsidRPr="00A76983">
          <w:rPr>
            <w:rStyle w:val="Hyperlink"/>
            <w:lang w:val="fr-CH"/>
          </w:rPr>
          <w:t>Compatibilité avec le Projet de territoire Suisse</w:t>
        </w:r>
        <w:r>
          <w:rPr>
            <w:webHidden/>
          </w:rPr>
          <w:tab/>
        </w:r>
        <w:r>
          <w:rPr>
            <w:webHidden/>
          </w:rPr>
          <w:fldChar w:fldCharType="begin"/>
        </w:r>
        <w:r>
          <w:rPr>
            <w:webHidden/>
          </w:rPr>
          <w:instrText xml:space="preserve"> PAGEREF _Toc532996302 \h </w:instrText>
        </w:r>
        <w:r>
          <w:rPr>
            <w:webHidden/>
          </w:rPr>
        </w:r>
        <w:r>
          <w:rPr>
            <w:webHidden/>
          </w:rPr>
          <w:fldChar w:fldCharType="separate"/>
        </w:r>
        <w:r w:rsidR="00A65A9C">
          <w:rPr>
            <w:webHidden/>
          </w:rPr>
          <w:t>32</w:t>
        </w:r>
        <w:r>
          <w:rPr>
            <w:webHidden/>
          </w:rPr>
          <w:fldChar w:fldCharType="end"/>
        </w:r>
      </w:hyperlink>
    </w:p>
    <w:p w14:paraId="38BAA64A" w14:textId="2A55CFB0" w:rsidR="009D3D32" w:rsidRDefault="009D3D32">
      <w:pPr>
        <w:pStyle w:val="Verzeichnis3"/>
        <w:rPr>
          <w:rFonts w:asciiTheme="minorHAnsi" w:eastAsiaTheme="minorEastAsia" w:hAnsiTheme="minorHAnsi" w:cstheme="minorBidi"/>
          <w:sz w:val="22"/>
          <w:szCs w:val="22"/>
        </w:rPr>
      </w:pPr>
      <w:hyperlink w:anchor="_Toc532996303" w:history="1">
        <w:r w:rsidRPr="00A76983">
          <w:rPr>
            <w:rStyle w:val="Hyperlink"/>
            <w:lang w:val="fr-CH"/>
          </w:rPr>
          <w:t>6.1.4</w:t>
        </w:r>
        <w:r>
          <w:rPr>
            <w:rFonts w:asciiTheme="minorHAnsi" w:eastAsiaTheme="minorEastAsia" w:hAnsiTheme="minorHAnsi" w:cstheme="minorBidi"/>
            <w:sz w:val="22"/>
            <w:szCs w:val="22"/>
          </w:rPr>
          <w:tab/>
        </w:r>
        <w:r w:rsidRPr="00A76983">
          <w:rPr>
            <w:rStyle w:val="Hyperlink"/>
            <w:lang w:val="fr-CH"/>
          </w:rPr>
          <w:t>Exigences de procédure</w:t>
        </w:r>
        <w:r>
          <w:rPr>
            <w:webHidden/>
          </w:rPr>
          <w:tab/>
        </w:r>
        <w:r>
          <w:rPr>
            <w:webHidden/>
          </w:rPr>
          <w:fldChar w:fldCharType="begin"/>
        </w:r>
        <w:r>
          <w:rPr>
            <w:webHidden/>
          </w:rPr>
          <w:instrText xml:space="preserve"> PAGEREF _Toc532996303 \h </w:instrText>
        </w:r>
        <w:r>
          <w:rPr>
            <w:webHidden/>
          </w:rPr>
        </w:r>
        <w:r>
          <w:rPr>
            <w:webHidden/>
          </w:rPr>
          <w:fldChar w:fldCharType="separate"/>
        </w:r>
        <w:r w:rsidR="00A65A9C">
          <w:rPr>
            <w:webHidden/>
          </w:rPr>
          <w:t>32</w:t>
        </w:r>
        <w:r>
          <w:rPr>
            <w:webHidden/>
          </w:rPr>
          <w:fldChar w:fldCharType="end"/>
        </w:r>
      </w:hyperlink>
    </w:p>
    <w:p w14:paraId="6B8A2FBC" w14:textId="4DE2DBB6" w:rsidR="009D3D32" w:rsidRDefault="009D3D32">
      <w:pPr>
        <w:pStyle w:val="Verzeichnis3"/>
        <w:rPr>
          <w:rFonts w:asciiTheme="minorHAnsi" w:eastAsiaTheme="minorEastAsia" w:hAnsiTheme="minorHAnsi" w:cstheme="minorBidi"/>
          <w:sz w:val="22"/>
          <w:szCs w:val="22"/>
        </w:rPr>
      </w:pPr>
      <w:hyperlink w:anchor="_Toc532996304" w:history="1">
        <w:r w:rsidRPr="00A76983">
          <w:rPr>
            <w:rStyle w:val="Hyperlink"/>
            <w:lang w:val="fr-CH"/>
          </w:rPr>
          <w:t>6.1.5</w:t>
        </w:r>
        <w:r>
          <w:rPr>
            <w:rFonts w:asciiTheme="minorHAnsi" w:eastAsiaTheme="minorEastAsia" w:hAnsiTheme="minorHAnsi" w:cstheme="minorBidi"/>
            <w:sz w:val="22"/>
            <w:szCs w:val="22"/>
          </w:rPr>
          <w:tab/>
        </w:r>
        <w:r w:rsidRPr="00A76983">
          <w:rPr>
            <w:rStyle w:val="Hyperlink"/>
            <w:lang w:val="fr-CH"/>
          </w:rPr>
          <w:t>Exigences de forme</w:t>
        </w:r>
        <w:r>
          <w:rPr>
            <w:webHidden/>
          </w:rPr>
          <w:tab/>
        </w:r>
        <w:r>
          <w:rPr>
            <w:webHidden/>
          </w:rPr>
          <w:fldChar w:fldCharType="begin"/>
        </w:r>
        <w:r>
          <w:rPr>
            <w:webHidden/>
          </w:rPr>
          <w:instrText xml:space="preserve"> PAGEREF _Toc532996304 \h </w:instrText>
        </w:r>
        <w:r>
          <w:rPr>
            <w:webHidden/>
          </w:rPr>
        </w:r>
        <w:r>
          <w:rPr>
            <w:webHidden/>
          </w:rPr>
          <w:fldChar w:fldCharType="separate"/>
        </w:r>
        <w:r w:rsidR="00A65A9C">
          <w:rPr>
            <w:webHidden/>
          </w:rPr>
          <w:t>33</w:t>
        </w:r>
        <w:r>
          <w:rPr>
            <w:webHidden/>
          </w:rPr>
          <w:fldChar w:fldCharType="end"/>
        </w:r>
      </w:hyperlink>
    </w:p>
    <w:p w14:paraId="2F562ABF" w14:textId="78B815CE" w:rsidR="009D3D32" w:rsidRDefault="009D3D32">
      <w:pPr>
        <w:pStyle w:val="Verzeichnis2"/>
        <w:rPr>
          <w:rFonts w:asciiTheme="minorHAnsi" w:eastAsiaTheme="minorEastAsia" w:hAnsiTheme="minorHAnsi" w:cstheme="minorBidi"/>
          <w:noProof/>
          <w:sz w:val="22"/>
          <w:szCs w:val="22"/>
        </w:rPr>
      </w:pPr>
      <w:hyperlink w:anchor="_Toc532996305" w:history="1">
        <w:r w:rsidRPr="00A76983">
          <w:rPr>
            <w:rStyle w:val="Hyperlink"/>
            <w:noProof/>
            <w:lang w:val="fr-CH"/>
          </w:rPr>
          <w:t>6.2</w:t>
        </w:r>
        <w:r>
          <w:rPr>
            <w:rFonts w:asciiTheme="minorHAnsi" w:eastAsiaTheme="minorEastAsia" w:hAnsiTheme="minorHAnsi" w:cstheme="minorBidi"/>
            <w:noProof/>
            <w:sz w:val="22"/>
            <w:szCs w:val="22"/>
          </w:rPr>
          <w:tab/>
        </w:r>
        <w:r w:rsidRPr="00A76983">
          <w:rPr>
            <w:rStyle w:val="Hyperlink"/>
            <w:noProof/>
            <w:lang w:val="fr-CH"/>
          </w:rPr>
          <w:t>Compatibilité avec la Stratégie pour le développement durable de la Confédération</w:t>
        </w:r>
        <w:r>
          <w:rPr>
            <w:noProof/>
            <w:webHidden/>
          </w:rPr>
          <w:tab/>
        </w:r>
        <w:r>
          <w:rPr>
            <w:noProof/>
            <w:webHidden/>
          </w:rPr>
          <w:fldChar w:fldCharType="begin"/>
        </w:r>
        <w:r>
          <w:rPr>
            <w:noProof/>
            <w:webHidden/>
          </w:rPr>
          <w:instrText xml:space="preserve"> PAGEREF _Toc532996305 \h </w:instrText>
        </w:r>
        <w:r>
          <w:rPr>
            <w:noProof/>
            <w:webHidden/>
          </w:rPr>
        </w:r>
        <w:r>
          <w:rPr>
            <w:noProof/>
            <w:webHidden/>
          </w:rPr>
          <w:fldChar w:fldCharType="separate"/>
        </w:r>
        <w:r w:rsidR="00A65A9C">
          <w:rPr>
            <w:noProof/>
            <w:webHidden/>
          </w:rPr>
          <w:t>33</w:t>
        </w:r>
        <w:r>
          <w:rPr>
            <w:noProof/>
            <w:webHidden/>
          </w:rPr>
          <w:fldChar w:fldCharType="end"/>
        </w:r>
      </w:hyperlink>
    </w:p>
    <w:p w14:paraId="17B2A726" w14:textId="58610E89" w:rsidR="009D3D32" w:rsidRDefault="009D3D32">
      <w:pPr>
        <w:pStyle w:val="Verzeichnis1"/>
        <w:rPr>
          <w:rFonts w:asciiTheme="minorHAnsi" w:eastAsiaTheme="minorEastAsia" w:hAnsiTheme="minorHAnsi" w:cstheme="minorBidi"/>
          <w:b w:val="0"/>
          <w:sz w:val="22"/>
          <w:szCs w:val="22"/>
        </w:rPr>
      </w:pPr>
      <w:hyperlink w:anchor="_Toc532996306" w:history="1">
        <w:r w:rsidRPr="00A76983">
          <w:rPr>
            <w:rStyle w:val="Hyperlink"/>
            <w:lang w:val="fr-CH"/>
          </w:rPr>
          <w:t>7</w:t>
        </w:r>
        <w:r>
          <w:rPr>
            <w:rFonts w:asciiTheme="minorHAnsi" w:eastAsiaTheme="minorEastAsia" w:hAnsiTheme="minorHAnsi" w:cstheme="minorBidi"/>
            <w:b w:val="0"/>
            <w:sz w:val="22"/>
            <w:szCs w:val="22"/>
          </w:rPr>
          <w:tab/>
        </w:r>
        <w:r w:rsidRPr="00A76983">
          <w:rPr>
            <w:rStyle w:val="Hyperlink"/>
            <w:lang w:val="fr-CH"/>
          </w:rPr>
          <w:t>Bases légales au niveau fédéral</w:t>
        </w:r>
        <w:r>
          <w:rPr>
            <w:webHidden/>
          </w:rPr>
          <w:tab/>
        </w:r>
        <w:r>
          <w:rPr>
            <w:webHidden/>
          </w:rPr>
          <w:fldChar w:fldCharType="begin"/>
        </w:r>
        <w:r>
          <w:rPr>
            <w:webHidden/>
          </w:rPr>
          <w:instrText xml:space="preserve"> PAGEREF _Toc532996306 \h </w:instrText>
        </w:r>
        <w:r>
          <w:rPr>
            <w:webHidden/>
          </w:rPr>
        </w:r>
        <w:r>
          <w:rPr>
            <w:webHidden/>
          </w:rPr>
          <w:fldChar w:fldCharType="separate"/>
        </w:r>
        <w:r w:rsidR="00A65A9C">
          <w:rPr>
            <w:webHidden/>
          </w:rPr>
          <w:t>34</w:t>
        </w:r>
        <w:r>
          <w:rPr>
            <w:webHidden/>
          </w:rPr>
          <w:fldChar w:fldCharType="end"/>
        </w:r>
      </w:hyperlink>
    </w:p>
    <w:p w14:paraId="7725E916" w14:textId="40D64141" w:rsidR="006D3F32" w:rsidRPr="00572D0C" w:rsidRDefault="00474F55" w:rsidP="006C4DEF">
      <w:pPr>
        <w:pStyle w:val="Verzeichnis2"/>
        <w:rPr>
          <w:lang w:val="fr-CH"/>
        </w:rPr>
      </w:pPr>
      <w:r>
        <w:rPr>
          <w:b/>
          <w:noProof/>
          <w:lang w:val="fr-CH"/>
        </w:rPr>
        <w:fldChar w:fldCharType="end"/>
      </w:r>
      <w:r w:rsidR="00A41C94" w:rsidRPr="00572D0C">
        <w:rPr>
          <w:lang w:val="fr-CH"/>
        </w:rPr>
        <w:br w:type="page"/>
      </w:r>
      <w:bookmarkEnd w:id="6"/>
    </w:p>
    <w:p w14:paraId="74015A7B" w14:textId="716E17B1" w:rsidR="00CD6A04" w:rsidRPr="00572D0C" w:rsidRDefault="00441F03" w:rsidP="006D3F32">
      <w:pPr>
        <w:pStyle w:val="berschrift1"/>
        <w:rPr>
          <w:lang w:val="fr-CH"/>
        </w:rPr>
      </w:pPr>
      <w:bookmarkStart w:id="12" w:name="_Toc523813314"/>
      <w:bookmarkStart w:id="13" w:name="_Toc525022614"/>
      <w:bookmarkStart w:id="14" w:name="_Toc526946703"/>
      <w:bookmarkStart w:id="15" w:name="_Toc531192985"/>
      <w:bookmarkStart w:id="16" w:name="_Toc532996275"/>
      <w:r>
        <w:rPr>
          <w:lang w:val="fr-CH"/>
        </w:rPr>
        <w:lastRenderedPageBreak/>
        <w:t>Contexte</w:t>
      </w:r>
      <w:r w:rsidR="003C6D24" w:rsidRPr="00572D0C">
        <w:rPr>
          <w:lang w:val="fr-CH"/>
        </w:rPr>
        <w:t xml:space="preserve"> </w:t>
      </w:r>
      <w:r>
        <w:rPr>
          <w:lang w:val="fr-CH"/>
        </w:rPr>
        <w:t>et déroulement</w:t>
      </w:r>
      <w:r w:rsidR="003C6D24" w:rsidRPr="00572D0C">
        <w:rPr>
          <w:lang w:val="fr-CH"/>
        </w:rPr>
        <w:t xml:space="preserve"> d</w:t>
      </w:r>
      <w:bookmarkEnd w:id="12"/>
      <w:bookmarkEnd w:id="13"/>
      <w:bookmarkEnd w:id="14"/>
      <w:r w:rsidR="005A3CAA">
        <w:rPr>
          <w:lang w:val="fr-CH"/>
        </w:rPr>
        <w:t>u remaniement du P</w:t>
      </w:r>
      <w:r>
        <w:rPr>
          <w:lang w:val="fr-CH"/>
        </w:rPr>
        <w:t>lan sectoriel</w:t>
      </w:r>
      <w:bookmarkEnd w:id="15"/>
      <w:bookmarkEnd w:id="16"/>
    </w:p>
    <w:p w14:paraId="26DEAEF7" w14:textId="7848C508" w:rsidR="003C6D24" w:rsidRPr="002313E3" w:rsidRDefault="00441F03" w:rsidP="00501D1D">
      <w:pPr>
        <w:pStyle w:val="berschrift2"/>
        <w:rPr>
          <w:lang w:val="fr-CH"/>
        </w:rPr>
      </w:pPr>
      <w:bookmarkStart w:id="17" w:name="_Toc523813315"/>
      <w:bookmarkStart w:id="18" w:name="_Toc525022615"/>
      <w:bookmarkStart w:id="19" w:name="_Toc526946704"/>
      <w:bookmarkStart w:id="20" w:name="_Toc531192986"/>
      <w:bookmarkStart w:id="21" w:name="_Toc532996276"/>
      <w:r w:rsidRPr="002313E3">
        <w:rPr>
          <w:lang w:val="fr-CH"/>
        </w:rPr>
        <w:t xml:space="preserve">Contexte des travaux de remaniement du </w:t>
      </w:r>
      <w:r w:rsidR="005A3CAA">
        <w:rPr>
          <w:lang w:val="fr-CH"/>
        </w:rPr>
        <w:t>P</w:t>
      </w:r>
      <w:r w:rsidRPr="002313E3">
        <w:rPr>
          <w:lang w:val="fr-CH"/>
        </w:rPr>
        <w:t>lan sec</w:t>
      </w:r>
      <w:bookmarkEnd w:id="17"/>
      <w:bookmarkEnd w:id="18"/>
      <w:bookmarkEnd w:id="19"/>
      <w:r w:rsidRPr="002313E3">
        <w:rPr>
          <w:lang w:val="fr-CH"/>
        </w:rPr>
        <w:t>toriel</w:t>
      </w:r>
      <w:bookmarkEnd w:id="20"/>
      <w:bookmarkEnd w:id="21"/>
    </w:p>
    <w:p w14:paraId="1E163084" w14:textId="3D1EE559" w:rsidR="00FE34CE" w:rsidRPr="00572D0C" w:rsidRDefault="0057681D" w:rsidP="147A5F7B">
      <w:pPr>
        <w:rPr>
          <w:lang w:val="fr-CH"/>
        </w:rPr>
      </w:pPr>
      <w:r>
        <w:rPr>
          <w:lang w:val="fr-CH"/>
        </w:rPr>
        <w:t xml:space="preserve">Selon l’article 30 de la loi fédérale du 17 juin 2016 sur l’approvisionnement économique du pays (LAP ; RS 531), </w:t>
      </w:r>
      <w:r w:rsidR="00993FEB">
        <w:rPr>
          <w:lang w:val="fr-CH"/>
        </w:rPr>
        <w:t>la Confédération veille, notamment par des mesures d’aménagement du territoire, à</w:t>
      </w:r>
      <w:r>
        <w:rPr>
          <w:lang w:val="fr-CH"/>
        </w:rPr>
        <w:t xml:space="preserve"> maintenir suffisamment de bonnes terres cultivables, en particulier les surfaces d’assolement, afin d’assurer une base d’approvisionnement suffisante dans le pa</w:t>
      </w:r>
      <w:r w:rsidR="005A3CAA">
        <w:rPr>
          <w:lang w:val="fr-CH"/>
        </w:rPr>
        <w:t>ys en cas de pénurie grave. Le P</w:t>
      </w:r>
      <w:r>
        <w:rPr>
          <w:lang w:val="fr-CH"/>
        </w:rPr>
        <w:t>lan sectoriel des surfaces d’assolement (SDA)</w:t>
      </w:r>
      <w:r w:rsidR="00DA46CD">
        <w:rPr>
          <w:lang w:val="fr-CH"/>
        </w:rPr>
        <w:t xml:space="preserve"> </w:t>
      </w:r>
      <w:r>
        <w:rPr>
          <w:lang w:val="fr-CH"/>
        </w:rPr>
        <w:t xml:space="preserve">en vigueur depuis 1992 fournit une contribution importante à la réalisation de cet objectif. </w:t>
      </w:r>
      <w:r w:rsidR="005A3CAA">
        <w:rPr>
          <w:lang w:val="fr-CH"/>
        </w:rPr>
        <w:t>Les dispositions relatives au P</w:t>
      </w:r>
      <w:r w:rsidR="00DA46CD">
        <w:rPr>
          <w:lang w:val="fr-CH"/>
        </w:rPr>
        <w:t xml:space="preserve">lan sectoriel SDA figurent principalement dans </w:t>
      </w:r>
      <w:r w:rsidR="00E66FAD">
        <w:rPr>
          <w:lang w:val="fr-CH"/>
        </w:rPr>
        <w:t xml:space="preserve">la loi </w:t>
      </w:r>
      <w:r>
        <w:rPr>
          <w:lang w:val="fr-CH"/>
        </w:rPr>
        <w:t xml:space="preserve">fédérale du 22 juin 1979 </w:t>
      </w:r>
      <w:r w:rsidR="00E66FAD">
        <w:rPr>
          <w:lang w:val="fr-CH"/>
        </w:rPr>
        <w:t>sur l’aménagement du territoire</w:t>
      </w:r>
      <w:r w:rsidR="147A5F7B" w:rsidRPr="00572D0C">
        <w:rPr>
          <w:lang w:val="fr-CH"/>
        </w:rPr>
        <w:t xml:space="preserve"> </w:t>
      </w:r>
      <w:r w:rsidR="00360F6A" w:rsidRPr="00572D0C">
        <w:rPr>
          <w:lang w:val="fr-CH"/>
        </w:rPr>
        <w:t>(</w:t>
      </w:r>
      <w:r w:rsidR="00E66FAD">
        <w:rPr>
          <w:lang w:val="fr-CH"/>
        </w:rPr>
        <w:t>LAT</w:t>
      </w:r>
      <w:r>
        <w:rPr>
          <w:lang w:val="fr-CH"/>
        </w:rPr>
        <w:t> ; RS 700</w:t>
      </w:r>
      <w:r w:rsidR="00360F6A" w:rsidRPr="00572D0C">
        <w:rPr>
          <w:lang w:val="fr-CH"/>
        </w:rPr>
        <w:t xml:space="preserve">). </w:t>
      </w:r>
      <w:r w:rsidR="00E66FAD">
        <w:rPr>
          <w:lang w:val="fr-CH"/>
        </w:rPr>
        <w:t>La première étape de la révision de la LAT</w:t>
      </w:r>
      <w:r w:rsidR="147A5F7B" w:rsidRPr="00572D0C">
        <w:rPr>
          <w:lang w:val="fr-CH"/>
        </w:rPr>
        <w:t xml:space="preserve"> (</w:t>
      </w:r>
      <w:r w:rsidR="00E66FAD">
        <w:rPr>
          <w:lang w:val="fr-CH"/>
        </w:rPr>
        <w:t>LAT</w:t>
      </w:r>
      <w:r w:rsidR="147A5F7B" w:rsidRPr="00572D0C">
        <w:rPr>
          <w:lang w:val="fr-CH"/>
        </w:rPr>
        <w:t xml:space="preserve"> 1) </w:t>
      </w:r>
      <w:r w:rsidR="00E66FAD">
        <w:rPr>
          <w:lang w:val="fr-CH"/>
        </w:rPr>
        <w:t>est entrée en vigueur le 1</w:t>
      </w:r>
      <w:r w:rsidR="00E66FAD" w:rsidRPr="00E66FAD">
        <w:rPr>
          <w:vertAlign w:val="superscript"/>
          <w:lang w:val="fr-CH"/>
        </w:rPr>
        <w:t>er</w:t>
      </w:r>
      <w:r w:rsidR="00E66FAD">
        <w:rPr>
          <w:lang w:val="fr-CH"/>
        </w:rPr>
        <w:t xml:space="preserve"> m</w:t>
      </w:r>
      <w:r w:rsidR="147A5F7B" w:rsidRPr="00572D0C">
        <w:rPr>
          <w:lang w:val="fr-CH"/>
        </w:rPr>
        <w:t>ai 2014</w:t>
      </w:r>
      <w:r w:rsidR="007C17CE" w:rsidRPr="00572D0C">
        <w:rPr>
          <w:lang w:val="fr-CH"/>
        </w:rPr>
        <w:t xml:space="preserve">. </w:t>
      </w:r>
      <w:r w:rsidR="00E66FAD">
        <w:rPr>
          <w:lang w:val="fr-CH"/>
        </w:rPr>
        <w:t>Elle vise en premier lieu une utilisation mesurée du sol, une limitation de l’extension des zones à bâtir et un développement de l’urbanisation à l’intérieur du milieu bâti</w:t>
      </w:r>
      <w:r w:rsidR="147A5F7B" w:rsidRPr="00572D0C">
        <w:rPr>
          <w:lang w:val="fr-CH"/>
        </w:rPr>
        <w:t xml:space="preserve">. </w:t>
      </w:r>
    </w:p>
    <w:p w14:paraId="1863D402" w14:textId="30EB2D0B" w:rsidR="00C07D8B" w:rsidRPr="00572D0C" w:rsidRDefault="00E66FAD" w:rsidP="00C07D8B">
      <w:pPr>
        <w:rPr>
          <w:lang w:val="fr-CH"/>
        </w:rPr>
      </w:pPr>
      <w:r>
        <w:rPr>
          <w:lang w:val="fr-CH"/>
        </w:rPr>
        <w:t>La première consultation sur la deuxième étape de la révision de la LAT</w:t>
      </w:r>
      <w:r w:rsidR="147A5F7B" w:rsidRPr="00572D0C">
        <w:rPr>
          <w:lang w:val="fr-CH"/>
        </w:rPr>
        <w:t xml:space="preserve"> (</w:t>
      </w:r>
      <w:r>
        <w:rPr>
          <w:lang w:val="fr-CH"/>
        </w:rPr>
        <w:t>LAT</w:t>
      </w:r>
      <w:r w:rsidR="147A5F7B" w:rsidRPr="00572D0C">
        <w:rPr>
          <w:lang w:val="fr-CH"/>
        </w:rPr>
        <w:t xml:space="preserve"> 2) </w:t>
      </w:r>
      <w:r>
        <w:rPr>
          <w:lang w:val="fr-CH"/>
        </w:rPr>
        <w:t>s’est achevée le 15 mai 2015</w:t>
      </w:r>
      <w:r w:rsidR="147A5F7B" w:rsidRPr="00572D0C">
        <w:rPr>
          <w:lang w:val="fr-CH"/>
        </w:rPr>
        <w:t xml:space="preserve">. </w:t>
      </w:r>
      <w:r>
        <w:rPr>
          <w:lang w:val="fr-CH"/>
        </w:rPr>
        <w:t>Au vu des résultats, le Conseil fédéral a décidé de dissocier les thèmes de la protection des surfaces agricoles et des SDA du projet de révision de la LAT</w:t>
      </w:r>
      <w:r w:rsidR="147A5F7B" w:rsidRPr="00572D0C">
        <w:rPr>
          <w:lang w:val="fr-CH"/>
        </w:rPr>
        <w:t xml:space="preserve">. </w:t>
      </w:r>
      <w:r>
        <w:rPr>
          <w:lang w:val="fr-CH"/>
        </w:rPr>
        <w:t xml:space="preserve">Il entendait ainsi mettre l’accent sur une révision et un renforcement du </w:t>
      </w:r>
      <w:r w:rsidR="005A3CAA">
        <w:rPr>
          <w:lang w:val="fr-CH"/>
        </w:rPr>
        <w:t>P</w:t>
      </w:r>
      <w:r>
        <w:rPr>
          <w:lang w:val="fr-CH"/>
        </w:rPr>
        <w:t xml:space="preserve">lan sectoriel SDA et des conditions-cadre nécessaires. Les travaux ont été menés sous la direction conjointe </w:t>
      </w:r>
      <w:r w:rsidR="0068157D">
        <w:rPr>
          <w:lang w:val="fr-CH"/>
        </w:rPr>
        <w:t>de l’</w:t>
      </w:r>
      <w:r w:rsidR="147A5F7B" w:rsidRPr="00572D0C">
        <w:rPr>
          <w:lang w:val="fr-CH"/>
        </w:rPr>
        <w:t xml:space="preserve">ARE </w:t>
      </w:r>
      <w:r w:rsidR="0068157D">
        <w:rPr>
          <w:lang w:val="fr-CH"/>
        </w:rPr>
        <w:t>et de l’OFAG en collaboration avec les cantons et d’autres offices fédéraux intéressés</w:t>
      </w:r>
      <w:r w:rsidR="147A5F7B" w:rsidRPr="00572D0C">
        <w:rPr>
          <w:lang w:val="fr-CH"/>
        </w:rPr>
        <w:t xml:space="preserve">. </w:t>
      </w:r>
    </w:p>
    <w:p w14:paraId="2B90081B" w14:textId="431880F3" w:rsidR="003C6D24" w:rsidRPr="002313E3" w:rsidRDefault="00EE6E7C" w:rsidP="00501D1D">
      <w:pPr>
        <w:pStyle w:val="berschrift2"/>
        <w:rPr>
          <w:lang w:val="fr-CH"/>
        </w:rPr>
      </w:pPr>
      <w:bookmarkStart w:id="22" w:name="_Toc523813316"/>
      <w:bookmarkStart w:id="23" w:name="_Toc525022616"/>
      <w:bookmarkStart w:id="24" w:name="_Toc526946705"/>
      <w:bookmarkStart w:id="25" w:name="_Toc531192987"/>
      <w:bookmarkStart w:id="26" w:name="_Toc532996277"/>
      <w:r w:rsidRPr="002313E3">
        <w:rPr>
          <w:lang w:val="fr-CH"/>
        </w:rPr>
        <w:t>Dérouleme</w:t>
      </w:r>
      <w:r w:rsidR="003C6D24" w:rsidRPr="002313E3">
        <w:rPr>
          <w:lang w:val="fr-CH"/>
        </w:rPr>
        <w:t>n</w:t>
      </w:r>
      <w:bookmarkEnd w:id="22"/>
      <w:bookmarkEnd w:id="23"/>
      <w:bookmarkEnd w:id="24"/>
      <w:r w:rsidRPr="002313E3">
        <w:rPr>
          <w:lang w:val="fr-CH"/>
        </w:rPr>
        <w:t>t des travaux</w:t>
      </w:r>
      <w:bookmarkEnd w:id="25"/>
      <w:bookmarkEnd w:id="26"/>
    </w:p>
    <w:p w14:paraId="33690C9F" w14:textId="7B7EE46C" w:rsidR="00C07D8B" w:rsidRPr="00572D0C" w:rsidRDefault="00387A33" w:rsidP="00C07D8B">
      <w:pPr>
        <w:rPr>
          <w:lang w:val="fr-CH"/>
        </w:rPr>
      </w:pPr>
      <w:r>
        <w:rPr>
          <w:lang w:val="fr-CH"/>
        </w:rPr>
        <w:t>Dans un premier temps, le Département fédéral de l’environnement, des transports, de l’énergie et de la communication (DETEC)</w:t>
      </w:r>
      <w:r w:rsidR="002177CA">
        <w:rPr>
          <w:lang w:val="fr-CH"/>
        </w:rPr>
        <w:t xml:space="preserve"> a chargé en</w:t>
      </w:r>
      <w:r w:rsidR="00C65111" w:rsidRPr="00572D0C">
        <w:rPr>
          <w:lang w:val="fr-CH"/>
        </w:rPr>
        <w:t xml:space="preserve"> 2016</w:t>
      </w:r>
      <w:r w:rsidR="00C07D8B" w:rsidRPr="00572D0C">
        <w:rPr>
          <w:lang w:val="fr-CH"/>
        </w:rPr>
        <w:t xml:space="preserve"> </w:t>
      </w:r>
      <w:r w:rsidR="002177CA">
        <w:rPr>
          <w:lang w:val="fr-CH"/>
        </w:rPr>
        <w:t>un gr</w:t>
      </w:r>
      <w:r w:rsidR="005A3CAA">
        <w:rPr>
          <w:lang w:val="fr-CH"/>
        </w:rPr>
        <w:t>oupe d’experts de soumettre le P</w:t>
      </w:r>
      <w:r w:rsidR="002177CA">
        <w:rPr>
          <w:lang w:val="fr-CH"/>
        </w:rPr>
        <w:t>lan sectoriel à une analyse critique et d’élaborer des propositions</w:t>
      </w:r>
      <w:r w:rsidR="00C07D8B" w:rsidRPr="00572D0C">
        <w:rPr>
          <w:lang w:val="fr-CH"/>
        </w:rPr>
        <w:t xml:space="preserve"> </w:t>
      </w:r>
      <w:r w:rsidR="006845BB">
        <w:rPr>
          <w:lang w:val="fr-CH"/>
        </w:rPr>
        <w:t>indiquant comment</w:t>
      </w:r>
      <w:r w:rsidR="002177CA">
        <w:rPr>
          <w:lang w:val="fr-CH"/>
        </w:rPr>
        <w:t xml:space="preserve"> l</w:t>
      </w:r>
      <w:r w:rsidR="005A3CAA">
        <w:rPr>
          <w:lang w:val="fr-CH"/>
        </w:rPr>
        <w:t>e P</w:t>
      </w:r>
      <w:r w:rsidR="002177CA">
        <w:rPr>
          <w:lang w:val="fr-CH"/>
        </w:rPr>
        <w:t xml:space="preserve">lan sectoriel </w:t>
      </w:r>
      <w:r w:rsidR="006845BB">
        <w:rPr>
          <w:lang w:val="fr-CH"/>
        </w:rPr>
        <w:t xml:space="preserve">pourra </w:t>
      </w:r>
      <w:r w:rsidR="002177CA">
        <w:rPr>
          <w:lang w:val="fr-CH"/>
        </w:rPr>
        <w:t>répondre aux défis du futur</w:t>
      </w:r>
      <w:r w:rsidR="00C07D8B" w:rsidRPr="00572D0C">
        <w:rPr>
          <w:lang w:val="fr-CH"/>
        </w:rPr>
        <w:t>.</w:t>
      </w:r>
      <w:r w:rsidR="00EF1BA2" w:rsidRPr="00572D0C">
        <w:rPr>
          <w:lang w:val="fr-CH"/>
        </w:rPr>
        <w:t xml:space="preserve"> </w:t>
      </w:r>
      <w:r w:rsidR="002177CA">
        <w:rPr>
          <w:lang w:val="fr-CH"/>
        </w:rPr>
        <w:t>Le 30 janvier 2018, ce groupe d’experts a transmis ses conclusions dans un rapport contenant</w:t>
      </w:r>
      <w:r w:rsidR="00EF1BA2" w:rsidRPr="00572D0C">
        <w:rPr>
          <w:lang w:val="fr-CH"/>
        </w:rPr>
        <w:t xml:space="preserve"> 16 </w:t>
      </w:r>
      <w:r w:rsidR="002177CA">
        <w:rPr>
          <w:lang w:val="fr-CH"/>
        </w:rPr>
        <w:t>recommandations</w:t>
      </w:r>
      <w:r w:rsidR="00EF1BA2" w:rsidRPr="00572D0C">
        <w:rPr>
          <w:rStyle w:val="Funotenzeichen"/>
          <w:lang w:val="fr-CH"/>
        </w:rPr>
        <w:footnoteReference w:id="2"/>
      </w:r>
      <w:r w:rsidR="00EF1BA2" w:rsidRPr="00572D0C">
        <w:rPr>
          <w:lang w:val="fr-CH"/>
        </w:rPr>
        <w:t xml:space="preserve">. </w:t>
      </w:r>
      <w:r w:rsidR="006845BB">
        <w:rPr>
          <w:lang w:val="fr-CH"/>
        </w:rPr>
        <w:t>Ce rapport a fait l’objet d’une appréciation politique issue d’une enquête menée par la Conférence des directeurs cantonaux de l’agriculture</w:t>
      </w:r>
      <w:r w:rsidR="006845BB" w:rsidRPr="00572D0C">
        <w:rPr>
          <w:lang w:val="fr-CH"/>
        </w:rPr>
        <w:t xml:space="preserve"> (</w:t>
      </w:r>
      <w:r w:rsidR="006845BB">
        <w:rPr>
          <w:lang w:val="fr-CH"/>
        </w:rPr>
        <w:t>CDCA</w:t>
      </w:r>
      <w:r w:rsidR="006845BB" w:rsidRPr="00572D0C">
        <w:rPr>
          <w:lang w:val="fr-CH"/>
        </w:rPr>
        <w:t>)</w:t>
      </w:r>
      <w:r w:rsidR="006845BB">
        <w:rPr>
          <w:lang w:val="fr-CH"/>
        </w:rPr>
        <w:t xml:space="preserve"> et la Conférence suisse des directeurs cantonaux des travaux publics, de l’aménagement du territoire et de l’environnement</w:t>
      </w:r>
      <w:r w:rsidR="006845BB" w:rsidRPr="00572D0C">
        <w:rPr>
          <w:lang w:val="fr-CH"/>
        </w:rPr>
        <w:t xml:space="preserve"> (</w:t>
      </w:r>
      <w:r w:rsidR="006845BB">
        <w:rPr>
          <w:lang w:val="fr-CH"/>
        </w:rPr>
        <w:t>DTAP</w:t>
      </w:r>
      <w:r w:rsidR="006845BB" w:rsidRPr="00572D0C">
        <w:rPr>
          <w:lang w:val="fr-CH"/>
        </w:rPr>
        <w:t>)</w:t>
      </w:r>
      <w:r w:rsidR="003C6F2A">
        <w:rPr>
          <w:lang w:val="fr-CH"/>
        </w:rPr>
        <w:t xml:space="preserve"> auprès de tous les offices de l’agriculture et de l</w:t>
      </w:r>
      <w:r w:rsidR="006845BB">
        <w:rPr>
          <w:lang w:val="fr-CH"/>
        </w:rPr>
        <w:t>’</w:t>
      </w:r>
      <w:r w:rsidR="003C6F2A">
        <w:rPr>
          <w:lang w:val="fr-CH"/>
        </w:rPr>
        <w:t>aménagement du territoire</w:t>
      </w:r>
      <w:r w:rsidR="00EF1BA2" w:rsidRPr="00572D0C">
        <w:rPr>
          <w:lang w:val="fr-CH"/>
        </w:rPr>
        <w:t xml:space="preserve">. </w:t>
      </w:r>
    </w:p>
    <w:p w14:paraId="60160CF9" w14:textId="19F15450" w:rsidR="00C07D8B" w:rsidRPr="00572D0C" w:rsidRDefault="0097044D" w:rsidP="00C07D8B">
      <w:pPr>
        <w:rPr>
          <w:lang w:val="fr-CH"/>
        </w:rPr>
      </w:pPr>
      <w:r>
        <w:rPr>
          <w:lang w:val="fr-CH"/>
        </w:rPr>
        <w:t>S</w:t>
      </w:r>
      <w:r w:rsidR="00445A97">
        <w:rPr>
          <w:lang w:val="fr-CH"/>
        </w:rPr>
        <w:t xml:space="preserve">ous la direction </w:t>
      </w:r>
      <w:r>
        <w:rPr>
          <w:lang w:val="fr-CH"/>
        </w:rPr>
        <w:t xml:space="preserve">conjointe </w:t>
      </w:r>
      <w:r w:rsidR="00445A97">
        <w:rPr>
          <w:lang w:val="fr-CH"/>
        </w:rPr>
        <w:t>de</w:t>
      </w:r>
      <w:r w:rsidR="006B7096">
        <w:rPr>
          <w:lang w:val="fr-CH"/>
        </w:rPr>
        <w:t>s offices fédéraux du développement territorial (</w:t>
      </w:r>
      <w:r w:rsidR="147A5F7B" w:rsidRPr="00572D0C">
        <w:rPr>
          <w:lang w:val="fr-CH"/>
        </w:rPr>
        <w:t>ARE</w:t>
      </w:r>
      <w:r w:rsidR="006B7096">
        <w:rPr>
          <w:lang w:val="fr-CH"/>
        </w:rPr>
        <w:t>)</w:t>
      </w:r>
      <w:r w:rsidR="147A5F7B" w:rsidRPr="00572D0C">
        <w:rPr>
          <w:lang w:val="fr-CH"/>
        </w:rPr>
        <w:t xml:space="preserve"> </w:t>
      </w:r>
      <w:r w:rsidR="00445A97">
        <w:rPr>
          <w:lang w:val="fr-CH"/>
        </w:rPr>
        <w:t>et de l’</w:t>
      </w:r>
      <w:r w:rsidR="006B7096">
        <w:rPr>
          <w:lang w:val="fr-CH"/>
        </w:rPr>
        <w:t>agriculture (</w:t>
      </w:r>
      <w:r w:rsidR="00445A97">
        <w:rPr>
          <w:lang w:val="fr-CH"/>
        </w:rPr>
        <w:t>OFAG</w:t>
      </w:r>
      <w:r w:rsidR="006B7096">
        <w:rPr>
          <w:lang w:val="fr-CH"/>
        </w:rPr>
        <w:t>)</w:t>
      </w:r>
      <w:r w:rsidR="00133481">
        <w:rPr>
          <w:lang w:val="fr-CH"/>
        </w:rPr>
        <w:t xml:space="preserve"> et</w:t>
      </w:r>
      <w:r w:rsidR="00445A97">
        <w:rPr>
          <w:lang w:val="fr-CH"/>
        </w:rPr>
        <w:t xml:space="preserve"> en collaboration avec l</w:t>
      </w:r>
      <w:r w:rsidR="006B7096">
        <w:rPr>
          <w:lang w:val="fr-CH"/>
        </w:rPr>
        <w:t>es offices fédéraux de l’environnement (</w:t>
      </w:r>
      <w:r w:rsidR="00445A97">
        <w:rPr>
          <w:lang w:val="fr-CH"/>
        </w:rPr>
        <w:t>OFEV</w:t>
      </w:r>
      <w:r w:rsidR="006B7096">
        <w:rPr>
          <w:lang w:val="fr-CH"/>
        </w:rPr>
        <w:t>)</w:t>
      </w:r>
      <w:r w:rsidR="00445A97">
        <w:rPr>
          <w:lang w:val="fr-CH"/>
        </w:rPr>
        <w:t xml:space="preserve"> et </w:t>
      </w:r>
      <w:r w:rsidR="006B7096">
        <w:rPr>
          <w:lang w:val="fr-CH"/>
        </w:rPr>
        <w:t>pour l’approvisionnement économique du pays (</w:t>
      </w:r>
      <w:r w:rsidR="00445A97">
        <w:rPr>
          <w:lang w:val="fr-CH"/>
        </w:rPr>
        <w:t>OFAE</w:t>
      </w:r>
      <w:r w:rsidR="006B7096">
        <w:rPr>
          <w:lang w:val="fr-CH"/>
        </w:rPr>
        <w:t>)</w:t>
      </w:r>
      <w:r w:rsidR="00445A97">
        <w:rPr>
          <w:lang w:val="fr-CH"/>
        </w:rPr>
        <w:t>,</w:t>
      </w:r>
      <w:r w:rsidR="147A5F7B" w:rsidRPr="00572D0C">
        <w:rPr>
          <w:lang w:val="fr-CH"/>
        </w:rPr>
        <w:t xml:space="preserve"> </w:t>
      </w:r>
      <w:r w:rsidR="00133481">
        <w:rPr>
          <w:lang w:val="fr-CH"/>
        </w:rPr>
        <w:t xml:space="preserve">les éléments d’un </w:t>
      </w:r>
      <w:r w:rsidR="005A3CAA">
        <w:rPr>
          <w:lang w:val="fr-CH"/>
        </w:rPr>
        <w:t>P</w:t>
      </w:r>
      <w:r w:rsidR="00133481">
        <w:rPr>
          <w:lang w:val="fr-CH"/>
        </w:rPr>
        <w:t>lan sectoriel SDA actualisé</w:t>
      </w:r>
      <w:r w:rsidR="006B7096">
        <w:rPr>
          <w:lang w:val="fr-CH"/>
        </w:rPr>
        <w:t>,</w:t>
      </w:r>
      <w:r w:rsidR="00133481">
        <w:rPr>
          <w:lang w:val="fr-CH"/>
        </w:rPr>
        <w:t xml:space="preserve"> </w:t>
      </w:r>
      <w:r w:rsidR="006B7096">
        <w:rPr>
          <w:lang w:val="fr-CH"/>
        </w:rPr>
        <w:t>fortement inspirés des</w:t>
      </w:r>
      <w:r w:rsidR="00133481">
        <w:rPr>
          <w:lang w:val="fr-CH"/>
        </w:rPr>
        <w:t xml:space="preserve"> recommandations</w:t>
      </w:r>
      <w:r w:rsidR="00D67B92">
        <w:rPr>
          <w:rStyle w:val="Funotenzeichen"/>
          <w:lang w:val="fr-CH"/>
        </w:rPr>
        <w:footnoteReference w:id="3"/>
      </w:r>
      <w:r w:rsidR="00133481">
        <w:rPr>
          <w:lang w:val="fr-CH"/>
        </w:rPr>
        <w:t xml:space="preserve"> du groupe d’experts</w:t>
      </w:r>
      <w:r w:rsidR="006B7096">
        <w:rPr>
          <w:lang w:val="fr-CH"/>
        </w:rPr>
        <w:t>,</w:t>
      </w:r>
      <w:r w:rsidR="00133481">
        <w:rPr>
          <w:lang w:val="fr-CH"/>
        </w:rPr>
        <w:t xml:space="preserve"> ont été ensuite définis concrètement</w:t>
      </w:r>
      <w:r w:rsidR="147A5F7B" w:rsidRPr="00572D0C">
        <w:rPr>
          <w:lang w:val="fr-CH"/>
        </w:rPr>
        <w:t xml:space="preserve">. </w:t>
      </w:r>
      <w:r w:rsidR="00133481">
        <w:rPr>
          <w:lang w:val="fr-CH"/>
        </w:rPr>
        <w:t xml:space="preserve">D’autres </w:t>
      </w:r>
      <w:r w:rsidR="004128A2">
        <w:rPr>
          <w:lang w:val="fr-CH"/>
        </w:rPr>
        <w:t xml:space="preserve">services </w:t>
      </w:r>
      <w:r w:rsidR="00133481">
        <w:rPr>
          <w:lang w:val="fr-CH"/>
        </w:rPr>
        <w:t>fédéraux concernés ont pu présenter leurs propositions lors d’un atelier</w:t>
      </w:r>
      <w:r w:rsidR="00D67B92">
        <w:rPr>
          <w:lang w:val="fr-CH"/>
        </w:rPr>
        <w:t xml:space="preserve">, </w:t>
      </w:r>
      <w:r w:rsidR="004128A2">
        <w:rPr>
          <w:lang w:val="fr-CH"/>
        </w:rPr>
        <w:t xml:space="preserve">et </w:t>
      </w:r>
      <w:r w:rsidR="00133481">
        <w:rPr>
          <w:lang w:val="fr-CH"/>
        </w:rPr>
        <w:t xml:space="preserve">deux rencontres </w:t>
      </w:r>
      <w:r w:rsidR="00190848">
        <w:rPr>
          <w:lang w:val="fr-CH"/>
        </w:rPr>
        <w:t>ont été organisées avec un groupe d’accompagnement composé de représentants de huit cantons.</w:t>
      </w:r>
      <w:r w:rsidR="005A3CAA">
        <w:rPr>
          <w:lang w:val="fr-CH"/>
        </w:rPr>
        <w:t xml:space="preserve"> Un premier projet de P</w:t>
      </w:r>
      <w:r w:rsidR="004128A2">
        <w:rPr>
          <w:lang w:val="fr-CH"/>
        </w:rPr>
        <w:t>lan sectoriel a été discuté</w:t>
      </w:r>
      <w:r w:rsidR="00190848">
        <w:rPr>
          <w:lang w:val="fr-CH"/>
        </w:rPr>
        <w:t xml:space="preserve"> </w:t>
      </w:r>
      <w:r w:rsidR="004128A2">
        <w:rPr>
          <w:lang w:val="fr-CH"/>
        </w:rPr>
        <w:t xml:space="preserve">lors </w:t>
      </w:r>
      <w:r w:rsidR="00190848">
        <w:rPr>
          <w:lang w:val="fr-CH"/>
        </w:rPr>
        <w:t xml:space="preserve">d’un atelier réunissant </w:t>
      </w:r>
      <w:r w:rsidR="002313E3">
        <w:rPr>
          <w:lang w:val="fr-CH"/>
        </w:rPr>
        <w:t>un large cercle de participants</w:t>
      </w:r>
      <w:r w:rsidR="49F97252" w:rsidRPr="00572D0C">
        <w:rPr>
          <w:lang w:val="fr-CH"/>
        </w:rPr>
        <w:t xml:space="preserve">. </w:t>
      </w:r>
    </w:p>
    <w:p w14:paraId="01F62B02" w14:textId="4A34F820" w:rsidR="005B3108" w:rsidRPr="002313E3" w:rsidRDefault="004128A2" w:rsidP="00C07D8B">
      <w:pPr>
        <w:rPr>
          <w:i/>
          <w:lang w:val="fr-CH"/>
        </w:rPr>
      </w:pPr>
      <w:r w:rsidRPr="002313E3">
        <w:rPr>
          <w:i/>
          <w:lang w:val="fr-CH"/>
        </w:rPr>
        <w:lastRenderedPageBreak/>
        <w:t>Les</w:t>
      </w:r>
      <w:r w:rsidR="00190848" w:rsidRPr="002313E3">
        <w:rPr>
          <w:i/>
          <w:lang w:val="fr-CH"/>
        </w:rPr>
        <w:t xml:space="preserve"> cantons et la population</w:t>
      </w:r>
      <w:r w:rsidRPr="002313E3">
        <w:rPr>
          <w:i/>
          <w:lang w:val="fr-CH"/>
        </w:rPr>
        <w:t xml:space="preserve"> ont été invités à donner leur avis</w:t>
      </w:r>
      <w:r w:rsidR="00190848" w:rsidRPr="002313E3">
        <w:rPr>
          <w:i/>
          <w:lang w:val="fr-CH"/>
        </w:rPr>
        <w:t xml:space="preserve"> </w:t>
      </w:r>
      <w:r w:rsidR="00CB3F46" w:rsidRPr="002313E3">
        <w:rPr>
          <w:i/>
          <w:lang w:val="fr-CH"/>
        </w:rPr>
        <w:t>durant</w:t>
      </w:r>
      <w:r w:rsidR="00190848" w:rsidRPr="002313E3">
        <w:rPr>
          <w:i/>
          <w:lang w:val="fr-CH"/>
        </w:rPr>
        <w:t xml:space="preserve"> l’hiver</w:t>
      </w:r>
      <w:r w:rsidR="147A5F7B" w:rsidRPr="002313E3">
        <w:rPr>
          <w:i/>
          <w:lang w:val="fr-CH"/>
        </w:rPr>
        <w:t xml:space="preserve"> 2018</w:t>
      </w:r>
      <w:r w:rsidR="00190848" w:rsidRPr="002313E3">
        <w:rPr>
          <w:i/>
          <w:lang w:val="fr-CH"/>
        </w:rPr>
        <w:t xml:space="preserve"> </w:t>
      </w:r>
      <w:r w:rsidR="00CB3F46" w:rsidRPr="002313E3">
        <w:rPr>
          <w:i/>
          <w:lang w:val="fr-CH"/>
        </w:rPr>
        <w:t xml:space="preserve">et le </w:t>
      </w:r>
      <w:r w:rsidR="00190848" w:rsidRPr="002313E3">
        <w:rPr>
          <w:i/>
          <w:lang w:val="fr-CH"/>
        </w:rPr>
        <w:t xml:space="preserve">printemps </w:t>
      </w:r>
      <w:r w:rsidR="147A5F7B" w:rsidRPr="002313E3">
        <w:rPr>
          <w:i/>
          <w:lang w:val="fr-CH"/>
        </w:rPr>
        <w:t>2019 (</w:t>
      </w:r>
      <w:r w:rsidR="00CB3F46" w:rsidRPr="002313E3">
        <w:rPr>
          <w:i/>
          <w:lang w:val="fr-CH"/>
        </w:rPr>
        <w:t>a</w:t>
      </w:r>
      <w:r w:rsidR="147A5F7B" w:rsidRPr="002313E3">
        <w:rPr>
          <w:i/>
          <w:lang w:val="fr-CH"/>
        </w:rPr>
        <w:t>rt. 19</w:t>
      </w:r>
      <w:r w:rsidR="00D67B92" w:rsidRPr="002313E3">
        <w:rPr>
          <w:i/>
          <w:lang w:val="fr-CH"/>
        </w:rPr>
        <w:t xml:space="preserve"> de l’ordonnance du 28 juin 2000 </w:t>
      </w:r>
      <w:r w:rsidR="00D67B92" w:rsidRPr="002313E3">
        <w:rPr>
          <w:rFonts w:eastAsiaTheme="minorEastAsia" w:cs="Arial"/>
          <w:i/>
          <w:iCs/>
          <w:lang w:val="fr-CH" w:eastAsia="en-US"/>
        </w:rPr>
        <w:t>[OAT ; RS 700.1]</w:t>
      </w:r>
      <w:r w:rsidR="147A5F7B" w:rsidRPr="002313E3">
        <w:rPr>
          <w:i/>
          <w:lang w:val="fr-CH"/>
        </w:rPr>
        <w:t>).</w:t>
      </w:r>
      <w:r w:rsidR="00CB3F46" w:rsidRPr="002313E3">
        <w:rPr>
          <w:i/>
          <w:lang w:val="fr-CH"/>
        </w:rPr>
        <w:t xml:space="preserve"> Les résultats</w:t>
      </w:r>
      <w:r w:rsidRPr="002313E3">
        <w:rPr>
          <w:i/>
          <w:lang w:val="fr-CH"/>
        </w:rPr>
        <w:t>,</w:t>
      </w:r>
      <w:r w:rsidR="147A5F7B" w:rsidRPr="002313E3" w:rsidDel="00EC50F4">
        <w:rPr>
          <w:i/>
          <w:lang w:val="fr-CH"/>
        </w:rPr>
        <w:t xml:space="preserve"> </w:t>
      </w:r>
      <w:r w:rsidR="00CB3F46" w:rsidRPr="002313E3">
        <w:rPr>
          <w:i/>
          <w:lang w:val="fr-CH"/>
        </w:rPr>
        <w:t xml:space="preserve">qui </w:t>
      </w:r>
      <w:r w:rsidRPr="002313E3">
        <w:rPr>
          <w:i/>
          <w:lang w:val="fr-CH"/>
        </w:rPr>
        <w:t>sont compilés dans un document séparé,</w:t>
      </w:r>
      <w:r w:rsidR="147A5F7B" w:rsidRPr="002313E3" w:rsidDel="00EC50F4">
        <w:rPr>
          <w:i/>
          <w:lang w:val="fr-CH"/>
        </w:rPr>
        <w:t xml:space="preserve"> </w:t>
      </w:r>
      <w:r w:rsidR="0001757C" w:rsidRPr="002313E3">
        <w:rPr>
          <w:i/>
          <w:lang w:val="fr-CH"/>
        </w:rPr>
        <w:t>ont</w:t>
      </w:r>
      <w:r w:rsidR="005A3CAA">
        <w:rPr>
          <w:i/>
          <w:lang w:val="fr-CH"/>
        </w:rPr>
        <w:t xml:space="preserve"> servi à peaufiné le projet de P</w:t>
      </w:r>
      <w:r w:rsidR="0001757C" w:rsidRPr="002313E3">
        <w:rPr>
          <w:i/>
          <w:lang w:val="fr-CH"/>
        </w:rPr>
        <w:t>lan sectoriel, puis à le soumettre aux cantons pour position durant le 2</w:t>
      </w:r>
      <w:r w:rsidR="0001757C" w:rsidRPr="002313E3">
        <w:rPr>
          <w:i/>
          <w:vertAlign w:val="superscript"/>
          <w:lang w:val="fr-CH"/>
        </w:rPr>
        <w:t>e</w:t>
      </w:r>
      <w:r w:rsidR="0001757C" w:rsidRPr="002313E3">
        <w:rPr>
          <w:i/>
          <w:lang w:val="fr-CH"/>
        </w:rPr>
        <w:t xml:space="preserve"> trimestre de 2019, </w:t>
      </w:r>
      <w:r w:rsidR="00CB3F46" w:rsidRPr="002313E3">
        <w:rPr>
          <w:i/>
          <w:lang w:val="fr-CH"/>
        </w:rPr>
        <w:t>conformément à l’art</w:t>
      </w:r>
      <w:r w:rsidR="00D67B92" w:rsidRPr="002313E3">
        <w:rPr>
          <w:i/>
          <w:lang w:val="fr-CH"/>
        </w:rPr>
        <w:t xml:space="preserve">icle </w:t>
      </w:r>
      <w:r w:rsidR="00CB3F46" w:rsidRPr="002313E3" w:rsidDel="00EC50F4">
        <w:rPr>
          <w:i/>
          <w:lang w:val="fr-CH"/>
        </w:rPr>
        <w:t xml:space="preserve">20 </w:t>
      </w:r>
      <w:r w:rsidR="00CB3F46" w:rsidRPr="002313E3">
        <w:rPr>
          <w:i/>
          <w:lang w:val="fr-CH"/>
        </w:rPr>
        <w:t>OAT</w:t>
      </w:r>
      <w:r w:rsidR="147A5F7B" w:rsidRPr="002313E3" w:rsidDel="00EC50F4">
        <w:rPr>
          <w:i/>
          <w:lang w:val="fr-CH"/>
        </w:rPr>
        <w:t>.</w:t>
      </w:r>
    </w:p>
    <w:p w14:paraId="6E9CC131" w14:textId="2F2EC446" w:rsidR="00885A14" w:rsidRPr="008777A1" w:rsidRDefault="0001757C" w:rsidP="008777A1">
      <w:pPr>
        <w:rPr>
          <w:lang w:val="fr-CH"/>
        </w:rPr>
      </w:pPr>
      <w:r w:rsidRPr="002313E3">
        <w:rPr>
          <w:i/>
          <w:lang w:val="fr-CH"/>
        </w:rPr>
        <w:t>Les éventuelles modifications à apporter à</w:t>
      </w:r>
      <w:r w:rsidR="008777A1" w:rsidRPr="002313E3">
        <w:rPr>
          <w:i/>
          <w:lang w:val="fr-CH"/>
        </w:rPr>
        <w:t xml:space="preserve"> la LAT ou</w:t>
      </w:r>
      <w:r w:rsidRPr="002313E3">
        <w:rPr>
          <w:i/>
          <w:lang w:val="fr-CH"/>
        </w:rPr>
        <w:t xml:space="preserve"> à</w:t>
      </w:r>
      <w:r w:rsidR="008777A1" w:rsidRPr="002313E3">
        <w:rPr>
          <w:i/>
          <w:lang w:val="fr-CH"/>
        </w:rPr>
        <w:t xml:space="preserve"> l’OAT</w:t>
      </w:r>
      <w:r w:rsidR="005A3CAA">
        <w:rPr>
          <w:i/>
          <w:lang w:val="fr-CH"/>
        </w:rPr>
        <w:t xml:space="preserve"> à la suite du remaniement du P</w:t>
      </w:r>
      <w:r w:rsidRPr="002313E3">
        <w:rPr>
          <w:i/>
          <w:lang w:val="fr-CH"/>
        </w:rPr>
        <w:t>lan sectoriel seront effectuées</w:t>
      </w:r>
      <w:r w:rsidR="005A3CAA">
        <w:rPr>
          <w:i/>
          <w:lang w:val="fr-CH"/>
        </w:rPr>
        <w:t xml:space="preserve"> après l’adoption du P</w:t>
      </w:r>
      <w:r w:rsidR="008777A1" w:rsidRPr="002313E3">
        <w:rPr>
          <w:i/>
          <w:lang w:val="fr-CH"/>
        </w:rPr>
        <w:t xml:space="preserve">lan sectoriel </w:t>
      </w:r>
      <w:r w:rsidRPr="002313E3">
        <w:rPr>
          <w:i/>
          <w:lang w:val="fr-CH"/>
        </w:rPr>
        <w:t>par le Conseil fédéral</w:t>
      </w:r>
      <w:r w:rsidR="002B110E" w:rsidRPr="002313E3">
        <w:rPr>
          <w:i/>
          <w:lang w:val="fr-CH"/>
        </w:rPr>
        <w:t>.</w:t>
      </w:r>
      <w:bookmarkStart w:id="27" w:name="_Toc520444166"/>
      <w:bookmarkStart w:id="28" w:name="_Ref525282763"/>
      <w:r w:rsidR="00885A14" w:rsidRPr="00572D0C">
        <w:rPr>
          <w:lang w:val="fr-CH"/>
        </w:rPr>
        <w:br w:type="page"/>
      </w:r>
    </w:p>
    <w:p w14:paraId="49C8B3B5" w14:textId="72388116" w:rsidR="00DB6D05" w:rsidRPr="00501D1D" w:rsidRDefault="00F607C6" w:rsidP="00DB6D05">
      <w:pPr>
        <w:pStyle w:val="berschrift1"/>
        <w:rPr>
          <w:lang w:val="fr-CH"/>
        </w:rPr>
      </w:pPr>
      <w:bookmarkStart w:id="29" w:name="_Ref525718900"/>
      <w:bookmarkStart w:id="30" w:name="_Toc526946706"/>
      <w:bookmarkStart w:id="31" w:name="_Toc531192988"/>
      <w:bookmarkStart w:id="32" w:name="_Toc532996278"/>
      <w:r>
        <w:rPr>
          <w:lang w:val="fr-CH"/>
        </w:rPr>
        <w:lastRenderedPageBreak/>
        <w:t>I</w:t>
      </w:r>
      <w:r w:rsidR="00885A14" w:rsidRPr="00572D0C">
        <w:rPr>
          <w:lang w:val="fr-CH"/>
        </w:rPr>
        <w:t>n</w:t>
      </w:r>
      <w:r>
        <w:rPr>
          <w:lang w:val="fr-CH"/>
        </w:rPr>
        <w:t>suffisance des informations sur les sols : deux phases de remaniement</w:t>
      </w:r>
      <w:r w:rsidR="00885A14" w:rsidRPr="00572D0C">
        <w:rPr>
          <w:lang w:val="fr-CH"/>
        </w:rPr>
        <w:t xml:space="preserve"> d</w:t>
      </w:r>
      <w:r w:rsidR="005A3CAA">
        <w:rPr>
          <w:lang w:val="fr-CH"/>
        </w:rPr>
        <w:t>u P</w:t>
      </w:r>
      <w:r>
        <w:rPr>
          <w:lang w:val="fr-CH"/>
        </w:rPr>
        <w:t>lan sectoriel</w:t>
      </w:r>
      <w:r w:rsidR="00885A14" w:rsidRPr="00572D0C">
        <w:rPr>
          <w:lang w:val="fr-CH"/>
        </w:rPr>
        <w:t xml:space="preserve"> </w:t>
      </w:r>
      <w:bookmarkEnd w:id="27"/>
      <w:bookmarkEnd w:id="28"/>
      <w:bookmarkEnd w:id="29"/>
      <w:bookmarkEnd w:id="30"/>
      <w:r>
        <w:rPr>
          <w:lang w:val="fr-CH"/>
        </w:rPr>
        <w:t>SDA</w:t>
      </w:r>
      <w:bookmarkEnd w:id="31"/>
      <w:bookmarkEnd w:id="32"/>
      <w:r w:rsidR="00DB6D05" w:rsidRPr="00501D1D">
        <w:rPr>
          <w:lang w:val="fr-CH"/>
        </w:rPr>
        <w:t xml:space="preserve"> </w:t>
      </w:r>
    </w:p>
    <w:p w14:paraId="33A31460" w14:textId="07FE4DF3" w:rsidR="00DB6D05" w:rsidRPr="002313E3" w:rsidRDefault="00DB6D05" w:rsidP="00501D1D">
      <w:pPr>
        <w:pStyle w:val="berschrift2"/>
        <w:rPr>
          <w:lang w:val="fr-CH"/>
        </w:rPr>
      </w:pPr>
      <w:bookmarkStart w:id="33" w:name="_Toc531102174"/>
      <w:bookmarkStart w:id="34" w:name="_Ref531103636"/>
      <w:bookmarkStart w:id="35" w:name="_Toc531103695"/>
      <w:bookmarkStart w:id="36" w:name="_Toc531192989"/>
      <w:bookmarkStart w:id="37" w:name="_Toc532996279"/>
      <w:r w:rsidRPr="002313E3">
        <w:rPr>
          <w:lang w:val="fr-CH"/>
        </w:rPr>
        <w:t xml:space="preserve">Base de données des </w:t>
      </w:r>
      <w:bookmarkEnd w:id="33"/>
      <w:bookmarkEnd w:id="34"/>
      <w:bookmarkEnd w:id="35"/>
      <w:r w:rsidRPr="002313E3">
        <w:rPr>
          <w:lang w:val="fr-CH"/>
        </w:rPr>
        <w:t xml:space="preserve">SDA actuellement </w:t>
      </w:r>
      <w:bookmarkEnd w:id="36"/>
      <w:r w:rsidR="00592F6A" w:rsidRPr="002313E3">
        <w:rPr>
          <w:lang w:val="fr-CH"/>
        </w:rPr>
        <w:t>inventoriées</w:t>
      </w:r>
      <w:bookmarkEnd w:id="37"/>
    </w:p>
    <w:p w14:paraId="781EAE8F" w14:textId="02D7C0F9" w:rsidR="00885A14" w:rsidRPr="009769E1" w:rsidRDefault="00DB6D05" w:rsidP="009769E1">
      <w:pPr>
        <w:rPr>
          <w:lang w:val="fr-CH"/>
        </w:rPr>
      </w:pPr>
      <w:r>
        <w:rPr>
          <w:lang w:val="fr-CH"/>
        </w:rPr>
        <w:t>Comme le spécifi</w:t>
      </w:r>
      <w:r w:rsidR="009769E1">
        <w:rPr>
          <w:lang w:val="fr-CH"/>
        </w:rPr>
        <w:t>e et l’explique le chapitre</w:t>
      </w:r>
      <w:r w:rsidRPr="00501D1D" w:rsidDel="00EC50F4">
        <w:rPr>
          <w:lang w:val="fr-CH"/>
        </w:rPr>
        <w:t xml:space="preserve"> 1.3 </w:t>
      </w:r>
      <w:r w:rsidR="009769E1">
        <w:rPr>
          <w:lang w:val="fr-CH"/>
        </w:rPr>
        <w:t xml:space="preserve">du </w:t>
      </w:r>
      <w:r w:rsidR="005A3CAA">
        <w:rPr>
          <w:lang w:val="fr-CH"/>
        </w:rPr>
        <w:t>P</w:t>
      </w:r>
      <w:r w:rsidR="009769E1">
        <w:rPr>
          <w:lang w:val="fr-CH"/>
        </w:rPr>
        <w:t xml:space="preserve">lan sectoriel, la base de données des SDA </w:t>
      </w:r>
      <w:r w:rsidR="00592F6A">
        <w:rPr>
          <w:lang w:val="fr-CH"/>
        </w:rPr>
        <w:t>inventoriées</w:t>
      </w:r>
      <w:r w:rsidR="009769E1">
        <w:rPr>
          <w:lang w:val="fr-CH"/>
        </w:rPr>
        <w:t xml:space="preserve"> est très disparate</w:t>
      </w:r>
      <w:bookmarkStart w:id="38" w:name="_Ref520731242"/>
      <w:r w:rsidR="00956BB2" w:rsidRPr="009769E1">
        <w:rPr>
          <w:lang w:val="fr-CH"/>
        </w:rPr>
        <w:t>. Les raisons en sont présentées ci-dessous. Elles permettent de mieux comprendre les caractéristiques de ce plan</w:t>
      </w:r>
      <w:r w:rsidR="147A5F7B" w:rsidRPr="009769E1" w:rsidDel="00EC50F4">
        <w:rPr>
          <w:lang w:val="fr-CH"/>
        </w:rPr>
        <w:t>.</w:t>
      </w:r>
    </w:p>
    <w:p w14:paraId="06139257" w14:textId="4C59D779" w:rsidR="00885A14" w:rsidRPr="00572D0C" w:rsidRDefault="00956BB2" w:rsidP="799D40CD">
      <w:pPr>
        <w:rPr>
          <w:i/>
          <w:iCs/>
          <w:lang w:val="fr-CH"/>
        </w:rPr>
      </w:pPr>
      <w:r>
        <w:rPr>
          <w:i/>
          <w:iCs/>
          <w:lang w:val="fr-CH"/>
        </w:rPr>
        <w:t>Hét</w:t>
      </w:r>
      <w:r w:rsidR="0017744E">
        <w:rPr>
          <w:i/>
          <w:iCs/>
          <w:lang w:val="fr-CH"/>
        </w:rPr>
        <w:t>ér</w:t>
      </w:r>
      <w:r>
        <w:rPr>
          <w:i/>
          <w:iCs/>
          <w:lang w:val="fr-CH"/>
        </w:rPr>
        <w:t>ogénéité régional</w:t>
      </w:r>
      <w:r w:rsidR="00592F6A">
        <w:rPr>
          <w:i/>
          <w:iCs/>
          <w:lang w:val="fr-CH"/>
        </w:rPr>
        <w:t>e des sols</w:t>
      </w:r>
    </w:p>
    <w:p w14:paraId="37E1BEB1" w14:textId="303F6FB4" w:rsidR="00885A14" w:rsidRPr="00572D0C" w:rsidRDefault="0017744E" w:rsidP="00885A14">
      <w:pPr>
        <w:rPr>
          <w:lang w:val="fr-CH"/>
        </w:rPr>
      </w:pPr>
      <w:r>
        <w:rPr>
          <w:lang w:val="fr-CH"/>
        </w:rPr>
        <w:t xml:space="preserve">En raison </w:t>
      </w:r>
      <w:r w:rsidR="000178CB">
        <w:rPr>
          <w:lang w:val="fr-CH"/>
        </w:rPr>
        <w:t>notamment des différences d’a</w:t>
      </w:r>
      <w:r>
        <w:rPr>
          <w:lang w:val="fr-CH"/>
        </w:rPr>
        <w:t>ltitude et d</w:t>
      </w:r>
      <w:r w:rsidR="000178CB">
        <w:rPr>
          <w:lang w:val="fr-CH"/>
        </w:rPr>
        <w:t xml:space="preserve">e géologie, les sols </w:t>
      </w:r>
      <w:r w:rsidR="0087306A">
        <w:rPr>
          <w:lang w:val="fr-CH"/>
        </w:rPr>
        <w:t>présenten</w:t>
      </w:r>
      <w:r w:rsidR="000178CB">
        <w:rPr>
          <w:lang w:val="fr-CH"/>
        </w:rPr>
        <w:t xml:space="preserve">t </w:t>
      </w:r>
      <w:r w:rsidR="0087306A">
        <w:rPr>
          <w:lang w:val="fr-CH"/>
        </w:rPr>
        <w:t>une diversité considérable</w:t>
      </w:r>
      <w:r w:rsidR="000178CB">
        <w:rPr>
          <w:lang w:val="fr-CH"/>
        </w:rPr>
        <w:t xml:space="preserve"> d’une région à l’autre. Quelques cantons </w:t>
      </w:r>
      <w:r w:rsidR="197C7369" w:rsidRPr="00572D0C">
        <w:rPr>
          <w:lang w:val="fr-CH"/>
        </w:rPr>
        <w:t>s</w:t>
      </w:r>
      <w:r w:rsidR="000178CB">
        <w:rPr>
          <w:lang w:val="fr-CH"/>
        </w:rPr>
        <w:t>on</w:t>
      </w:r>
      <w:r w:rsidR="197C7369" w:rsidRPr="00572D0C">
        <w:rPr>
          <w:lang w:val="fr-CH"/>
        </w:rPr>
        <w:t xml:space="preserve">t </w:t>
      </w:r>
      <w:r w:rsidR="000178CB">
        <w:rPr>
          <w:lang w:val="fr-CH"/>
        </w:rPr>
        <w:t>situés en plaine</w:t>
      </w:r>
      <w:r w:rsidR="00D71335">
        <w:rPr>
          <w:lang w:val="fr-CH"/>
        </w:rPr>
        <w:t>,</w:t>
      </w:r>
      <w:r w:rsidR="000178CB">
        <w:rPr>
          <w:lang w:val="fr-CH"/>
        </w:rPr>
        <w:t xml:space="preserve"> d’autres</w:t>
      </w:r>
      <w:r w:rsidR="00592F6A">
        <w:rPr>
          <w:lang w:val="fr-CH"/>
        </w:rPr>
        <w:t xml:space="preserve"> presque entièrement</w:t>
      </w:r>
      <w:r w:rsidR="000178CB">
        <w:rPr>
          <w:lang w:val="fr-CH"/>
        </w:rPr>
        <w:t xml:space="preserve"> en montagne. </w:t>
      </w:r>
      <w:r w:rsidR="00D71335">
        <w:rPr>
          <w:lang w:val="fr-CH"/>
        </w:rPr>
        <w:t>Pour cette raison,</w:t>
      </w:r>
      <w:r w:rsidR="00C21201">
        <w:rPr>
          <w:lang w:val="fr-CH"/>
        </w:rPr>
        <w:t xml:space="preserve"> les sols qui se prêtent le mieux à une exploitation agricole dans chaque région</w:t>
      </w:r>
      <w:r w:rsidR="00D71335">
        <w:rPr>
          <w:lang w:val="fr-CH"/>
        </w:rPr>
        <w:t xml:space="preserve"> ont été relevés pour le </w:t>
      </w:r>
      <w:r w:rsidR="005A3CAA">
        <w:rPr>
          <w:lang w:val="fr-CH"/>
        </w:rPr>
        <w:t>P</w:t>
      </w:r>
      <w:r w:rsidR="00D71335">
        <w:rPr>
          <w:lang w:val="fr-CH"/>
        </w:rPr>
        <w:t>lan sectoriel de 1992</w:t>
      </w:r>
      <w:r w:rsidR="197C7369" w:rsidRPr="00572D0C">
        <w:rPr>
          <w:lang w:val="fr-CH"/>
        </w:rPr>
        <w:t xml:space="preserve">. </w:t>
      </w:r>
      <w:r w:rsidR="00D71335">
        <w:rPr>
          <w:rFonts w:cs="Arial"/>
          <w:lang w:val="fr-CH"/>
        </w:rPr>
        <w:t>À</w:t>
      </w:r>
      <w:r w:rsidR="00C21201">
        <w:rPr>
          <w:lang w:val="fr-CH"/>
        </w:rPr>
        <w:t xml:space="preserve"> cette époque, </w:t>
      </w:r>
      <w:r w:rsidR="197C7369" w:rsidRPr="00572D0C">
        <w:rPr>
          <w:lang w:val="fr-CH"/>
        </w:rPr>
        <w:t xml:space="preserve">7% </w:t>
      </w:r>
      <w:r w:rsidR="00C21201">
        <w:rPr>
          <w:lang w:val="fr-CH"/>
        </w:rPr>
        <w:t xml:space="preserve">de </w:t>
      </w:r>
      <w:r w:rsidR="009769E1">
        <w:rPr>
          <w:lang w:val="fr-CH"/>
        </w:rPr>
        <w:t xml:space="preserve">terres </w:t>
      </w:r>
      <w:r w:rsidR="00C21201">
        <w:rPr>
          <w:lang w:val="fr-CH"/>
        </w:rPr>
        <w:t>situées dans les régions de montagne e</w:t>
      </w:r>
      <w:r w:rsidR="197C7369" w:rsidRPr="00572D0C">
        <w:rPr>
          <w:lang w:val="fr-CH"/>
        </w:rPr>
        <w:t xml:space="preserve">t 11% </w:t>
      </w:r>
      <w:r w:rsidR="009769E1">
        <w:rPr>
          <w:lang w:val="fr-CH"/>
        </w:rPr>
        <w:t>de terres de</w:t>
      </w:r>
      <w:r w:rsidR="00C21201">
        <w:rPr>
          <w:lang w:val="fr-CH"/>
        </w:rPr>
        <w:t xml:space="preserve"> la zone préalpine de collin</w:t>
      </w:r>
      <w:r w:rsidR="197C7369" w:rsidRPr="00572D0C">
        <w:rPr>
          <w:lang w:val="fr-CH"/>
        </w:rPr>
        <w:t>e</w:t>
      </w:r>
      <w:r w:rsidR="00D71335">
        <w:rPr>
          <w:lang w:val="fr-CH"/>
        </w:rPr>
        <w:t>s</w:t>
      </w:r>
      <w:r w:rsidR="009769E1">
        <w:rPr>
          <w:lang w:val="fr-CH"/>
        </w:rPr>
        <w:t xml:space="preserve"> ont été </w:t>
      </w:r>
      <w:r w:rsidR="00D71335">
        <w:rPr>
          <w:lang w:val="fr-CH"/>
        </w:rPr>
        <w:t>qualifiées de</w:t>
      </w:r>
      <w:r w:rsidR="009769E1">
        <w:rPr>
          <w:lang w:val="fr-CH"/>
        </w:rPr>
        <w:t xml:space="preserve"> SDA et répertoriées dans les inventaires</w:t>
      </w:r>
      <w:r w:rsidR="197C7369" w:rsidRPr="00572D0C">
        <w:rPr>
          <w:lang w:val="fr-CH"/>
        </w:rPr>
        <w:t xml:space="preserve">. </w:t>
      </w:r>
      <w:r w:rsidR="00C21201">
        <w:rPr>
          <w:lang w:val="fr-CH"/>
        </w:rPr>
        <w:t>Or</w:t>
      </w:r>
      <w:r w:rsidR="003F4DB0">
        <w:rPr>
          <w:lang w:val="fr-CH"/>
        </w:rPr>
        <w:t>,</w:t>
      </w:r>
      <w:r w:rsidR="00C21201">
        <w:rPr>
          <w:lang w:val="fr-CH"/>
        </w:rPr>
        <w:t xml:space="preserve"> les sols de la zone préalpine de collines et des régions de montagne </w:t>
      </w:r>
      <w:r w:rsidR="0087306A">
        <w:rPr>
          <w:lang w:val="fr-CH"/>
        </w:rPr>
        <w:t>ont un potentiel productif d’une qualité inférieure aux sols des régions de plaine</w:t>
      </w:r>
      <w:r w:rsidR="197C7369" w:rsidRPr="00572D0C">
        <w:rPr>
          <w:lang w:val="fr-CH"/>
        </w:rPr>
        <w:t>.</w:t>
      </w:r>
    </w:p>
    <w:p w14:paraId="6A5D50C8" w14:textId="6D8055F5" w:rsidR="00885A14" w:rsidRPr="00572D0C" w:rsidRDefault="147A5F7B" w:rsidP="799D40CD">
      <w:pPr>
        <w:rPr>
          <w:i/>
          <w:iCs/>
          <w:lang w:val="fr-CH"/>
        </w:rPr>
      </w:pPr>
      <w:r w:rsidRPr="00572D0C">
        <w:rPr>
          <w:i/>
          <w:iCs/>
          <w:lang w:val="fr-CH"/>
        </w:rPr>
        <w:t>H</w:t>
      </w:r>
      <w:r w:rsidR="0087306A">
        <w:rPr>
          <w:i/>
          <w:iCs/>
          <w:lang w:val="fr-CH"/>
        </w:rPr>
        <w:t>é</w:t>
      </w:r>
      <w:r w:rsidRPr="00572D0C">
        <w:rPr>
          <w:i/>
          <w:iCs/>
          <w:lang w:val="fr-CH"/>
        </w:rPr>
        <w:t>t</w:t>
      </w:r>
      <w:r w:rsidR="0087306A">
        <w:rPr>
          <w:i/>
          <w:iCs/>
          <w:lang w:val="fr-CH"/>
        </w:rPr>
        <w:t>é</w:t>
      </w:r>
      <w:r w:rsidRPr="00572D0C">
        <w:rPr>
          <w:i/>
          <w:iCs/>
          <w:lang w:val="fr-CH"/>
        </w:rPr>
        <w:t>rog</w:t>
      </w:r>
      <w:r w:rsidR="0087306A">
        <w:rPr>
          <w:i/>
          <w:iCs/>
          <w:lang w:val="fr-CH"/>
        </w:rPr>
        <w:t>énéité des</w:t>
      </w:r>
      <w:r w:rsidRPr="00572D0C">
        <w:rPr>
          <w:i/>
          <w:iCs/>
          <w:lang w:val="fr-CH"/>
        </w:rPr>
        <w:t xml:space="preserve"> </w:t>
      </w:r>
      <w:r w:rsidR="0087306A">
        <w:rPr>
          <w:i/>
          <w:iCs/>
          <w:lang w:val="fr-CH"/>
        </w:rPr>
        <w:t>approches pour désigner les SDA</w:t>
      </w:r>
    </w:p>
    <w:p w14:paraId="18F1099C" w14:textId="72A49EE5" w:rsidR="00885A14" w:rsidRPr="00572D0C" w:rsidRDefault="005A0E48" w:rsidP="00177D0A">
      <w:pPr>
        <w:rPr>
          <w:lang w:val="fr-CH"/>
        </w:rPr>
      </w:pPr>
      <w:r>
        <w:rPr>
          <w:lang w:val="fr-CH"/>
        </w:rPr>
        <w:t>Il a été constaté à diverses reprises</w:t>
      </w:r>
      <w:r w:rsidR="003F4DB0">
        <w:rPr>
          <w:lang w:val="fr-CH"/>
        </w:rPr>
        <w:t xml:space="preserve"> que les SDA </w:t>
      </w:r>
      <w:r>
        <w:rPr>
          <w:lang w:val="fr-CH"/>
        </w:rPr>
        <w:t>inventoriées</w:t>
      </w:r>
      <w:r w:rsidR="009769E1">
        <w:rPr>
          <w:lang w:val="fr-CH"/>
        </w:rPr>
        <w:t xml:space="preserve"> </w:t>
      </w:r>
      <w:r w:rsidR="003F4DB0">
        <w:rPr>
          <w:lang w:val="fr-CH"/>
        </w:rPr>
        <w:t xml:space="preserve">présentent une qualité non homogène. </w:t>
      </w:r>
      <w:r>
        <w:rPr>
          <w:lang w:val="fr-CH"/>
        </w:rPr>
        <w:t>Cette hétérogénéité s’explique par le fait que</w:t>
      </w:r>
      <w:r w:rsidR="003F4DB0">
        <w:rPr>
          <w:lang w:val="fr-CH"/>
        </w:rPr>
        <w:t xml:space="preserve"> </w:t>
      </w:r>
      <w:r>
        <w:rPr>
          <w:lang w:val="fr-CH"/>
        </w:rPr>
        <w:t>les méthodes de relevé des SDA et les exigences minimales appliquées par les cantons pour les délimitations de SDA n’</w:t>
      </w:r>
      <w:r w:rsidR="00D60DAB">
        <w:rPr>
          <w:lang w:val="fr-CH"/>
        </w:rPr>
        <w:t>étaient pas</w:t>
      </w:r>
      <w:r>
        <w:rPr>
          <w:lang w:val="fr-CH"/>
        </w:rPr>
        <w:t xml:space="preserve"> uniformes</w:t>
      </w:r>
      <w:r w:rsidR="00573BD4" w:rsidRPr="00572D0C">
        <w:rPr>
          <w:vertAlign w:val="superscript"/>
          <w:lang w:val="fr-CH"/>
        </w:rPr>
        <w:footnoteReference w:id="4"/>
      </w:r>
      <w:r w:rsidR="00D71335">
        <w:rPr>
          <w:lang w:val="fr-CH"/>
        </w:rPr>
        <w:t>.</w:t>
      </w:r>
      <w:r w:rsidR="00177D0A" w:rsidRPr="00572D0C">
        <w:rPr>
          <w:rFonts w:eastAsiaTheme="minorEastAsia"/>
          <w:vertAlign w:val="superscript"/>
          <w:lang w:val="fr-CH"/>
        </w:rPr>
        <w:t xml:space="preserve"> </w:t>
      </w:r>
      <w:r w:rsidR="003F4DB0">
        <w:rPr>
          <w:rFonts w:eastAsiaTheme="minorEastAsia"/>
          <w:lang w:val="fr-CH"/>
        </w:rPr>
        <w:t>L’</w:t>
      </w:r>
      <w:r w:rsidR="009769E1">
        <w:rPr>
          <w:rFonts w:eastAsiaTheme="minorEastAsia"/>
          <w:lang w:val="fr-CH"/>
        </w:rPr>
        <w:t>OAT</w:t>
      </w:r>
      <w:r w:rsidR="003F4DB0">
        <w:rPr>
          <w:rFonts w:eastAsiaTheme="minorEastAsia"/>
          <w:lang w:val="fr-CH"/>
        </w:rPr>
        <w:t xml:space="preserve"> et le rapport explicatif de l’</w:t>
      </w:r>
      <w:r w:rsidR="00177D0A" w:rsidRPr="00572D0C">
        <w:rPr>
          <w:rFonts w:eastAsiaTheme="minorEastAsia"/>
          <w:lang w:val="fr-CH"/>
        </w:rPr>
        <w:t xml:space="preserve">ARE </w:t>
      </w:r>
      <w:r w:rsidR="003F4DB0">
        <w:rPr>
          <w:rFonts w:eastAsiaTheme="minorEastAsia"/>
          <w:lang w:val="fr-CH"/>
        </w:rPr>
        <w:t>de juillet</w:t>
      </w:r>
      <w:r w:rsidR="00177D0A" w:rsidRPr="00572D0C">
        <w:rPr>
          <w:rFonts w:eastAsiaTheme="minorEastAsia"/>
          <w:lang w:val="fr-CH"/>
        </w:rPr>
        <w:t xml:space="preserve"> 1986</w:t>
      </w:r>
      <w:r w:rsidR="00177D0A" w:rsidRPr="00572D0C">
        <w:rPr>
          <w:rStyle w:val="Funotenzeichen"/>
          <w:rFonts w:eastAsiaTheme="minorEastAsia"/>
          <w:lang w:val="fr-CH"/>
        </w:rPr>
        <w:footnoteReference w:id="5"/>
      </w:r>
      <w:r w:rsidR="00177D0A" w:rsidRPr="00572D0C">
        <w:rPr>
          <w:rFonts w:eastAsiaTheme="minorEastAsia"/>
          <w:lang w:val="fr-CH"/>
        </w:rPr>
        <w:t>,</w:t>
      </w:r>
      <w:r w:rsidR="001A4276">
        <w:rPr>
          <w:rFonts w:eastAsiaTheme="minorEastAsia"/>
          <w:lang w:val="fr-CH"/>
        </w:rPr>
        <w:t xml:space="preserve"> mais également l’aide à la mise en œuvre des Offices fédéraux de l’aménagement du territoire et de l’agriculture de</w:t>
      </w:r>
      <w:r w:rsidR="00177D0A" w:rsidRPr="00572D0C">
        <w:rPr>
          <w:rFonts w:eastAsiaTheme="minorEastAsia"/>
          <w:lang w:val="fr-CH"/>
        </w:rPr>
        <w:t xml:space="preserve"> 1983</w:t>
      </w:r>
      <w:r w:rsidR="00345C5F" w:rsidRPr="00572D0C">
        <w:rPr>
          <w:rStyle w:val="Funotenzeichen"/>
          <w:rFonts w:eastAsiaTheme="minorEastAsia"/>
          <w:lang w:val="fr-CH"/>
        </w:rPr>
        <w:footnoteReference w:id="6"/>
      </w:r>
      <w:r w:rsidR="00177D0A" w:rsidRPr="00572D0C">
        <w:rPr>
          <w:rFonts w:eastAsiaTheme="minorEastAsia"/>
          <w:lang w:val="fr-CH"/>
        </w:rPr>
        <w:t xml:space="preserve"> l</w:t>
      </w:r>
      <w:r w:rsidR="001A4276">
        <w:rPr>
          <w:rFonts w:eastAsiaTheme="minorEastAsia"/>
          <w:lang w:val="fr-CH"/>
        </w:rPr>
        <w:t>aissaient une marge de manœuvre considérable</w:t>
      </w:r>
      <w:r w:rsidR="00CD4E8D">
        <w:rPr>
          <w:rFonts w:eastAsiaTheme="minorEastAsia"/>
          <w:lang w:val="fr-CH"/>
        </w:rPr>
        <w:t xml:space="preserve"> aux cantons</w:t>
      </w:r>
      <w:r w:rsidR="00177D0A" w:rsidRPr="00572D0C" w:rsidDel="00B82663">
        <w:rPr>
          <w:rFonts w:eastAsiaTheme="minorEastAsia"/>
          <w:lang w:val="fr-CH"/>
        </w:rPr>
        <w:t>.</w:t>
      </w:r>
      <w:r w:rsidR="00885A14" w:rsidRPr="00572D0C">
        <w:rPr>
          <w:lang w:val="fr-CH"/>
        </w:rPr>
        <w:t xml:space="preserve"> S</w:t>
      </w:r>
      <w:r w:rsidR="006D6D01">
        <w:rPr>
          <w:lang w:val="fr-CH"/>
        </w:rPr>
        <w:t>el</w:t>
      </w:r>
      <w:r w:rsidR="00885A14" w:rsidRPr="00572D0C">
        <w:rPr>
          <w:lang w:val="fr-CH"/>
        </w:rPr>
        <w:t>o</w:t>
      </w:r>
      <w:r w:rsidR="006D6D01">
        <w:rPr>
          <w:lang w:val="fr-CH"/>
        </w:rPr>
        <w:t>n le</w:t>
      </w:r>
      <w:r w:rsidR="00CD4E8D">
        <w:rPr>
          <w:lang w:val="fr-CH"/>
        </w:rPr>
        <w:t>s</w:t>
      </w:r>
      <w:r w:rsidR="006D6D01">
        <w:rPr>
          <w:lang w:val="fr-CH"/>
        </w:rPr>
        <w:t xml:space="preserve"> canton</w:t>
      </w:r>
      <w:r w:rsidR="00CD4E8D">
        <w:rPr>
          <w:lang w:val="fr-CH"/>
        </w:rPr>
        <w:t>s</w:t>
      </w:r>
      <w:r w:rsidR="006D6D01">
        <w:rPr>
          <w:lang w:val="fr-CH"/>
        </w:rPr>
        <w:t>, la pente maximale de</w:t>
      </w:r>
      <w:r w:rsidR="009769E1">
        <w:rPr>
          <w:lang w:val="fr-CH"/>
        </w:rPr>
        <w:t>s</w:t>
      </w:r>
      <w:r w:rsidR="006D6D01">
        <w:rPr>
          <w:lang w:val="fr-CH"/>
        </w:rPr>
        <w:t xml:space="preserve"> SDA</w:t>
      </w:r>
      <w:r w:rsidR="009769E1">
        <w:rPr>
          <w:lang w:val="fr-CH"/>
        </w:rPr>
        <w:t xml:space="preserve"> </w:t>
      </w:r>
      <w:r w:rsidR="00CD4E8D">
        <w:rPr>
          <w:lang w:val="fr-CH"/>
        </w:rPr>
        <w:t>actuellement inventoriées</w:t>
      </w:r>
      <w:r w:rsidR="00885A14" w:rsidRPr="00572D0C">
        <w:rPr>
          <w:lang w:val="fr-CH"/>
        </w:rPr>
        <w:t xml:space="preserve"> </w:t>
      </w:r>
      <w:r w:rsidR="006D6D01">
        <w:rPr>
          <w:lang w:val="fr-CH"/>
        </w:rPr>
        <w:t>oscille entre</w:t>
      </w:r>
      <w:r w:rsidR="00885A14" w:rsidRPr="00572D0C">
        <w:rPr>
          <w:lang w:val="fr-CH"/>
        </w:rPr>
        <w:t xml:space="preserve"> 18% </w:t>
      </w:r>
      <w:r w:rsidR="006D6D01">
        <w:rPr>
          <w:lang w:val="fr-CH"/>
        </w:rPr>
        <w:t>et</w:t>
      </w:r>
      <w:r w:rsidR="00885A14" w:rsidRPr="00572D0C">
        <w:rPr>
          <w:lang w:val="fr-CH"/>
        </w:rPr>
        <w:t xml:space="preserve"> 35%</w:t>
      </w:r>
      <w:r w:rsidR="006D6D01">
        <w:rPr>
          <w:lang w:val="fr-CH"/>
        </w:rPr>
        <w:t xml:space="preserve"> et la profondeur</w:t>
      </w:r>
      <w:r w:rsidR="00CD4E8D">
        <w:rPr>
          <w:lang w:val="fr-CH"/>
        </w:rPr>
        <w:t xml:space="preserve"> minimale</w:t>
      </w:r>
      <w:r w:rsidR="006D6D01">
        <w:rPr>
          <w:lang w:val="fr-CH"/>
        </w:rPr>
        <w:t xml:space="preserve"> du sol entre </w:t>
      </w:r>
      <w:r w:rsidR="00885A14" w:rsidRPr="00572D0C">
        <w:rPr>
          <w:lang w:val="fr-CH"/>
        </w:rPr>
        <w:t>30</w:t>
      </w:r>
      <w:r w:rsidR="00CD4E8D">
        <w:rPr>
          <w:lang w:val="fr-CH"/>
        </w:rPr>
        <w:t xml:space="preserve"> </w:t>
      </w:r>
      <w:r w:rsidR="006D6D01">
        <w:rPr>
          <w:lang w:val="fr-CH"/>
        </w:rPr>
        <w:t>cm et</w:t>
      </w:r>
      <w:r w:rsidR="00885A14" w:rsidRPr="00572D0C">
        <w:rPr>
          <w:lang w:val="fr-CH"/>
        </w:rPr>
        <w:t xml:space="preserve"> 50 cm</w:t>
      </w:r>
      <w:r w:rsidR="00885A14" w:rsidRPr="00572D0C">
        <w:rPr>
          <w:rStyle w:val="Funotenzeichen"/>
          <w:lang w:val="fr-CH"/>
        </w:rPr>
        <w:footnoteReference w:id="7"/>
      </w:r>
      <w:r w:rsidR="00CD4E8D">
        <w:rPr>
          <w:lang w:val="fr-CH"/>
        </w:rPr>
        <w:t>,</w:t>
      </w:r>
      <w:r w:rsidR="00885A14" w:rsidRPr="00572D0C">
        <w:rPr>
          <w:lang w:val="fr-CH"/>
        </w:rPr>
        <w:t xml:space="preserve"> </w:t>
      </w:r>
    </w:p>
    <w:p w14:paraId="720A704C" w14:textId="77A67CF2" w:rsidR="00885A14" w:rsidRPr="00572D0C" w:rsidRDefault="006D6D01" w:rsidP="799D40CD">
      <w:pPr>
        <w:rPr>
          <w:i/>
          <w:iCs/>
          <w:lang w:val="fr-CH"/>
        </w:rPr>
      </w:pPr>
      <w:r>
        <w:rPr>
          <w:i/>
          <w:iCs/>
          <w:lang w:val="fr-CH"/>
        </w:rPr>
        <w:t>Al</w:t>
      </w:r>
      <w:r w:rsidR="147A5F7B" w:rsidRPr="00572D0C">
        <w:rPr>
          <w:i/>
          <w:iCs/>
          <w:lang w:val="fr-CH"/>
        </w:rPr>
        <w:t>t</w:t>
      </w:r>
      <w:r>
        <w:rPr>
          <w:i/>
          <w:iCs/>
          <w:lang w:val="fr-CH"/>
        </w:rPr>
        <w:t>ération de la qualité des sols au fil du temps</w:t>
      </w:r>
    </w:p>
    <w:p w14:paraId="15831085" w14:textId="13FFFE6F" w:rsidR="00885A14" w:rsidRPr="00572D0C" w:rsidRDefault="006D6D01" w:rsidP="00885A14">
      <w:pPr>
        <w:autoSpaceDE w:val="0"/>
        <w:autoSpaceDN w:val="0"/>
        <w:adjustRightInd w:val="0"/>
        <w:spacing w:line="260" w:lineRule="exact"/>
        <w:rPr>
          <w:lang w:val="fr-CH"/>
        </w:rPr>
      </w:pPr>
      <w:r>
        <w:rPr>
          <w:lang w:val="fr-CH"/>
        </w:rPr>
        <w:t>Un sol peut se modifier au fil d</w:t>
      </w:r>
      <w:r w:rsidR="009B5AA7">
        <w:rPr>
          <w:lang w:val="fr-CH"/>
        </w:rPr>
        <w:t>u temps. Parmi les menaces qui pèsent sur les sols et qui les empêchent de remplir leurs fonctions, il convient de citer la compaction, l’érosion, l’apport de fertilisants et de polluants</w:t>
      </w:r>
      <w:r w:rsidR="009769E1">
        <w:rPr>
          <w:rStyle w:val="Funotenzeichen"/>
          <w:lang w:val="fr-CH"/>
        </w:rPr>
        <w:footnoteReference w:id="8"/>
      </w:r>
      <w:r w:rsidR="009B5AA7">
        <w:rPr>
          <w:lang w:val="fr-CH"/>
        </w:rPr>
        <w:t xml:space="preserve"> et l’acidification</w:t>
      </w:r>
      <w:r w:rsidR="00885A14" w:rsidRPr="00572D0C">
        <w:rPr>
          <w:rStyle w:val="Funotenzeichen"/>
          <w:lang w:val="fr-CH"/>
        </w:rPr>
        <w:footnoteReference w:id="9"/>
      </w:r>
      <w:r w:rsidR="00885A14" w:rsidRPr="00572D0C">
        <w:rPr>
          <w:lang w:val="fr-CH"/>
        </w:rPr>
        <w:t xml:space="preserve">. </w:t>
      </w:r>
    </w:p>
    <w:p w14:paraId="601D69FF" w14:textId="4A6AEFEB" w:rsidR="00885A14" w:rsidRPr="00572D0C" w:rsidRDefault="009B5AA7" w:rsidP="00885A14">
      <w:pPr>
        <w:rPr>
          <w:lang w:val="fr-CH"/>
        </w:rPr>
      </w:pPr>
      <w:r>
        <w:rPr>
          <w:lang w:val="fr-CH"/>
        </w:rPr>
        <w:lastRenderedPageBreak/>
        <w:t xml:space="preserve">Ces dernières décennies, les SDA </w:t>
      </w:r>
      <w:r w:rsidR="001C4739">
        <w:rPr>
          <w:lang w:val="fr-CH"/>
        </w:rPr>
        <w:t xml:space="preserve">inventoriées </w:t>
      </w:r>
      <w:r>
        <w:rPr>
          <w:lang w:val="fr-CH"/>
        </w:rPr>
        <w:t>ont subi diverses altérations de leur qualité. L</w:t>
      </w:r>
      <w:r w:rsidR="00B42A9C">
        <w:rPr>
          <w:lang w:val="fr-CH"/>
        </w:rPr>
        <w:t>es sols</w:t>
      </w:r>
      <w:r>
        <w:rPr>
          <w:lang w:val="fr-CH"/>
        </w:rPr>
        <w:t xml:space="preserve"> tourbe</w:t>
      </w:r>
      <w:r w:rsidR="00B42A9C">
        <w:rPr>
          <w:lang w:val="fr-CH"/>
        </w:rPr>
        <w:t>ux</w:t>
      </w:r>
      <w:r w:rsidR="147A5F7B" w:rsidRPr="00572D0C">
        <w:rPr>
          <w:lang w:val="fr-CH"/>
        </w:rPr>
        <w:t xml:space="preserve"> </w:t>
      </w:r>
      <w:r w:rsidR="000B697C">
        <w:rPr>
          <w:lang w:val="fr-CH"/>
        </w:rPr>
        <w:t xml:space="preserve">en </w:t>
      </w:r>
      <w:r w:rsidR="004A1138">
        <w:rPr>
          <w:lang w:val="fr-CH"/>
        </w:rPr>
        <w:t xml:space="preserve">sont un </w:t>
      </w:r>
      <w:r w:rsidR="00D60DAB">
        <w:rPr>
          <w:lang w:val="fr-CH"/>
        </w:rPr>
        <w:t xml:space="preserve">triste </w:t>
      </w:r>
      <w:r w:rsidR="004A1138">
        <w:rPr>
          <w:lang w:val="fr-CH"/>
        </w:rPr>
        <w:t>exemple : la minéralisation de leur substance organique a entraîné la diminution de la couche d’humus en profondeur</w:t>
      </w:r>
      <w:r w:rsidR="147A5F7B" w:rsidRPr="00572D0C">
        <w:rPr>
          <w:lang w:val="fr-CH"/>
        </w:rPr>
        <w:t xml:space="preserve">. </w:t>
      </w:r>
    </w:p>
    <w:p w14:paraId="637857DE" w14:textId="0534240B" w:rsidR="00885A14" w:rsidRPr="00572D0C" w:rsidRDefault="00D60DAB" w:rsidP="00885A14">
      <w:pPr>
        <w:autoSpaceDE w:val="0"/>
        <w:autoSpaceDN w:val="0"/>
        <w:adjustRightInd w:val="0"/>
        <w:spacing w:line="260" w:lineRule="exact"/>
        <w:rPr>
          <w:lang w:val="fr-CH"/>
        </w:rPr>
      </w:pPr>
      <w:r>
        <w:rPr>
          <w:lang w:val="fr-CH"/>
        </w:rPr>
        <w:t>Des préoccupations au sujet de l’état de la fertilité des sols avaient été exprimées déjà lors de</w:t>
      </w:r>
      <w:r w:rsidR="00FD2878">
        <w:rPr>
          <w:lang w:val="fr-CH"/>
        </w:rPr>
        <w:t xml:space="preserve"> </w:t>
      </w:r>
      <w:r>
        <w:rPr>
          <w:lang w:val="fr-CH"/>
        </w:rPr>
        <w:t>l</w:t>
      </w:r>
      <w:r w:rsidR="00992C58">
        <w:rPr>
          <w:lang w:val="fr-CH"/>
        </w:rPr>
        <w:t>’an</w:t>
      </w:r>
      <w:r w:rsidR="00071451">
        <w:rPr>
          <w:lang w:val="fr-CH"/>
        </w:rPr>
        <w:t>a</w:t>
      </w:r>
      <w:r w:rsidR="00885A14" w:rsidRPr="00572D0C">
        <w:rPr>
          <w:lang w:val="fr-CH"/>
        </w:rPr>
        <w:t>lyse d</w:t>
      </w:r>
      <w:r w:rsidR="00071451">
        <w:rPr>
          <w:lang w:val="fr-CH"/>
        </w:rPr>
        <w:t xml:space="preserve">u </w:t>
      </w:r>
      <w:r w:rsidR="005A3CAA">
        <w:rPr>
          <w:lang w:val="fr-CH"/>
        </w:rPr>
        <w:t>P</w:t>
      </w:r>
      <w:r w:rsidR="00071451">
        <w:rPr>
          <w:lang w:val="fr-CH"/>
        </w:rPr>
        <w:t>lan sectoriel des surfaces d’assoleme</w:t>
      </w:r>
      <w:r w:rsidR="00885A14" w:rsidRPr="00572D0C">
        <w:rPr>
          <w:lang w:val="fr-CH"/>
        </w:rPr>
        <w:t>n</w:t>
      </w:r>
      <w:r w:rsidR="00071451">
        <w:rPr>
          <w:lang w:val="fr-CH"/>
        </w:rPr>
        <w:t>t de</w:t>
      </w:r>
      <w:r w:rsidR="00885A14" w:rsidRPr="00572D0C">
        <w:rPr>
          <w:lang w:val="fr-CH"/>
        </w:rPr>
        <w:t xml:space="preserve"> 2003</w:t>
      </w:r>
      <w:r w:rsidR="00885A14" w:rsidRPr="00572D0C">
        <w:rPr>
          <w:rStyle w:val="Funotenzeichen"/>
          <w:lang w:val="fr-CH"/>
        </w:rPr>
        <w:footnoteReference w:id="10"/>
      </w:r>
      <w:r w:rsidR="00885A14" w:rsidRPr="00572D0C">
        <w:rPr>
          <w:lang w:val="fr-CH"/>
        </w:rPr>
        <w:t xml:space="preserve">. </w:t>
      </w:r>
      <w:r w:rsidR="00071451">
        <w:rPr>
          <w:lang w:val="fr-CH"/>
        </w:rPr>
        <w:t>Il faut sans doute considérer que la qualité de certains sols particulièrement fragiles s’est altérée depuis leur première désignation de SDA</w:t>
      </w:r>
      <w:r w:rsidR="00885A14" w:rsidRPr="00572D0C">
        <w:rPr>
          <w:lang w:val="fr-CH"/>
        </w:rPr>
        <w:t xml:space="preserve">. </w:t>
      </w:r>
      <w:r w:rsidR="00FD2878">
        <w:rPr>
          <w:lang w:val="fr-CH"/>
        </w:rPr>
        <w:t>Il est probable que certains</w:t>
      </w:r>
      <w:r w:rsidR="00CD584E">
        <w:rPr>
          <w:lang w:val="fr-CH"/>
        </w:rPr>
        <w:t xml:space="preserve"> d’entre eux ne remplissent plus les critères de qualité, ou </w:t>
      </w:r>
      <w:r w:rsidR="00FD2878">
        <w:rPr>
          <w:lang w:val="fr-CH"/>
        </w:rPr>
        <w:t>qu’ils les remplissent</w:t>
      </w:r>
      <w:r w:rsidR="00CD584E">
        <w:rPr>
          <w:lang w:val="fr-CH"/>
        </w:rPr>
        <w:t xml:space="preserve"> tout juste encore</w:t>
      </w:r>
      <w:r w:rsidR="00885A14" w:rsidRPr="00572D0C">
        <w:rPr>
          <w:lang w:val="fr-CH"/>
        </w:rPr>
        <w:t xml:space="preserve">. </w:t>
      </w:r>
    </w:p>
    <w:p w14:paraId="36470782" w14:textId="267C3C59" w:rsidR="00B266B2" w:rsidRPr="00572D0C" w:rsidRDefault="00CD584E" w:rsidP="00B266B2">
      <w:pPr>
        <w:rPr>
          <w:lang w:val="fr-CH"/>
        </w:rPr>
      </w:pPr>
      <w:r>
        <w:rPr>
          <w:lang w:val="fr-CH"/>
        </w:rPr>
        <w:t>Quand</w:t>
      </w:r>
      <w:r w:rsidR="001E3CA9">
        <w:rPr>
          <w:lang w:val="fr-CH"/>
        </w:rPr>
        <w:t xml:space="preserve"> les données </w:t>
      </w:r>
      <w:r>
        <w:rPr>
          <w:lang w:val="fr-CH"/>
        </w:rPr>
        <w:t>pédologiques disponibles sont</w:t>
      </w:r>
      <w:r w:rsidR="001E3CA9">
        <w:rPr>
          <w:lang w:val="fr-CH"/>
        </w:rPr>
        <w:t xml:space="preserve"> fiables,</w:t>
      </w:r>
      <w:r w:rsidR="147A5F7B" w:rsidRPr="00572D0C">
        <w:rPr>
          <w:lang w:val="fr-CH"/>
        </w:rPr>
        <w:t xml:space="preserve"> </w:t>
      </w:r>
      <w:r w:rsidR="00071451">
        <w:rPr>
          <w:lang w:val="fr-CH"/>
        </w:rPr>
        <w:t>les relevés achevés en</w:t>
      </w:r>
      <w:r w:rsidR="147A5F7B" w:rsidRPr="00572D0C">
        <w:rPr>
          <w:lang w:val="fr-CH"/>
        </w:rPr>
        <w:t xml:space="preserve"> </w:t>
      </w:r>
      <w:r w:rsidR="6481C0C8" w:rsidRPr="00572D0C">
        <w:rPr>
          <w:lang w:val="fr-CH"/>
        </w:rPr>
        <w:t xml:space="preserve">1988 </w:t>
      </w:r>
      <w:r w:rsidR="00071451">
        <w:rPr>
          <w:lang w:val="fr-CH"/>
        </w:rPr>
        <w:t>ne sont pas remis en question et les surfaces qualifiées de SDA en</w:t>
      </w:r>
      <w:r w:rsidR="147A5F7B" w:rsidRPr="00572D0C">
        <w:rPr>
          <w:lang w:val="fr-CH"/>
        </w:rPr>
        <w:t xml:space="preserve"> </w:t>
      </w:r>
      <w:r w:rsidR="00A62A05" w:rsidRPr="00572D0C">
        <w:rPr>
          <w:lang w:val="fr-CH"/>
        </w:rPr>
        <w:t>19</w:t>
      </w:r>
      <w:r w:rsidR="6481C0C8" w:rsidRPr="00572D0C">
        <w:rPr>
          <w:lang w:val="fr-CH"/>
        </w:rPr>
        <w:t>88</w:t>
      </w:r>
      <w:r w:rsidR="00A62A05" w:rsidRPr="00572D0C">
        <w:rPr>
          <w:lang w:val="fr-CH"/>
        </w:rPr>
        <w:t xml:space="preserve"> </w:t>
      </w:r>
      <w:r w:rsidR="001C4739">
        <w:rPr>
          <w:lang w:val="fr-CH"/>
        </w:rPr>
        <w:t>et répertoriées dans les inventaires</w:t>
      </w:r>
      <w:r w:rsidR="00FD2878">
        <w:rPr>
          <w:lang w:val="fr-CH"/>
        </w:rPr>
        <w:t xml:space="preserve"> cantonaux</w:t>
      </w:r>
      <w:r w:rsidR="001C4739">
        <w:rPr>
          <w:lang w:val="fr-CH"/>
        </w:rPr>
        <w:t xml:space="preserve"> </w:t>
      </w:r>
      <w:r w:rsidR="001E3CA9">
        <w:rPr>
          <w:lang w:val="fr-CH"/>
        </w:rPr>
        <w:t xml:space="preserve">continuent d’être considérées comme </w:t>
      </w:r>
      <w:r>
        <w:rPr>
          <w:lang w:val="fr-CH"/>
        </w:rPr>
        <w:t>telles</w:t>
      </w:r>
      <w:r w:rsidR="147A5F7B" w:rsidRPr="00572D0C">
        <w:rPr>
          <w:lang w:val="fr-CH"/>
        </w:rPr>
        <w:t xml:space="preserve">. </w:t>
      </w:r>
      <w:r w:rsidR="001E3CA9">
        <w:rPr>
          <w:lang w:val="fr-CH"/>
        </w:rPr>
        <w:t>Les cantons sont toutefois tenus de fonder leurs inventaires sur des informations</w:t>
      </w:r>
      <w:r>
        <w:rPr>
          <w:lang w:val="fr-CH"/>
        </w:rPr>
        <w:t xml:space="preserve"> pédologiques</w:t>
      </w:r>
      <w:r w:rsidR="001E3CA9">
        <w:rPr>
          <w:lang w:val="fr-CH"/>
        </w:rPr>
        <w:t xml:space="preserve"> fiables</w:t>
      </w:r>
      <w:r w:rsidR="001C4739">
        <w:rPr>
          <w:lang w:val="fr-CH"/>
        </w:rPr>
        <w:t>, c’est-à-dire</w:t>
      </w:r>
      <w:r w:rsidR="001E3CA9">
        <w:rPr>
          <w:lang w:val="fr-CH"/>
        </w:rPr>
        <w:t xml:space="preserve"> de cartographier leurs sols selon l’état actuel de la technique, </w:t>
      </w:r>
      <w:r w:rsidR="00D57591">
        <w:rPr>
          <w:lang w:val="fr-CH"/>
        </w:rPr>
        <w:t>soit</w:t>
      </w:r>
      <w:r w:rsidR="001E3CA9">
        <w:rPr>
          <w:lang w:val="fr-CH"/>
        </w:rPr>
        <w:t xml:space="preserve"> selon la méthode </w:t>
      </w:r>
      <w:r w:rsidR="00CB069F" w:rsidRPr="00572D0C">
        <w:rPr>
          <w:lang w:val="fr-CH"/>
        </w:rPr>
        <w:t>FAL 24+</w:t>
      </w:r>
      <w:r w:rsidR="00FD2878">
        <w:rPr>
          <w:lang w:val="fr-CH"/>
        </w:rPr>
        <w:t>,</w:t>
      </w:r>
      <w:r w:rsidR="001C4739">
        <w:rPr>
          <w:lang w:val="fr-CH"/>
        </w:rPr>
        <w:t xml:space="preserve"> et de délimiter leurs SDA en se conformant aux critères de qualité définis dans le </w:t>
      </w:r>
      <w:r w:rsidR="005A3CAA">
        <w:rPr>
          <w:lang w:val="fr-CH"/>
        </w:rPr>
        <w:t>P</w:t>
      </w:r>
      <w:r w:rsidR="001C4739">
        <w:rPr>
          <w:lang w:val="fr-CH"/>
        </w:rPr>
        <w:t>lan sectoriel.</w:t>
      </w:r>
      <w:r w:rsidR="00AC310F" w:rsidRPr="00572D0C">
        <w:rPr>
          <w:lang w:val="fr-CH"/>
        </w:rPr>
        <w:t xml:space="preserve"> </w:t>
      </w:r>
      <w:r w:rsidR="001E3CA9">
        <w:rPr>
          <w:lang w:val="fr-CH"/>
        </w:rPr>
        <w:t xml:space="preserve">Les nouvelles cartographies et les relevés de SDA </w:t>
      </w:r>
      <w:r w:rsidR="00F861DC">
        <w:rPr>
          <w:lang w:val="fr-CH"/>
        </w:rPr>
        <w:t>fondés sur celles-ci dans quelques cantons</w:t>
      </w:r>
      <w:r w:rsidR="001E3CA9">
        <w:rPr>
          <w:lang w:val="fr-CH"/>
        </w:rPr>
        <w:t xml:space="preserve"> ont montré qu’il est en principe possible de respecter les contingents</w:t>
      </w:r>
      <w:r w:rsidR="00F861DC">
        <w:rPr>
          <w:lang w:val="fr-CH"/>
        </w:rPr>
        <w:t>,</w:t>
      </w:r>
      <w:r w:rsidR="001E3CA9">
        <w:rPr>
          <w:lang w:val="fr-CH"/>
        </w:rPr>
        <w:t xml:space="preserve"> mais que les surfaces</w:t>
      </w:r>
      <w:r w:rsidR="00FD2878">
        <w:rPr>
          <w:lang w:val="fr-CH"/>
        </w:rPr>
        <w:t xml:space="preserve"> concernées</w:t>
      </w:r>
      <w:r w:rsidR="001E3CA9">
        <w:rPr>
          <w:lang w:val="fr-CH"/>
        </w:rPr>
        <w:t xml:space="preserve"> </w:t>
      </w:r>
      <w:r w:rsidR="00F861DC">
        <w:rPr>
          <w:lang w:val="fr-CH"/>
        </w:rPr>
        <w:t>se trouvent en partie ailleurs</w:t>
      </w:r>
      <w:r w:rsidR="147A5F7B" w:rsidRPr="00572D0C" w:rsidDel="00CB069F">
        <w:rPr>
          <w:lang w:val="fr-CH"/>
        </w:rPr>
        <w:t xml:space="preserve">. </w:t>
      </w:r>
    </w:p>
    <w:p w14:paraId="3C38E957" w14:textId="23BAB565" w:rsidR="001C4739" w:rsidRPr="002313E3" w:rsidRDefault="00E62AB2" w:rsidP="00501D1D">
      <w:pPr>
        <w:pStyle w:val="berschrift2"/>
        <w:rPr>
          <w:lang w:val="fr-CH"/>
        </w:rPr>
      </w:pPr>
      <w:bookmarkStart w:id="39" w:name="_Toc531102178"/>
      <w:bookmarkStart w:id="40" w:name="_Toc531103696"/>
      <w:bookmarkStart w:id="41" w:name="_Toc531192990"/>
      <w:bookmarkStart w:id="42" w:name="_Toc532996280"/>
      <w:r w:rsidRPr="002313E3">
        <w:rPr>
          <w:lang w:val="fr-CH"/>
        </w:rPr>
        <w:t xml:space="preserve">Parenthèse </w:t>
      </w:r>
      <w:r w:rsidR="001C4739" w:rsidRPr="002313E3">
        <w:rPr>
          <w:lang w:val="fr-CH"/>
        </w:rPr>
        <w:t xml:space="preserve">: </w:t>
      </w:r>
      <w:bookmarkEnd w:id="39"/>
      <w:bookmarkEnd w:id="40"/>
      <w:r w:rsidR="00C1351E" w:rsidRPr="002313E3">
        <w:rPr>
          <w:lang w:val="fr-FR"/>
        </w:rPr>
        <w:t>cartographie des sols en Suisse</w:t>
      </w:r>
      <w:bookmarkEnd w:id="41"/>
      <w:bookmarkEnd w:id="42"/>
    </w:p>
    <w:p w14:paraId="6E5C818C" w14:textId="57EBB383" w:rsidR="001C4739" w:rsidRPr="00AB7469" w:rsidRDefault="00D50A86" w:rsidP="001C4739">
      <w:pPr>
        <w:rPr>
          <w:rFonts w:eastAsiaTheme="minorHAnsi"/>
          <w:lang w:val="fr-CH" w:eastAsia="en-US"/>
        </w:rPr>
      </w:pPr>
      <w:r>
        <w:rPr>
          <w:rFonts w:eastAsiaTheme="minorHAnsi"/>
          <w:lang w:val="fr-CH" w:eastAsia="en-US"/>
        </w:rPr>
        <w:t xml:space="preserve">Une cartographie </w:t>
      </w:r>
      <w:r w:rsidR="003445DC">
        <w:rPr>
          <w:rFonts w:eastAsiaTheme="minorHAnsi"/>
          <w:lang w:val="fr-CH" w:eastAsia="en-US"/>
        </w:rPr>
        <w:t xml:space="preserve">nationale </w:t>
      </w:r>
      <w:r>
        <w:rPr>
          <w:rFonts w:eastAsiaTheme="minorHAnsi"/>
          <w:lang w:val="fr-CH" w:eastAsia="en-US"/>
        </w:rPr>
        <w:t xml:space="preserve">des sols </w:t>
      </w:r>
      <w:r w:rsidR="00E62AB2">
        <w:rPr>
          <w:rFonts w:eastAsiaTheme="minorHAnsi"/>
          <w:lang w:val="fr-CH" w:eastAsia="en-US"/>
        </w:rPr>
        <w:t xml:space="preserve">ne fournit pas seulement </w:t>
      </w:r>
      <w:r w:rsidR="003445DC">
        <w:rPr>
          <w:rFonts w:eastAsiaTheme="minorHAnsi"/>
          <w:lang w:val="fr-CH" w:eastAsia="en-US"/>
        </w:rPr>
        <w:t>une base de données fiable sur laquelle s’appuyer pour délimiter les SDA selon leurs qualités pédologiques réelles</w:t>
      </w:r>
      <w:r w:rsidR="00E62AB2">
        <w:rPr>
          <w:rFonts w:eastAsiaTheme="minorHAnsi"/>
          <w:lang w:val="fr-CH" w:eastAsia="en-US"/>
        </w:rPr>
        <w:t>.</w:t>
      </w:r>
      <w:r w:rsidR="003445DC">
        <w:rPr>
          <w:rFonts w:eastAsiaTheme="minorHAnsi"/>
          <w:lang w:val="fr-CH" w:eastAsia="en-US"/>
        </w:rPr>
        <w:t xml:space="preserve"> </w:t>
      </w:r>
      <w:r w:rsidR="00E62AB2">
        <w:rPr>
          <w:rFonts w:eastAsiaTheme="minorHAnsi"/>
          <w:lang w:val="fr-CH" w:eastAsia="en-US"/>
        </w:rPr>
        <w:t xml:space="preserve">Elle livre également des informations importantes qui peuvent entraîner des économies considérables </w:t>
      </w:r>
      <w:r w:rsidR="003445DC">
        <w:rPr>
          <w:rFonts w:eastAsiaTheme="minorHAnsi"/>
          <w:lang w:val="fr-CH" w:eastAsia="en-US"/>
        </w:rPr>
        <w:t>dans d’autres domaines politiques, par exemple la production de denrées alimentaires, l’aménagement du territoire, l’agriculture, la sylviculture, la politique climatique et la protection de l’environnement</w:t>
      </w:r>
      <w:r w:rsidR="001C4739" w:rsidRPr="00AB7469">
        <w:rPr>
          <w:rFonts w:eastAsiaTheme="minorHAnsi"/>
          <w:lang w:val="fr-CH" w:eastAsia="en-US"/>
        </w:rPr>
        <w:t>.</w:t>
      </w:r>
    </w:p>
    <w:p w14:paraId="6DE2DAFB" w14:textId="0BFE7C2C" w:rsidR="001C4739" w:rsidRPr="00AB7469" w:rsidRDefault="003445DC" w:rsidP="001C4739">
      <w:pPr>
        <w:rPr>
          <w:rFonts w:eastAsiaTheme="minorHAnsi"/>
          <w:lang w:val="fr-CH" w:eastAsia="en-US"/>
        </w:rPr>
      </w:pPr>
      <w:r>
        <w:rPr>
          <w:rFonts w:eastAsiaTheme="minorHAnsi"/>
          <w:lang w:val="fr-CH" w:eastAsia="en-US"/>
        </w:rPr>
        <w:t xml:space="preserve">Selon </w:t>
      </w:r>
      <w:r w:rsidR="00E62AB2">
        <w:rPr>
          <w:rFonts w:eastAsiaTheme="minorHAnsi"/>
          <w:lang w:val="fr-CH" w:eastAsia="en-US"/>
        </w:rPr>
        <w:t xml:space="preserve">des </w:t>
      </w:r>
      <w:r>
        <w:rPr>
          <w:rFonts w:eastAsiaTheme="minorHAnsi"/>
          <w:lang w:val="fr-CH" w:eastAsia="en-US"/>
        </w:rPr>
        <w:t xml:space="preserve">estimations actuelles, le coût d’une cartographie nationale des sols </w:t>
      </w:r>
      <w:r w:rsidR="00C5338F">
        <w:rPr>
          <w:rFonts w:eastAsiaTheme="minorHAnsi"/>
          <w:lang w:val="fr-CH" w:eastAsia="en-US"/>
        </w:rPr>
        <w:t>serai</w:t>
      </w:r>
      <w:r w:rsidR="00E62AB2">
        <w:rPr>
          <w:rFonts w:eastAsiaTheme="minorHAnsi"/>
          <w:lang w:val="fr-CH" w:eastAsia="en-US"/>
        </w:rPr>
        <w:t>t compris</w:t>
      </w:r>
      <w:r>
        <w:rPr>
          <w:rFonts w:eastAsiaTheme="minorHAnsi"/>
          <w:lang w:val="fr-CH" w:eastAsia="en-US"/>
        </w:rPr>
        <w:t xml:space="preserve"> entre</w:t>
      </w:r>
      <w:r w:rsidR="001C4739" w:rsidRPr="00AB7469">
        <w:rPr>
          <w:rFonts w:eastAsiaTheme="minorHAnsi"/>
          <w:lang w:val="fr-CH" w:eastAsia="en-US"/>
        </w:rPr>
        <w:t xml:space="preserve"> 15 </w:t>
      </w:r>
      <w:r>
        <w:rPr>
          <w:rFonts w:eastAsiaTheme="minorHAnsi"/>
          <w:lang w:val="fr-CH" w:eastAsia="en-US"/>
        </w:rPr>
        <w:t>et</w:t>
      </w:r>
      <w:r w:rsidR="001C4739" w:rsidRPr="00AB7469">
        <w:rPr>
          <w:rFonts w:eastAsiaTheme="minorHAnsi"/>
          <w:lang w:val="fr-CH" w:eastAsia="en-US"/>
        </w:rPr>
        <w:t xml:space="preserve"> 25 </w:t>
      </w:r>
      <w:r>
        <w:rPr>
          <w:rFonts w:eastAsiaTheme="minorHAnsi"/>
          <w:lang w:val="fr-CH" w:eastAsia="en-US"/>
        </w:rPr>
        <w:t>millions de francs par année</w:t>
      </w:r>
      <w:r w:rsidR="001C4739" w:rsidRPr="00AB7469">
        <w:rPr>
          <w:rFonts w:eastAsiaTheme="minorHAnsi"/>
          <w:lang w:val="fr-CH" w:eastAsia="en-US"/>
        </w:rPr>
        <w:t xml:space="preserve">. </w:t>
      </w:r>
      <w:r w:rsidR="00DE596A">
        <w:rPr>
          <w:rFonts w:eastAsiaTheme="minorHAnsi"/>
          <w:lang w:val="fr-CH" w:eastAsia="en-US"/>
        </w:rPr>
        <w:t xml:space="preserve">En fonction des préférences </w:t>
      </w:r>
      <w:r w:rsidR="00C5338F">
        <w:rPr>
          <w:rFonts w:eastAsiaTheme="minorHAnsi"/>
          <w:lang w:val="fr-CH" w:eastAsia="en-US"/>
        </w:rPr>
        <w:t>sur les</w:t>
      </w:r>
      <w:r w:rsidR="00DE596A">
        <w:rPr>
          <w:rFonts w:eastAsiaTheme="minorHAnsi"/>
          <w:lang w:val="fr-CH" w:eastAsia="en-US"/>
        </w:rPr>
        <w:t xml:space="preserve"> régions</w:t>
      </w:r>
      <w:r w:rsidR="00AB7469">
        <w:rPr>
          <w:rFonts w:eastAsiaTheme="minorHAnsi"/>
          <w:lang w:val="fr-CH" w:eastAsia="en-US"/>
        </w:rPr>
        <w:t xml:space="preserve"> et utilisations</w:t>
      </w:r>
      <w:r w:rsidR="007D282A">
        <w:rPr>
          <w:rFonts w:eastAsiaTheme="minorHAnsi"/>
          <w:lang w:val="fr-CH" w:eastAsia="en-US"/>
        </w:rPr>
        <w:t xml:space="preserve"> à cartographier</w:t>
      </w:r>
      <w:r w:rsidR="00AB7469">
        <w:rPr>
          <w:rFonts w:eastAsiaTheme="minorHAnsi"/>
          <w:lang w:val="fr-CH" w:eastAsia="en-US"/>
        </w:rPr>
        <w:t xml:space="preserve">, un tel investissement pourrait </w:t>
      </w:r>
      <w:r w:rsidR="00C5338F">
        <w:rPr>
          <w:rFonts w:eastAsiaTheme="minorHAnsi"/>
          <w:lang w:val="fr-CH" w:eastAsia="en-US"/>
        </w:rPr>
        <w:t>s’échelonner</w:t>
      </w:r>
      <w:r w:rsidR="00AB7469">
        <w:rPr>
          <w:rFonts w:eastAsiaTheme="minorHAnsi"/>
          <w:lang w:val="fr-CH" w:eastAsia="en-US"/>
        </w:rPr>
        <w:t xml:space="preserve"> sur deux à trois décennies. </w:t>
      </w:r>
      <w:r w:rsidR="00C5338F">
        <w:rPr>
          <w:rFonts w:eastAsiaTheme="minorHAnsi"/>
          <w:lang w:val="fr-CH" w:eastAsia="en-US"/>
        </w:rPr>
        <w:t>Le coût et le calendrier estimés</w:t>
      </w:r>
      <w:r w:rsidR="00AB7469">
        <w:rPr>
          <w:rFonts w:eastAsiaTheme="minorHAnsi"/>
          <w:lang w:val="fr-CH" w:eastAsia="en-US"/>
        </w:rPr>
        <w:t xml:space="preserve"> </w:t>
      </w:r>
      <w:r w:rsidR="00C5338F">
        <w:rPr>
          <w:rFonts w:eastAsiaTheme="minorHAnsi"/>
          <w:lang w:val="fr-CH" w:eastAsia="en-US"/>
        </w:rPr>
        <w:t xml:space="preserve">sont </w:t>
      </w:r>
      <w:r w:rsidR="00AB7469">
        <w:rPr>
          <w:rFonts w:eastAsiaTheme="minorHAnsi"/>
          <w:lang w:val="fr-CH" w:eastAsia="en-US"/>
        </w:rPr>
        <w:t xml:space="preserve">toutefois </w:t>
      </w:r>
      <w:r w:rsidR="00C5338F">
        <w:rPr>
          <w:rFonts w:eastAsiaTheme="minorHAnsi"/>
          <w:lang w:val="fr-CH" w:eastAsia="en-US"/>
        </w:rPr>
        <w:t>très incertains,</w:t>
      </w:r>
      <w:r w:rsidR="00AB7469">
        <w:rPr>
          <w:rFonts w:eastAsiaTheme="minorHAnsi"/>
          <w:lang w:val="fr-CH" w:eastAsia="en-US"/>
        </w:rPr>
        <w:t xml:space="preserve"> </w:t>
      </w:r>
      <w:r w:rsidR="00C5338F">
        <w:rPr>
          <w:rFonts w:eastAsiaTheme="minorHAnsi"/>
          <w:lang w:val="fr-CH" w:eastAsia="en-US"/>
        </w:rPr>
        <w:t>car</w:t>
      </w:r>
      <w:r w:rsidR="00DE596A">
        <w:rPr>
          <w:rFonts w:eastAsiaTheme="minorHAnsi"/>
          <w:lang w:val="fr-CH" w:eastAsia="en-US"/>
        </w:rPr>
        <w:t xml:space="preserve"> les relevés pourraient être effectués de manière plus efficace à l’avenir</w:t>
      </w:r>
      <w:r w:rsidR="001C4739" w:rsidRPr="00AB7469">
        <w:rPr>
          <w:rFonts w:eastAsiaTheme="minorHAnsi"/>
          <w:lang w:val="fr-CH" w:eastAsia="en-US"/>
        </w:rPr>
        <w:t>.</w:t>
      </w:r>
      <w:r w:rsidR="00DE596A">
        <w:rPr>
          <w:rFonts w:eastAsiaTheme="minorHAnsi"/>
          <w:lang w:val="fr-CH" w:eastAsia="en-US"/>
        </w:rPr>
        <w:t xml:space="preserve"> </w:t>
      </w:r>
      <w:r w:rsidR="00C5338F">
        <w:rPr>
          <w:rFonts w:eastAsiaTheme="minorHAnsi"/>
          <w:lang w:val="fr-CH" w:eastAsia="en-US"/>
        </w:rPr>
        <w:t xml:space="preserve">Cela dépendra d’une série de </w:t>
      </w:r>
      <w:r w:rsidR="00AB7469">
        <w:rPr>
          <w:rFonts w:eastAsiaTheme="minorHAnsi"/>
          <w:lang w:val="fr-CH" w:eastAsia="en-US"/>
        </w:rPr>
        <w:t xml:space="preserve">conditions-cadre, </w:t>
      </w:r>
      <w:r w:rsidR="00C5338F">
        <w:rPr>
          <w:rFonts w:eastAsiaTheme="minorHAnsi"/>
          <w:lang w:val="fr-CH" w:eastAsia="en-US"/>
        </w:rPr>
        <w:t xml:space="preserve">comme </w:t>
      </w:r>
      <w:r w:rsidR="00AB7469">
        <w:rPr>
          <w:rFonts w:eastAsiaTheme="minorHAnsi"/>
          <w:lang w:val="fr-CH" w:eastAsia="en-US"/>
        </w:rPr>
        <w:t xml:space="preserve">la </w:t>
      </w:r>
      <w:r w:rsidR="00DE596A">
        <w:rPr>
          <w:rFonts w:eastAsiaTheme="minorHAnsi"/>
          <w:lang w:val="fr-CH" w:eastAsia="en-US"/>
        </w:rPr>
        <w:t>mise en place</w:t>
      </w:r>
      <w:r w:rsidR="00AB7469">
        <w:rPr>
          <w:rFonts w:eastAsiaTheme="minorHAnsi"/>
          <w:lang w:val="fr-CH" w:eastAsia="en-US"/>
        </w:rPr>
        <w:t xml:space="preserve"> d’une infrastructure commun</w:t>
      </w:r>
      <w:r w:rsidR="00DE596A">
        <w:rPr>
          <w:rFonts w:eastAsiaTheme="minorHAnsi"/>
          <w:lang w:val="fr-CH" w:eastAsia="en-US"/>
        </w:rPr>
        <w:t>e</w:t>
      </w:r>
      <w:r w:rsidR="00AB7469">
        <w:rPr>
          <w:rFonts w:eastAsiaTheme="minorHAnsi"/>
          <w:lang w:val="fr-CH" w:eastAsia="en-US"/>
        </w:rPr>
        <w:t xml:space="preserve"> et la</w:t>
      </w:r>
      <w:r w:rsidR="00DE596A">
        <w:rPr>
          <w:rFonts w:eastAsiaTheme="minorHAnsi"/>
          <w:lang w:val="fr-CH" w:eastAsia="en-US"/>
        </w:rPr>
        <w:t xml:space="preserve"> superficie</w:t>
      </w:r>
      <w:r w:rsidR="00AB7469">
        <w:rPr>
          <w:rFonts w:eastAsiaTheme="minorHAnsi"/>
          <w:lang w:val="fr-CH" w:eastAsia="en-US"/>
        </w:rPr>
        <w:t xml:space="preserve"> des territoires </w:t>
      </w:r>
      <w:r w:rsidR="00DE596A">
        <w:rPr>
          <w:rFonts w:eastAsiaTheme="minorHAnsi"/>
          <w:lang w:val="fr-CH" w:eastAsia="en-US"/>
        </w:rPr>
        <w:t xml:space="preserve">à </w:t>
      </w:r>
      <w:r w:rsidR="00AB7469">
        <w:rPr>
          <w:rFonts w:eastAsiaTheme="minorHAnsi"/>
          <w:lang w:val="fr-CH" w:eastAsia="en-US"/>
        </w:rPr>
        <w:t>cartographi</w:t>
      </w:r>
      <w:r w:rsidR="00DE596A">
        <w:rPr>
          <w:rFonts w:eastAsiaTheme="minorHAnsi"/>
          <w:lang w:val="fr-CH" w:eastAsia="en-US"/>
        </w:rPr>
        <w:t>er</w:t>
      </w:r>
      <w:r w:rsidR="00AB7469">
        <w:rPr>
          <w:rFonts w:eastAsiaTheme="minorHAnsi"/>
          <w:lang w:val="fr-CH" w:eastAsia="en-US"/>
        </w:rPr>
        <w:t xml:space="preserve"> (</w:t>
      </w:r>
      <w:r w:rsidR="00DE596A">
        <w:rPr>
          <w:rFonts w:eastAsiaTheme="minorHAnsi"/>
          <w:lang w:val="fr-CH" w:eastAsia="en-US"/>
        </w:rPr>
        <w:t>économies</w:t>
      </w:r>
      <w:r w:rsidR="00AB7469">
        <w:rPr>
          <w:rFonts w:eastAsiaTheme="minorHAnsi"/>
          <w:lang w:val="fr-CH" w:eastAsia="en-US"/>
        </w:rPr>
        <w:t xml:space="preserve"> d’échelle). </w:t>
      </w:r>
      <w:r w:rsidR="00C5338F">
        <w:rPr>
          <w:rFonts w:eastAsiaTheme="minorHAnsi"/>
          <w:lang w:val="fr-CH" w:eastAsia="en-US"/>
        </w:rPr>
        <w:t xml:space="preserve">Des relevés sur </w:t>
      </w:r>
      <w:r w:rsidR="0094041D">
        <w:rPr>
          <w:rFonts w:eastAsiaTheme="minorHAnsi"/>
          <w:lang w:val="fr-CH" w:eastAsia="en-US"/>
        </w:rPr>
        <w:t>des zones plus étendues</w:t>
      </w:r>
      <w:r w:rsidR="00AB7469">
        <w:rPr>
          <w:rFonts w:eastAsiaTheme="minorHAnsi"/>
          <w:lang w:val="fr-CH" w:eastAsia="en-US"/>
        </w:rPr>
        <w:t xml:space="preserve"> qu’auparavant, </w:t>
      </w:r>
      <w:r w:rsidR="00C5338F">
        <w:rPr>
          <w:rFonts w:eastAsiaTheme="minorHAnsi"/>
          <w:lang w:val="fr-CH" w:eastAsia="en-US"/>
        </w:rPr>
        <w:t>des pro</w:t>
      </w:r>
      <w:r w:rsidR="0094041D">
        <w:rPr>
          <w:rFonts w:eastAsiaTheme="minorHAnsi"/>
          <w:lang w:val="fr-CH" w:eastAsia="en-US"/>
        </w:rPr>
        <w:t>g</w:t>
      </w:r>
      <w:r w:rsidR="00C5338F">
        <w:rPr>
          <w:rFonts w:eastAsiaTheme="minorHAnsi"/>
          <w:lang w:val="fr-CH" w:eastAsia="en-US"/>
        </w:rPr>
        <w:t xml:space="preserve">rès techniques dans les méthodes </w:t>
      </w:r>
      <w:r w:rsidR="00AB7469">
        <w:rPr>
          <w:rFonts w:eastAsiaTheme="minorHAnsi"/>
          <w:lang w:val="fr-CH" w:eastAsia="en-US"/>
        </w:rPr>
        <w:t>de relevé et d’analyse</w:t>
      </w:r>
      <w:r w:rsidR="0094041D">
        <w:rPr>
          <w:rFonts w:eastAsiaTheme="minorHAnsi"/>
          <w:lang w:val="fr-CH" w:eastAsia="en-US"/>
        </w:rPr>
        <w:t xml:space="preserve"> </w:t>
      </w:r>
      <w:r w:rsidR="00C5338F">
        <w:rPr>
          <w:rFonts w:eastAsiaTheme="minorHAnsi"/>
          <w:lang w:val="fr-CH" w:eastAsia="en-US"/>
        </w:rPr>
        <w:t>ainsi que l’utilisation de</w:t>
      </w:r>
      <w:r w:rsidR="00C92B30">
        <w:rPr>
          <w:rFonts w:eastAsiaTheme="minorHAnsi"/>
          <w:lang w:val="fr-CH" w:eastAsia="en-US"/>
        </w:rPr>
        <w:t xml:space="preserve"> </w:t>
      </w:r>
      <w:r w:rsidR="00AB7469">
        <w:rPr>
          <w:rFonts w:eastAsiaTheme="minorHAnsi"/>
          <w:lang w:val="fr-CH" w:eastAsia="en-US"/>
        </w:rPr>
        <w:t xml:space="preserve">méthodes </w:t>
      </w:r>
      <w:r w:rsidR="00C5338F">
        <w:rPr>
          <w:rFonts w:eastAsiaTheme="minorHAnsi"/>
          <w:lang w:val="fr-CH" w:eastAsia="en-US"/>
        </w:rPr>
        <w:t>de mesure géophysiques</w:t>
      </w:r>
      <w:r w:rsidR="00EC419D">
        <w:rPr>
          <w:rFonts w:eastAsiaTheme="minorHAnsi"/>
          <w:lang w:val="fr-CH" w:eastAsia="en-US"/>
        </w:rPr>
        <w:t xml:space="preserve"> et de méthodes de détection de proximité et à distance (télédétection)</w:t>
      </w:r>
      <w:r w:rsidR="001C4739" w:rsidRPr="00AB7469">
        <w:rPr>
          <w:rFonts w:eastAsiaTheme="minorHAnsi"/>
          <w:lang w:val="fr-CH" w:eastAsia="en-US"/>
        </w:rPr>
        <w:t xml:space="preserve"> </w:t>
      </w:r>
      <w:r w:rsidR="00EC419D">
        <w:rPr>
          <w:rFonts w:eastAsiaTheme="minorHAnsi"/>
          <w:lang w:val="fr-CH" w:eastAsia="en-US"/>
        </w:rPr>
        <w:t>permett</w:t>
      </w:r>
      <w:r w:rsidR="00FD2878">
        <w:rPr>
          <w:rFonts w:eastAsiaTheme="minorHAnsi"/>
          <w:lang w:val="fr-CH" w:eastAsia="en-US"/>
        </w:rPr>
        <w:t>en</w:t>
      </w:r>
      <w:r w:rsidR="00EC419D">
        <w:rPr>
          <w:rFonts w:eastAsiaTheme="minorHAnsi"/>
          <w:lang w:val="fr-CH" w:eastAsia="en-US"/>
        </w:rPr>
        <w:t xml:space="preserve">t </w:t>
      </w:r>
      <w:r w:rsidR="00C92B30">
        <w:rPr>
          <w:rFonts w:eastAsiaTheme="minorHAnsi"/>
          <w:lang w:val="fr-CH" w:eastAsia="en-US"/>
        </w:rPr>
        <w:t>des économies</w:t>
      </w:r>
      <w:r w:rsidR="00EC419D">
        <w:rPr>
          <w:rFonts w:eastAsiaTheme="minorHAnsi"/>
          <w:lang w:val="fr-CH" w:eastAsia="en-US"/>
        </w:rPr>
        <w:t xml:space="preserve"> de coûts</w:t>
      </w:r>
      <w:r w:rsidR="001C4739" w:rsidRPr="00AB7469">
        <w:rPr>
          <w:rFonts w:eastAsiaTheme="minorHAnsi"/>
          <w:lang w:val="fr-CH" w:eastAsia="en-US"/>
        </w:rPr>
        <w:t>.</w:t>
      </w:r>
    </w:p>
    <w:p w14:paraId="32F7CA97" w14:textId="6FA7F251" w:rsidR="001C4739" w:rsidRPr="00AB7469" w:rsidRDefault="00F2229C" w:rsidP="001C4739">
      <w:pPr>
        <w:rPr>
          <w:rFonts w:eastAsiaTheme="minorHAnsi"/>
          <w:lang w:val="fr-CH" w:eastAsia="en-US"/>
        </w:rPr>
      </w:pPr>
      <w:r>
        <w:rPr>
          <w:rFonts w:eastAsiaTheme="minorHAnsi"/>
          <w:lang w:val="fr-CH" w:eastAsia="en-US"/>
        </w:rPr>
        <w:t>La</w:t>
      </w:r>
      <w:r w:rsidR="007D282A">
        <w:rPr>
          <w:rFonts w:eastAsiaTheme="minorHAnsi"/>
          <w:lang w:val="fr-CH" w:eastAsia="en-US"/>
        </w:rPr>
        <w:t xml:space="preserve"> </w:t>
      </w:r>
      <w:r w:rsidR="00ED0B70">
        <w:rPr>
          <w:rFonts w:eastAsiaTheme="minorHAnsi"/>
          <w:lang w:val="fr-CH" w:eastAsia="en-US"/>
        </w:rPr>
        <w:t xml:space="preserve">valeur ajoutée </w:t>
      </w:r>
      <w:r w:rsidR="007D282A">
        <w:rPr>
          <w:rFonts w:eastAsiaTheme="minorHAnsi"/>
          <w:lang w:val="fr-CH" w:eastAsia="en-US"/>
        </w:rPr>
        <w:t xml:space="preserve">d’une cartographie des sols couvrant l’ensemble du territoire </w:t>
      </w:r>
      <w:r>
        <w:rPr>
          <w:rFonts w:eastAsiaTheme="minorHAnsi"/>
          <w:lang w:val="fr-CH" w:eastAsia="en-US"/>
        </w:rPr>
        <w:t>n’est pas immédiatement perceptible dans de nombreux</w:t>
      </w:r>
      <w:r w:rsidR="004B1162">
        <w:rPr>
          <w:rFonts w:eastAsiaTheme="minorHAnsi"/>
          <w:lang w:val="fr-CH" w:eastAsia="en-US"/>
        </w:rPr>
        <w:t xml:space="preserve"> domaines politiques ou environnementaux</w:t>
      </w:r>
      <w:r w:rsidR="007D282A">
        <w:rPr>
          <w:rFonts w:eastAsiaTheme="minorHAnsi"/>
          <w:lang w:val="fr-CH" w:eastAsia="en-US"/>
        </w:rPr>
        <w:t xml:space="preserve">. </w:t>
      </w:r>
      <w:r w:rsidR="004B1162">
        <w:rPr>
          <w:rFonts w:eastAsiaTheme="minorHAnsi"/>
          <w:lang w:val="fr-CH" w:eastAsia="en-US"/>
        </w:rPr>
        <w:t>Bien que les</w:t>
      </w:r>
      <w:r w:rsidR="007D282A">
        <w:rPr>
          <w:rFonts w:eastAsiaTheme="minorHAnsi"/>
          <w:lang w:val="fr-CH" w:eastAsia="en-US"/>
        </w:rPr>
        <w:t xml:space="preserve"> </w:t>
      </w:r>
      <w:r w:rsidR="00C92B30">
        <w:rPr>
          <w:rFonts w:eastAsiaTheme="minorHAnsi"/>
          <w:lang w:val="fr-CH" w:eastAsia="en-US"/>
        </w:rPr>
        <w:t xml:space="preserve">hypothèses </w:t>
      </w:r>
      <w:r w:rsidR="004B1162">
        <w:rPr>
          <w:rFonts w:eastAsiaTheme="minorHAnsi"/>
          <w:lang w:val="fr-CH" w:eastAsia="en-US"/>
        </w:rPr>
        <w:t>retenues</w:t>
      </w:r>
      <w:r w:rsidR="00C92B30">
        <w:rPr>
          <w:rFonts w:eastAsiaTheme="minorHAnsi"/>
          <w:lang w:val="fr-CH" w:eastAsia="en-US"/>
        </w:rPr>
        <w:t xml:space="preserve"> dans le cadre de</w:t>
      </w:r>
      <w:r w:rsidR="001C4739" w:rsidRPr="00AB7469">
        <w:rPr>
          <w:rFonts w:eastAsiaTheme="minorHAnsi"/>
          <w:lang w:val="fr-CH" w:eastAsia="en-US"/>
        </w:rPr>
        <w:t xml:space="preserve"> </w:t>
      </w:r>
      <w:r w:rsidR="007D282A">
        <w:rPr>
          <w:rFonts w:eastAsiaTheme="minorHAnsi"/>
          <w:lang w:val="fr-CH" w:eastAsia="en-US"/>
        </w:rPr>
        <w:t>la s</w:t>
      </w:r>
      <w:r w:rsidR="001C4739" w:rsidRPr="00AB7469">
        <w:rPr>
          <w:rFonts w:eastAsiaTheme="minorHAnsi"/>
          <w:lang w:val="fr-CH" w:eastAsia="en-US"/>
        </w:rPr>
        <w:t>ynth</w:t>
      </w:r>
      <w:r w:rsidR="007D282A">
        <w:rPr>
          <w:rFonts w:eastAsiaTheme="minorHAnsi"/>
          <w:lang w:val="fr-CH" w:eastAsia="en-US"/>
        </w:rPr>
        <w:t>è</w:t>
      </w:r>
      <w:r w:rsidR="001C4739" w:rsidRPr="00AB7469">
        <w:rPr>
          <w:rFonts w:eastAsiaTheme="minorHAnsi"/>
          <w:lang w:val="fr-CH" w:eastAsia="en-US"/>
        </w:rPr>
        <w:t>s</w:t>
      </w:r>
      <w:r w:rsidR="00C92B30">
        <w:rPr>
          <w:rFonts w:eastAsiaTheme="minorHAnsi"/>
          <w:lang w:val="fr-CH" w:eastAsia="en-US"/>
        </w:rPr>
        <w:t>e</w:t>
      </w:r>
      <w:r w:rsidR="007D282A">
        <w:rPr>
          <w:rFonts w:eastAsiaTheme="minorHAnsi"/>
          <w:lang w:val="fr-CH" w:eastAsia="en-US"/>
        </w:rPr>
        <w:t xml:space="preserve"> thématique 4 du </w:t>
      </w:r>
      <w:r w:rsidR="007D282A" w:rsidRPr="002313E3">
        <w:rPr>
          <w:rFonts w:eastAsiaTheme="minorHAnsi"/>
          <w:lang w:val="fr-CH" w:eastAsia="en-US"/>
        </w:rPr>
        <w:t>programme national de recherche</w:t>
      </w:r>
      <w:r w:rsidR="00ED0B70" w:rsidRPr="002313E3">
        <w:rPr>
          <w:rFonts w:eastAsiaTheme="minorHAnsi"/>
          <w:lang w:val="fr-CH" w:eastAsia="en-US"/>
        </w:rPr>
        <w:t xml:space="preserve"> PNR</w:t>
      </w:r>
      <w:r w:rsidR="001C4739" w:rsidRPr="002313E3">
        <w:rPr>
          <w:rFonts w:eastAsiaTheme="minorHAnsi"/>
          <w:lang w:val="fr-CH" w:eastAsia="en-US"/>
        </w:rPr>
        <w:t xml:space="preserve"> 68 </w:t>
      </w:r>
      <w:r w:rsidR="00ED0B70" w:rsidRPr="002313E3">
        <w:rPr>
          <w:rFonts w:eastAsiaTheme="minorHAnsi"/>
          <w:lang w:val="fr-CH" w:eastAsia="en-US"/>
        </w:rPr>
        <w:t>sur la Ressource sol</w:t>
      </w:r>
      <w:r w:rsidR="004B1162" w:rsidRPr="002313E3">
        <w:rPr>
          <w:rFonts w:eastAsiaTheme="minorHAnsi"/>
          <w:lang w:val="fr-CH" w:eastAsia="en-US"/>
        </w:rPr>
        <w:t xml:space="preserve"> soient très conservatrices</w:t>
      </w:r>
      <w:r w:rsidR="00C92B30" w:rsidRPr="002313E3">
        <w:rPr>
          <w:rFonts w:eastAsiaTheme="minorHAnsi"/>
          <w:lang w:val="fr-CH" w:eastAsia="en-US"/>
        </w:rPr>
        <w:t xml:space="preserve">, </w:t>
      </w:r>
      <w:r w:rsidR="004B1162" w:rsidRPr="002313E3">
        <w:rPr>
          <w:rFonts w:eastAsiaTheme="minorHAnsi"/>
          <w:lang w:val="fr-CH" w:eastAsia="en-US"/>
        </w:rPr>
        <w:t>une analyse simplifiée des bénéfices économiques résultant de la mise à disposition d’informations du sol à l’échelle nationale pour dix</w:t>
      </w:r>
      <w:r w:rsidR="004B1162">
        <w:rPr>
          <w:rFonts w:eastAsiaTheme="minorHAnsi"/>
          <w:lang w:val="fr-CH" w:eastAsia="en-US"/>
        </w:rPr>
        <w:t xml:space="preserve"> </w:t>
      </w:r>
      <w:r w:rsidR="00917F96">
        <w:rPr>
          <w:rFonts w:eastAsiaTheme="minorHAnsi"/>
          <w:lang w:val="fr-CH" w:eastAsia="en-US"/>
        </w:rPr>
        <w:t>domaines thématiques</w:t>
      </w:r>
      <w:r w:rsidR="004B1162">
        <w:rPr>
          <w:rFonts w:eastAsiaTheme="minorHAnsi"/>
          <w:lang w:val="fr-CH" w:eastAsia="en-US"/>
        </w:rPr>
        <w:t xml:space="preserve"> sélec</w:t>
      </w:r>
      <w:r w:rsidR="001C4739" w:rsidRPr="00AB7469">
        <w:rPr>
          <w:rFonts w:eastAsiaTheme="minorHAnsi"/>
          <w:lang w:val="fr-CH" w:eastAsia="en-US"/>
        </w:rPr>
        <w:t>t</w:t>
      </w:r>
      <w:r w:rsidR="004B1162">
        <w:rPr>
          <w:rFonts w:eastAsiaTheme="minorHAnsi"/>
          <w:lang w:val="fr-CH" w:eastAsia="en-US"/>
        </w:rPr>
        <w:t>ionnés fait ressortir une valeur ajoutée globale allant de</w:t>
      </w:r>
      <w:r w:rsidR="001C4739" w:rsidRPr="00AB7469">
        <w:rPr>
          <w:rFonts w:eastAsiaTheme="minorHAnsi"/>
          <w:lang w:val="fr-CH" w:eastAsia="en-US"/>
        </w:rPr>
        <w:t xml:space="preserve"> 55 </w:t>
      </w:r>
      <w:r w:rsidR="004B1162">
        <w:rPr>
          <w:rFonts w:eastAsiaTheme="minorHAnsi"/>
          <w:lang w:val="fr-CH" w:eastAsia="en-US"/>
        </w:rPr>
        <w:t>à</w:t>
      </w:r>
      <w:r w:rsidR="001C4739" w:rsidRPr="00AB7469">
        <w:rPr>
          <w:rFonts w:eastAsiaTheme="minorHAnsi"/>
          <w:lang w:val="fr-CH" w:eastAsia="en-US"/>
        </w:rPr>
        <w:t xml:space="preserve"> 132 </w:t>
      </w:r>
      <w:r w:rsidR="004B1162">
        <w:rPr>
          <w:rFonts w:eastAsiaTheme="minorHAnsi"/>
          <w:lang w:val="fr-CH" w:eastAsia="en-US"/>
        </w:rPr>
        <w:t>millions de francs par an</w:t>
      </w:r>
      <w:r w:rsidR="001C4739" w:rsidRPr="00AB7469">
        <w:rPr>
          <w:rFonts w:eastAsiaTheme="minorHAnsi"/>
          <w:lang w:val="fr-CH" w:eastAsia="en-US"/>
        </w:rPr>
        <w:t xml:space="preserve">. </w:t>
      </w:r>
      <w:r w:rsidR="004B1162">
        <w:rPr>
          <w:rFonts w:eastAsiaTheme="minorHAnsi"/>
          <w:lang w:val="fr-CH" w:eastAsia="en-US"/>
        </w:rPr>
        <w:t>Ces chiffres correspondent aux économies qui seraient réalisées sur les coûts des dommages</w:t>
      </w:r>
      <w:r w:rsidR="00917F96">
        <w:rPr>
          <w:rFonts w:eastAsiaTheme="minorHAnsi"/>
          <w:lang w:val="fr-CH" w:eastAsia="en-US"/>
        </w:rPr>
        <w:t xml:space="preserve"> qui seraient évités</w:t>
      </w:r>
      <w:r w:rsidR="00B317FB">
        <w:rPr>
          <w:rFonts w:eastAsiaTheme="minorHAnsi"/>
          <w:lang w:val="fr-CH" w:eastAsia="en-US"/>
        </w:rPr>
        <w:t xml:space="preserve"> et</w:t>
      </w:r>
      <w:r w:rsidR="004B1162">
        <w:rPr>
          <w:rFonts w:eastAsiaTheme="minorHAnsi"/>
          <w:lang w:val="fr-CH" w:eastAsia="en-US"/>
        </w:rPr>
        <w:t xml:space="preserve"> des installations techniques </w:t>
      </w:r>
      <w:r w:rsidR="00B317FB">
        <w:rPr>
          <w:rFonts w:eastAsiaTheme="minorHAnsi"/>
          <w:lang w:val="fr-CH" w:eastAsia="en-US"/>
        </w:rPr>
        <w:t xml:space="preserve">de remplacement </w:t>
      </w:r>
      <w:r w:rsidR="004B1162">
        <w:rPr>
          <w:rFonts w:eastAsiaTheme="minorHAnsi"/>
          <w:lang w:val="fr-CH" w:eastAsia="en-US"/>
        </w:rPr>
        <w:t>ou qui résulteraient d’une optimisation de l’utilisation des sols</w:t>
      </w:r>
      <w:r w:rsidR="001C4739" w:rsidRPr="00AB7469">
        <w:rPr>
          <w:rFonts w:eastAsiaTheme="minorHAnsi"/>
          <w:lang w:val="fr-CH" w:eastAsia="en-US"/>
        </w:rPr>
        <w:t xml:space="preserve">. </w:t>
      </w:r>
      <w:r w:rsidR="004B1162">
        <w:rPr>
          <w:rFonts w:eastAsiaTheme="minorHAnsi"/>
          <w:lang w:val="fr-CH" w:eastAsia="en-US"/>
        </w:rPr>
        <w:t xml:space="preserve">Selon </w:t>
      </w:r>
      <w:r w:rsidR="00B317FB">
        <w:rPr>
          <w:rFonts w:eastAsiaTheme="minorHAnsi"/>
          <w:lang w:val="fr-CH" w:eastAsia="en-US"/>
        </w:rPr>
        <w:t>les</w:t>
      </w:r>
      <w:r w:rsidR="004B1162">
        <w:rPr>
          <w:rFonts w:eastAsiaTheme="minorHAnsi"/>
          <w:lang w:val="fr-CH" w:eastAsia="en-US"/>
        </w:rPr>
        <w:t xml:space="preserve"> coûts effectifs d’une cartographie nationale des sols, la valeur ajoutée </w:t>
      </w:r>
      <w:r w:rsidR="00B317FB">
        <w:rPr>
          <w:rFonts w:eastAsiaTheme="minorHAnsi"/>
          <w:lang w:val="fr-CH" w:eastAsia="en-US"/>
        </w:rPr>
        <w:t xml:space="preserve">varie </w:t>
      </w:r>
      <w:r w:rsidR="004B1162">
        <w:rPr>
          <w:rFonts w:eastAsiaTheme="minorHAnsi"/>
          <w:lang w:val="fr-CH" w:eastAsia="en-US"/>
        </w:rPr>
        <w:t xml:space="preserve">entre </w:t>
      </w:r>
      <w:r w:rsidR="001C4739" w:rsidRPr="00AB7469">
        <w:rPr>
          <w:rFonts w:eastAsiaTheme="minorHAnsi"/>
          <w:lang w:val="fr-CH" w:eastAsia="en-US"/>
        </w:rPr>
        <w:t>1:2 (</w:t>
      </w:r>
      <w:r w:rsidR="004B1162">
        <w:rPr>
          <w:rFonts w:eastAsiaTheme="minorHAnsi"/>
          <w:lang w:val="fr-CH" w:eastAsia="en-US"/>
        </w:rPr>
        <w:t>hypothèse conservatrice</w:t>
      </w:r>
      <w:r w:rsidR="001C4739" w:rsidRPr="00AB7469">
        <w:rPr>
          <w:rFonts w:eastAsiaTheme="minorHAnsi"/>
          <w:lang w:val="fr-CH" w:eastAsia="en-US"/>
        </w:rPr>
        <w:t>), 1:6 (</w:t>
      </w:r>
      <w:r w:rsidR="004B1162">
        <w:rPr>
          <w:rFonts w:eastAsiaTheme="minorHAnsi"/>
          <w:lang w:val="fr-CH" w:eastAsia="en-US"/>
        </w:rPr>
        <w:t>hypothèse modérée</w:t>
      </w:r>
      <w:r w:rsidR="001C4739" w:rsidRPr="00AB7469">
        <w:rPr>
          <w:rFonts w:eastAsiaTheme="minorHAnsi"/>
          <w:lang w:val="fr-CH" w:eastAsia="en-US"/>
        </w:rPr>
        <w:t xml:space="preserve">) </w:t>
      </w:r>
      <w:r w:rsidR="00B317FB">
        <w:rPr>
          <w:rFonts w:eastAsiaTheme="minorHAnsi"/>
          <w:lang w:val="fr-CH" w:eastAsia="en-US"/>
        </w:rPr>
        <w:t>et</w:t>
      </w:r>
      <w:r w:rsidR="00B317FB" w:rsidRPr="00AB7469">
        <w:rPr>
          <w:rFonts w:eastAsiaTheme="minorHAnsi"/>
          <w:lang w:val="fr-CH" w:eastAsia="en-US"/>
        </w:rPr>
        <w:t xml:space="preserve"> </w:t>
      </w:r>
      <w:r w:rsidR="001C4739" w:rsidRPr="00AB7469">
        <w:rPr>
          <w:rFonts w:eastAsiaTheme="minorHAnsi"/>
          <w:lang w:val="fr-CH" w:eastAsia="en-US"/>
        </w:rPr>
        <w:t>1:13 (</w:t>
      </w:r>
      <w:r w:rsidR="004B1162">
        <w:rPr>
          <w:rFonts w:eastAsiaTheme="minorHAnsi"/>
          <w:lang w:val="fr-CH" w:eastAsia="en-US"/>
        </w:rPr>
        <w:t>hypothèse optimiste</w:t>
      </w:r>
      <w:r w:rsidR="001C4739" w:rsidRPr="00AB7469">
        <w:rPr>
          <w:rFonts w:eastAsiaTheme="minorHAnsi"/>
          <w:lang w:val="fr-CH" w:eastAsia="en-US"/>
        </w:rPr>
        <w:t xml:space="preserve">). </w:t>
      </w:r>
      <w:r w:rsidR="004B1162">
        <w:rPr>
          <w:rFonts w:eastAsiaTheme="minorHAnsi"/>
          <w:lang w:val="fr-CH" w:eastAsia="en-US"/>
        </w:rPr>
        <w:t>Chaque franc investi dans une cartographie des sols en tant qu’instrument de prévention se révèle rentable à maints égards pour la société et les géné</w:t>
      </w:r>
      <w:r w:rsidR="004B1162">
        <w:rPr>
          <w:rFonts w:eastAsiaTheme="minorHAnsi"/>
          <w:lang w:val="fr-CH" w:eastAsia="en-US"/>
        </w:rPr>
        <w:lastRenderedPageBreak/>
        <w:t>rations futures</w:t>
      </w:r>
      <w:r w:rsidR="00D57591">
        <w:rPr>
          <w:rFonts w:eastAsiaTheme="minorHAnsi"/>
          <w:lang w:val="fr-CH" w:eastAsia="en-US"/>
        </w:rPr>
        <w:t xml:space="preserve">. La cartographie des sols constitue un instrument de prévention qui génère une valeur ajoutée importante et </w:t>
      </w:r>
      <w:r w:rsidR="00B317FB">
        <w:rPr>
          <w:rFonts w:eastAsiaTheme="minorHAnsi"/>
          <w:lang w:val="fr-CH" w:eastAsia="en-US"/>
        </w:rPr>
        <w:t xml:space="preserve">qui </w:t>
      </w:r>
      <w:r w:rsidR="00D57591">
        <w:rPr>
          <w:rFonts w:eastAsiaTheme="minorHAnsi"/>
          <w:lang w:val="fr-CH" w:eastAsia="en-US"/>
        </w:rPr>
        <w:t xml:space="preserve">contribue, dans la perspective de l’utilisation durable de la ressource sol, à prévenir les futures dépenses liées aux dommages et à leur réparation. </w:t>
      </w:r>
    </w:p>
    <w:p w14:paraId="6723E2FD" w14:textId="40EF138B" w:rsidR="001C4739" w:rsidRPr="00501D1D" w:rsidRDefault="00C92B30" w:rsidP="001C4739">
      <w:pPr>
        <w:rPr>
          <w:lang w:val="fr-CH"/>
        </w:rPr>
      </w:pPr>
      <w:r>
        <w:rPr>
          <w:rFonts w:eastAsiaTheme="minorHAnsi"/>
          <w:lang w:val="fr-CH" w:eastAsia="en-US"/>
        </w:rPr>
        <w:t>Une fois recueillies, les données pédologiques p</w:t>
      </w:r>
      <w:r w:rsidR="00D57591">
        <w:rPr>
          <w:rFonts w:eastAsiaTheme="minorHAnsi"/>
          <w:lang w:val="fr-CH" w:eastAsia="en-US"/>
        </w:rPr>
        <w:t>euvent</w:t>
      </w:r>
      <w:r>
        <w:rPr>
          <w:rFonts w:eastAsiaTheme="minorHAnsi"/>
          <w:lang w:val="fr-CH" w:eastAsia="en-US"/>
        </w:rPr>
        <w:t xml:space="preserve"> être utilisées pendant longtemps. Contrairement à d’autres domaines de l’observation environnementale (air et eau), les informations du sol conservent, à quelques exceptions près, leur validité durant des décennies</w:t>
      </w:r>
      <w:r w:rsidR="001C4739" w:rsidRPr="00501D1D">
        <w:rPr>
          <w:rStyle w:val="Funotenzeichen"/>
          <w:rFonts w:eastAsiaTheme="minorHAnsi"/>
          <w:lang w:val="fr-CH" w:eastAsia="en-US"/>
        </w:rPr>
        <w:footnoteReference w:id="11"/>
      </w:r>
      <w:r w:rsidR="00B317FB">
        <w:rPr>
          <w:rFonts w:eastAsiaTheme="minorHAnsi"/>
          <w:lang w:val="fr-CH" w:eastAsia="en-US"/>
        </w:rPr>
        <w:t>.</w:t>
      </w:r>
    </w:p>
    <w:p w14:paraId="103647E2" w14:textId="0A28A16B" w:rsidR="007B6805" w:rsidRPr="00572D0C" w:rsidRDefault="003C6D24" w:rsidP="00350832">
      <w:pPr>
        <w:pStyle w:val="berschrift1"/>
        <w:rPr>
          <w:lang w:val="fr-CH"/>
        </w:rPr>
      </w:pPr>
      <w:bookmarkStart w:id="43" w:name="_Toc531192991"/>
      <w:bookmarkStart w:id="44" w:name="_Toc531210961"/>
      <w:bookmarkStart w:id="45" w:name="_Toc531256232"/>
      <w:bookmarkStart w:id="46" w:name="_Toc531192992"/>
      <w:bookmarkStart w:id="47" w:name="_Toc531210962"/>
      <w:bookmarkStart w:id="48" w:name="_Toc531256233"/>
      <w:bookmarkStart w:id="49" w:name="_Toc531192993"/>
      <w:bookmarkStart w:id="50" w:name="_Toc531210963"/>
      <w:bookmarkStart w:id="51" w:name="_Toc531256234"/>
      <w:bookmarkStart w:id="52" w:name="_Toc531192994"/>
      <w:bookmarkStart w:id="53" w:name="_Toc531210964"/>
      <w:bookmarkStart w:id="54" w:name="_Toc531256235"/>
      <w:bookmarkStart w:id="55" w:name="_Toc531192995"/>
      <w:bookmarkStart w:id="56" w:name="_Toc531210965"/>
      <w:bookmarkStart w:id="57" w:name="_Toc531256236"/>
      <w:bookmarkStart w:id="58" w:name="_Toc531192996"/>
      <w:bookmarkStart w:id="59" w:name="_Toc531210966"/>
      <w:bookmarkStart w:id="60" w:name="_Toc531256237"/>
      <w:bookmarkStart w:id="61" w:name="_Toc531192997"/>
      <w:bookmarkStart w:id="62" w:name="_Toc531210967"/>
      <w:bookmarkStart w:id="63" w:name="_Toc531256238"/>
      <w:bookmarkStart w:id="64" w:name="_Toc531192998"/>
      <w:bookmarkStart w:id="65" w:name="_Toc531210968"/>
      <w:bookmarkStart w:id="66" w:name="_Toc531256239"/>
      <w:bookmarkStart w:id="67" w:name="_Toc523813318"/>
      <w:bookmarkStart w:id="68" w:name="_Toc525022618"/>
      <w:bookmarkStart w:id="69" w:name="_Toc526946707"/>
      <w:bookmarkStart w:id="70" w:name="_Toc531192999"/>
      <w:bookmarkStart w:id="71" w:name="_Toc532996281"/>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sidRPr="00572D0C">
        <w:rPr>
          <w:lang w:val="fr-CH"/>
        </w:rPr>
        <w:t>E</w:t>
      </w:r>
      <w:r w:rsidR="007025FF">
        <w:rPr>
          <w:lang w:val="fr-CH"/>
        </w:rPr>
        <w:t>xplications relatives au but et aux indications</w:t>
      </w:r>
      <w:bookmarkEnd w:id="38"/>
      <w:bookmarkEnd w:id="67"/>
      <w:bookmarkEnd w:id="68"/>
      <w:bookmarkEnd w:id="69"/>
      <w:bookmarkEnd w:id="70"/>
      <w:bookmarkEnd w:id="71"/>
    </w:p>
    <w:p w14:paraId="37B5F19B" w14:textId="312F05F8" w:rsidR="007143D8" w:rsidRPr="002313E3" w:rsidRDefault="003C6D24" w:rsidP="00501D1D">
      <w:pPr>
        <w:pStyle w:val="berschrift2"/>
        <w:rPr>
          <w:lang w:val="fr-CH"/>
        </w:rPr>
      </w:pPr>
      <w:bookmarkStart w:id="72" w:name="_Toc523813319"/>
      <w:bookmarkStart w:id="73" w:name="_Toc525022619"/>
      <w:bookmarkStart w:id="74" w:name="_Toc526946708"/>
      <w:bookmarkStart w:id="75" w:name="_Toc531193000"/>
      <w:bookmarkStart w:id="76" w:name="_Toc532996282"/>
      <w:r w:rsidRPr="002313E3">
        <w:rPr>
          <w:lang w:val="fr-CH"/>
        </w:rPr>
        <w:t>E</w:t>
      </w:r>
      <w:r w:rsidR="007025FF" w:rsidRPr="002313E3">
        <w:rPr>
          <w:lang w:val="fr-CH"/>
        </w:rPr>
        <w:t xml:space="preserve">xplications relatives </w:t>
      </w:r>
      <w:r w:rsidR="007025FF" w:rsidRPr="00EB455E">
        <w:t>au but</w:t>
      </w:r>
      <w:bookmarkEnd w:id="72"/>
      <w:bookmarkEnd w:id="73"/>
      <w:bookmarkEnd w:id="74"/>
      <w:bookmarkEnd w:id="75"/>
      <w:bookmarkEnd w:id="76"/>
    </w:p>
    <w:p w14:paraId="5CB5F669" w14:textId="5376AB81" w:rsidR="003B7307" w:rsidRPr="00572D0C" w:rsidRDefault="005A3CAA" w:rsidP="003B7307">
      <w:pPr>
        <w:shd w:val="clear" w:color="auto" w:fill="D9D9D9" w:themeFill="background1" w:themeFillShade="D9"/>
        <w:spacing w:before="120"/>
        <w:rPr>
          <w:rStyle w:val="Fett"/>
          <w:b w:val="0"/>
          <w:bCs w:val="0"/>
          <w:lang w:val="fr-CH"/>
        </w:rPr>
      </w:pPr>
      <w:r>
        <w:rPr>
          <w:b/>
          <w:bCs/>
          <w:lang w:val="fr-CH"/>
        </w:rPr>
        <w:t>Le P</w:t>
      </w:r>
      <w:r w:rsidR="00DA161F" w:rsidRPr="00941694">
        <w:rPr>
          <w:b/>
          <w:bCs/>
          <w:lang w:val="fr-CH"/>
        </w:rPr>
        <w:t>lan</w:t>
      </w:r>
      <w:r w:rsidR="00DA161F">
        <w:rPr>
          <w:b/>
          <w:bCs/>
          <w:lang w:val="fr-CH"/>
        </w:rPr>
        <w:t xml:space="preserve"> sectoriel SDA garantit à long terme la protection qualitative et quantitative des meilleures terres agricoles de Suisse</w:t>
      </w:r>
      <w:r w:rsidR="003B7307" w:rsidRPr="00572D0C">
        <w:rPr>
          <w:b/>
          <w:bCs/>
          <w:lang w:val="fr-CH"/>
        </w:rPr>
        <w:t>.</w:t>
      </w:r>
    </w:p>
    <w:p w14:paraId="0D97CFE6" w14:textId="113AB934" w:rsidR="00607247" w:rsidRPr="00572D0C" w:rsidRDefault="00454431" w:rsidP="00E05412">
      <w:pPr>
        <w:rPr>
          <w:rStyle w:val="Fett"/>
          <w:rFonts w:eastAsiaTheme="minorHAnsi"/>
          <w:b w:val="0"/>
          <w:lang w:val="fr-CH" w:eastAsia="en-US"/>
        </w:rPr>
      </w:pPr>
      <w:r>
        <w:rPr>
          <w:rStyle w:val="Fett"/>
          <w:b w:val="0"/>
          <w:bCs w:val="0"/>
          <w:lang w:val="fr-CH"/>
        </w:rPr>
        <w:t xml:space="preserve">Le </w:t>
      </w:r>
      <w:r w:rsidR="007A2D82">
        <w:rPr>
          <w:rStyle w:val="Fett"/>
          <w:b w:val="0"/>
          <w:bCs w:val="0"/>
          <w:lang w:val="fr-CH"/>
        </w:rPr>
        <w:t xml:space="preserve">taux </w:t>
      </w:r>
      <w:r w:rsidR="00AA1D8D">
        <w:rPr>
          <w:rStyle w:val="Fett"/>
          <w:b w:val="0"/>
          <w:bCs w:val="0"/>
          <w:lang w:val="fr-CH"/>
        </w:rPr>
        <w:t xml:space="preserve">d’auto-approvisionnement </w:t>
      </w:r>
      <w:r>
        <w:rPr>
          <w:rStyle w:val="Fett"/>
          <w:b w:val="0"/>
          <w:bCs w:val="0"/>
          <w:lang w:val="fr-CH"/>
        </w:rPr>
        <w:t>de la Suisse est bas en comparaison européenne</w:t>
      </w:r>
      <w:r w:rsidR="00EE7B47">
        <w:rPr>
          <w:rStyle w:val="Fett"/>
          <w:b w:val="0"/>
          <w:bCs w:val="0"/>
          <w:lang w:val="fr-CH"/>
        </w:rPr>
        <w:t>. Par conséquent</w:t>
      </w:r>
      <w:r w:rsidR="007A2D82">
        <w:rPr>
          <w:rStyle w:val="Fett"/>
          <w:b w:val="0"/>
          <w:bCs w:val="0"/>
          <w:lang w:val="fr-CH"/>
        </w:rPr>
        <w:t xml:space="preserve">, </w:t>
      </w:r>
      <w:r w:rsidR="00941694">
        <w:rPr>
          <w:rStyle w:val="Fett"/>
          <w:b w:val="0"/>
          <w:bCs w:val="0"/>
          <w:lang w:val="fr-CH"/>
        </w:rPr>
        <w:t xml:space="preserve">la </w:t>
      </w:r>
      <w:r w:rsidR="007A2D82">
        <w:rPr>
          <w:rStyle w:val="Fett"/>
          <w:b w:val="0"/>
          <w:bCs w:val="0"/>
          <w:lang w:val="fr-CH"/>
        </w:rPr>
        <w:t xml:space="preserve">quantité de nourriture importée par habitant en Suisse </w:t>
      </w:r>
      <w:r w:rsidR="00941694">
        <w:rPr>
          <w:rStyle w:val="Fett"/>
          <w:b w:val="0"/>
          <w:bCs w:val="0"/>
          <w:lang w:val="fr-CH"/>
        </w:rPr>
        <w:t>est l’une des</w:t>
      </w:r>
      <w:r w:rsidR="007A2D82">
        <w:rPr>
          <w:rStyle w:val="Fett"/>
          <w:b w:val="0"/>
          <w:bCs w:val="0"/>
          <w:lang w:val="fr-CH"/>
        </w:rPr>
        <w:t xml:space="preserve"> plus élevées du monde.</w:t>
      </w:r>
      <w:r w:rsidR="00EE7B47">
        <w:rPr>
          <w:rStyle w:val="Fett"/>
          <w:b w:val="0"/>
          <w:bCs w:val="0"/>
          <w:lang w:val="fr-CH"/>
        </w:rPr>
        <w:t xml:space="preserve"> </w:t>
      </w:r>
      <w:r w:rsidR="007A2D82">
        <w:rPr>
          <w:rStyle w:val="Fett"/>
          <w:b w:val="0"/>
          <w:bCs w:val="0"/>
          <w:lang w:val="fr-CH"/>
        </w:rPr>
        <w:t>Cela s’explique par la densité de population, la topographie</w:t>
      </w:r>
      <w:r w:rsidR="007A2D82">
        <w:rPr>
          <w:rStyle w:val="Fett"/>
          <w:rFonts w:eastAsiaTheme="minorEastAsia"/>
          <w:b w:val="0"/>
          <w:bCs w:val="0"/>
          <w:lang w:val="fr-CH" w:eastAsia="en-US"/>
        </w:rPr>
        <w:t xml:space="preserve">, les conditions climatiques, </w:t>
      </w:r>
      <w:r w:rsidR="00DF5FDC">
        <w:rPr>
          <w:rStyle w:val="Fett"/>
          <w:rFonts w:eastAsiaTheme="minorEastAsia"/>
          <w:b w:val="0"/>
          <w:bCs w:val="0"/>
          <w:lang w:val="fr-CH" w:eastAsia="en-US"/>
        </w:rPr>
        <w:t xml:space="preserve">la diminution de la surface arable par habitant qui en résulte </w:t>
      </w:r>
      <w:r w:rsidR="007A2D82">
        <w:rPr>
          <w:rStyle w:val="Fett"/>
          <w:rFonts w:eastAsiaTheme="minorEastAsia"/>
          <w:b w:val="0"/>
          <w:bCs w:val="0"/>
          <w:lang w:val="fr-CH" w:eastAsia="en-US"/>
        </w:rPr>
        <w:t xml:space="preserve">et </w:t>
      </w:r>
      <w:r w:rsidR="00DF5FDC">
        <w:rPr>
          <w:rStyle w:val="Fett"/>
          <w:rFonts w:eastAsiaTheme="minorEastAsia"/>
          <w:b w:val="0"/>
          <w:bCs w:val="0"/>
          <w:lang w:val="fr-CH" w:eastAsia="en-US"/>
        </w:rPr>
        <w:t xml:space="preserve">un fort </w:t>
      </w:r>
      <w:r w:rsidR="007A2D82">
        <w:rPr>
          <w:rStyle w:val="Fett"/>
          <w:rFonts w:eastAsiaTheme="minorEastAsia"/>
          <w:b w:val="0"/>
          <w:bCs w:val="0"/>
          <w:lang w:val="fr-CH" w:eastAsia="en-US"/>
        </w:rPr>
        <w:t>pouvoir d’achat</w:t>
      </w:r>
      <w:r w:rsidR="009E236D" w:rsidRPr="00572D0C">
        <w:rPr>
          <w:rStyle w:val="Funotenzeichen"/>
          <w:rFonts w:eastAsiaTheme="minorEastAsia"/>
          <w:lang w:val="fr-CH" w:eastAsia="en-US"/>
        </w:rPr>
        <w:footnoteReference w:id="12"/>
      </w:r>
      <w:r w:rsidR="00DF5FDC">
        <w:rPr>
          <w:rStyle w:val="Fett"/>
          <w:rFonts w:eastAsiaTheme="minorEastAsia"/>
          <w:b w:val="0"/>
          <w:bCs w:val="0"/>
          <w:lang w:val="fr-CH" w:eastAsia="en-US"/>
        </w:rPr>
        <w:t>.</w:t>
      </w:r>
      <w:r w:rsidR="00263E47" w:rsidRPr="00572D0C">
        <w:rPr>
          <w:rStyle w:val="Fett"/>
          <w:rFonts w:eastAsiaTheme="minorEastAsia"/>
          <w:b w:val="0"/>
          <w:bCs w:val="0"/>
          <w:lang w:val="fr-CH" w:eastAsia="en-US"/>
        </w:rPr>
        <w:t xml:space="preserve"> </w:t>
      </w:r>
      <w:r w:rsidR="007A34A7">
        <w:rPr>
          <w:rStyle w:val="Fett"/>
          <w:rFonts w:eastAsiaTheme="minorEastAsia"/>
          <w:b w:val="0"/>
          <w:bCs w:val="0"/>
          <w:lang w:val="fr-CH" w:eastAsia="en-US"/>
        </w:rPr>
        <w:t xml:space="preserve">En raison de la situation géographique particulière et de la topographie de la Suisse, seulement </w:t>
      </w:r>
      <w:r w:rsidR="00E05412" w:rsidRPr="00572D0C">
        <w:rPr>
          <w:rStyle w:val="Fett"/>
          <w:b w:val="0"/>
          <w:bCs w:val="0"/>
          <w:lang w:val="fr-CH"/>
        </w:rPr>
        <w:t xml:space="preserve">36% </w:t>
      </w:r>
      <w:r w:rsidR="007A34A7">
        <w:rPr>
          <w:rStyle w:val="Fett"/>
          <w:b w:val="0"/>
          <w:bCs w:val="0"/>
          <w:lang w:val="fr-CH"/>
        </w:rPr>
        <w:t>du territoire national peuvent être exploités par l’agriculture</w:t>
      </w:r>
      <w:r w:rsidR="00E05412" w:rsidRPr="00572D0C">
        <w:rPr>
          <w:rStyle w:val="Fett"/>
          <w:b w:val="0"/>
          <w:bCs w:val="0"/>
          <w:lang w:val="fr-CH"/>
        </w:rPr>
        <w:t xml:space="preserve">. </w:t>
      </w:r>
      <w:r w:rsidR="00AA1D8D">
        <w:rPr>
          <w:rStyle w:val="Fett"/>
          <w:b w:val="0"/>
          <w:bCs w:val="0"/>
          <w:lang w:val="fr-CH"/>
        </w:rPr>
        <w:t xml:space="preserve">Environ </w:t>
      </w:r>
      <w:r w:rsidR="007A34A7">
        <w:rPr>
          <w:rStyle w:val="Fett"/>
          <w:b w:val="0"/>
          <w:bCs w:val="0"/>
          <w:lang w:val="fr-CH"/>
        </w:rPr>
        <w:t xml:space="preserve">un tiers de cette surface agricole </w:t>
      </w:r>
      <w:r w:rsidR="005C6562" w:rsidRPr="00572D0C">
        <w:rPr>
          <w:rStyle w:val="Fett"/>
          <w:b w:val="0"/>
          <w:bCs w:val="0"/>
          <w:lang w:val="fr-CH"/>
        </w:rPr>
        <w:t>(</w:t>
      </w:r>
      <w:r w:rsidR="007A34A7">
        <w:rPr>
          <w:rStyle w:val="Fett"/>
          <w:b w:val="0"/>
          <w:bCs w:val="0"/>
          <w:lang w:val="fr-CH"/>
        </w:rPr>
        <w:t>env</w:t>
      </w:r>
      <w:r w:rsidR="005C6562" w:rsidRPr="00572D0C">
        <w:rPr>
          <w:rStyle w:val="Fett"/>
          <w:b w:val="0"/>
          <w:bCs w:val="0"/>
          <w:lang w:val="fr-CH"/>
        </w:rPr>
        <w:t>. 11% d</w:t>
      </w:r>
      <w:r w:rsidR="007A34A7">
        <w:rPr>
          <w:rStyle w:val="Fett"/>
          <w:b w:val="0"/>
          <w:bCs w:val="0"/>
          <w:lang w:val="fr-CH"/>
        </w:rPr>
        <w:t>u territoire national</w:t>
      </w:r>
      <w:r w:rsidR="005C6562" w:rsidRPr="00572D0C">
        <w:rPr>
          <w:rStyle w:val="Fett"/>
          <w:b w:val="0"/>
          <w:bCs w:val="0"/>
          <w:lang w:val="fr-CH"/>
        </w:rPr>
        <w:t>)</w:t>
      </w:r>
      <w:r w:rsidR="00AA1D8D">
        <w:rPr>
          <w:rStyle w:val="Fett"/>
          <w:b w:val="0"/>
          <w:bCs w:val="0"/>
          <w:lang w:val="fr-CH"/>
        </w:rPr>
        <w:t xml:space="preserve"> est qualifié de SDA pour la production de denrées alimentaires</w:t>
      </w:r>
      <w:r w:rsidR="007A34A7">
        <w:rPr>
          <w:rStyle w:val="Fett"/>
          <w:b w:val="0"/>
          <w:bCs w:val="0"/>
          <w:lang w:val="fr-CH"/>
        </w:rPr>
        <w:t>. La part approximative de ces surfaces est représentée dans la figure ci-dessous.</w:t>
      </w:r>
    </w:p>
    <w:p w14:paraId="3E3EEADB" w14:textId="14DFA967" w:rsidR="00E05412" w:rsidRPr="00572D0C" w:rsidRDefault="003F1EDB" w:rsidP="00E05412">
      <w:pPr>
        <w:rPr>
          <w:rStyle w:val="Fett"/>
          <w:b w:val="0"/>
          <w:lang w:val="fr-CH"/>
        </w:rPr>
      </w:pPr>
      <w:r>
        <w:rPr>
          <w:rFonts w:eastAsiaTheme="minorHAnsi"/>
          <w:bCs/>
          <w:noProof/>
        </w:rPr>
        <w:drawing>
          <wp:anchor distT="0" distB="0" distL="114300" distR="114300" simplePos="0" relativeHeight="251658240" behindDoc="0" locked="0" layoutInCell="1" allowOverlap="1" wp14:anchorId="42B4D32E" wp14:editId="66C6F499">
            <wp:simplePos x="0" y="0"/>
            <wp:positionH relativeFrom="margin">
              <wp:posOffset>1704340</wp:posOffset>
            </wp:positionH>
            <wp:positionV relativeFrom="margin">
              <wp:posOffset>3963670</wp:posOffset>
            </wp:positionV>
            <wp:extent cx="2450465" cy="2389505"/>
            <wp:effectExtent l="0" t="0" r="6985" b="0"/>
            <wp:wrapSquare wrapText="bothSides"/>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ild1.png"/>
                    <pic:cNvPicPr/>
                  </pic:nvPicPr>
                  <pic:blipFill>
                    <a:blip r:embed="rId12">
                      <a:extLst>
                        <a:ext uri="{28A0092B-C50C-407E-A947-70E740481C1C}">
                          <a14:useLocalDpi xmlns:a14="http://schemas.microsoft.com/office/drawing/2010/main" val="0"/>
                        </a:ext>
                      </a:extLst>
                    </a:blip>
                    <a:stretch>
                      <a:fillRect/>
                    </a:stretch>
                  </pic:blipFill>
                  <pic:spPr>
                    <a:xfrm>
                      <a:off x="0" y="0"/>
                      <a:ext cx="2450465" cy="2389505"/>
                    </a:xfrm>
                    <a:prstGeom prst="rect">
                      <a:avLst/>
                    </a:prstGeom>
                  </pic:spPr>
                </pic:pic>
              </a:graphicData>
            </a:graphic>
            <wp14:sizeRelH relativeFrom="page">
              <wp14:pctWidth>0</wp14:pctWidth>
            </wp14:sizeRelH>
            <wp14:sizeRelV relativeFrom="page">
              <wp14:pctHeight>0</wp14:pctHeight>
            </wp14:sizeRelV>
          </wp:anchor>
        </w:drawing>
      </w:r>
    </w:p>
    <w:p w14:paraId="562DE6EC" w14:textId="37D3AD2C" w:rsidR="00E05412" w:rsidRPr="00572D0C" w:rsidRDefault="00E05412" w:rsidP="00E05412">
      <w:pPr>
        <w:rPr>
          <w:rStyle w:val="Fett"/>
          <w:b w:val="0"/>
          <w:lang w:val="fr-CH"/>
        </w:rPr>
      </w:pPr>
    </w:p>
    <w:p w14:paraId="73985F35" w14:textId="77777777" w:rsidR="00E05412" w:rsidRPr="00572D0C" w:rsidRDefault="00E05412" w:rsidP="00E05412">
      <w:pPr>
        <w:rPr>
          <w:rStyle w:val="Fett"/>
          <w:b w:val="0"/>
          <w:lang w:val="fr-CH"/>
        </w:rPr>
      </w:pPr>
    </w:p>
    <w:p w14:paraId="122F6274" w14:textId="77777777" w:rsidR="00E05412" w:rsidRPr="00572D0C" w:rsidRDefault="00E05412" w:rsidP="00E05412">
      <w:pPr>
        <w:rPr>
          <w:rStyle w:val="Fett"/>
          <w:b w:val="0"/>
          <w:lang w:val="fr-CH"/>
        </w:rPr>
      </w:pPr>
    </w:p>
    <w:p w14:paraId="240237EF" w14:textId="77777777" w:rsidR="00E05412" w:rsidRPr="00572D0C" w:rsidRDefault="00E05412" w:rsidP="00E05412">
      <w:pPr>
        <w:rPr>
          <w:rStyle w:val="Fett"/>
          <w:b w:val="0"/>
          <w:lang w:val="fr-CH"/>
        </w:rPr>
      </w:pPr>
    </w:p>
    <w:p w14:paraId="03C25E82" w14:textId="77777777" w:rsidR="00E05412" w:rsidRPr="00572D0C" w:rsidRDefault="00E05412" w:rsidP="00E05412">
      <w:pPr>
        <w:rPr>
          <w:rStyle w:val="Fett"/>
          <w:b w:val="0"/>
          <w:lang w:val="fr-CH"/>
        </w:rPr>
      </w:pPr>
    </w:p>
    <w:p w14:paraId="51BFAC91" w14:textId="77777777" w:rsidR="00E05412" w:rsidRPr="00572D0C" w:rsidRDefault="00E05412" w:rsidP="00E05412">
      <w:pPr>
        <w:rPr>
          <w:rStyle w:val="Fett"/>
          <w:b w:val="0"/>
          <w:lang w:val="fr-CH"/>
        </w:rPr>
      </w:pPr>
    </w:p>
    <w:p w14:paraId="460CF445" w14:textId="30281DFE" w:rsidR="00E05412" w:rsidRPr="00572D0C" w:rsidRDefault="00E05412" w:rsidP="00E05412">
      <w:pPr>
        <w:rPr>
          <w:rStyle w:val="Fett"/>
          <w:b w:val="0"/>
          <w:lang w:val="fr-CH"/>
        </w:rPr>
      </w:pPr>
    </w:p>
    <w:p w14:paraId="3C9D2BCC" w14:textId="77777777" w:rsidR="00E05412" w:rsidRPr="00572D0C" w:rsidRDefault="00E05412" w:rsidP="00E05412">
      <w:pPr>
        <w:rPr>
          <w:rStyle w:val="Fett"/>
          <w:b w:val="0"/>
          <w:lang w:val="fr-CH"/>
        </w:rPr>
      </w:pPr>
    </w:p>
    <w:p w14:paraId="645217C5" w14:textId="77777777" w:rsidR="003F1EDB" w:rsidRDefault="003F1EDB" w:rsidP="147A5F7B">
      <w:pPr>
        <w:spacing w:after="240"/>
        <w:ind w:left="1134" w:hanging="1134"/>
        <w:rPr>
          <w:rStyle w:val="Fett"/>
          <w:b w:val="0"/>
          <w:bCs w:val="0"/>
          <w:lang w:val="fr-CH"/>
        </w:rPr>
      </w:pPr>
    </w:p>
    <w:p w14:paraId="6BDCD981" w14:textId="797A4FBE" w:rsidR="00263E47" w:rsidRPr="00572D0C" w:rsidRDefault="007A34A7" w:rsidP="147A5F7B">
      <w:pPr>
        <w:spacing w:after="240"/>
        <w:ind w:left="1134" w:hanging="1134"/>
        <w:rPr>
          <w:rStyle w:val="Fett"/>
          <w:b w:val="0"/>
          <w:bCs w:val="0"/>
          <w:lang w:val="fr-CH"/>
        </w:rPr>
      </w:pPr>
      <w:r>
        <w:rPr>
          <w:rStyle w:val="Fett"/>
          <w:b w:val="0"/>
          <w:bCs w:val="0"/>
          <w:lang w:val="fr-CH"/>
        </w:rPr>
        <w:t>Figure</w:t>
      </w:r>
      <w:r w:rsidR="00E05412" w:rsidRPr="00572D0C">
        <w:rPr>
          <w:rStyle w:val="Fett"/>
          <w:b w:val="0"/>
          <w:bCs w:val="0"/>
          <w:lang w:val="fr-CH"/>
        </w:rPr>
        <w:t xml:space="preserve"> </w:t>
      </w:r>
      <w:r w:rsidR="00AA1D8D">
        <w:rPr>
          <w:lang w:val="fr-CH"/>
        </w:rPr>
        <w:t>1</w:t>
      </w:r>
      <w:r w:rsidR="00A72680">
        <w:rPr>
          <w:lang w:val="fr-CH"/>
        </w:rPr>
        <w:t xml:space="preserve"> </w:t>
      </w:r>
      <w:r w:rsidR="00E05412" w:rsidRPr="00572D0C">
        <w:rPr>
          <w:rStyle w:val="Fett"/>
          <w:b w:val="0"/>
          <w:bCs w:val="0"/>
          <w:lang w:val="fr-CH"/>
        </w:rPr>
        <w:t xml:space="preserve">: </w:t>
      </w:r>
      <w:r w:rsidR="00DF5FDC">
        <w:rPr>
          <w:rStyle w:val="Fett"/>
          <w:b w:val="0"/>
          <w:bCs w:val="0"/>
          <w:lang w:val="fr-CH"/>
        </w:rPr>
        <w:tab/>
      </w:r>
      <w:r>
        <w:rPr>
          <w:rStyle w:val="Fett"/>
          <w:b w:val="0"/>
          <w:bCs w:val="0"/>
          <w:lang w:val="fr-CH"/>
        </w:rPr>
        <w:t>Surfaces agricoles et leur part approximative</w:t>
      </w:r>
      <w:r w:rsidR="00E05412" w:rsidRPr="00572D0C">
        <w:rPr>
          <w:rStyle w:val="Fett"/>
          <w:b w:val="0"/>
          <w:bCs w:val="0"/>
          <w:lang w:val="fr-CH"/>
        </w:rPr>
        <w:t xml:space="preserve"> (</w:t>
      </w:r>
      <w:r>
        <w:rPr>
          <w:rStyle w:val="Fett"/>
          <w:b w:val="0"/>
          <w:bCs w:val="0"/>
          <w:lang w:val="fr-CH"/>
        </w:rPr>
        <w:t>surfaces agricoles</w:t>
      </w:r>
      <w:r w:rsidR="00AA1D8D">
        <w:rPr>
          <w:rStyle w:val="Funotenzeichen"/>
          <w:lang w:val="fr-CH"/>
        </w:rPr>
        <w:footnoteReference w:id="13"/>
      </w:r>
      <w:r>
        <w:rPr>
          <w:rStyle w:val="Fett"/>
          <w:b w:val="0"/>
          <w:bCs w:val="0"/>
          <w:lang w:val="fr-CH"/>
        </w:rPr>
        <w:t xml:space="preserve"> </w:t>
      </w:r>
      <w:r w:rsidR="00E05412" w:rsidRPr="00572D0C">
        <w:rPr>
          <w:rStyle w:val="Fett"/>
          <w:b w:val="0"/>
          <w:bCs w:val="0"/>
          <w:lang w:val="fr-CH"/>
        </w:rPr>
        <w:t>: 1'481'660 ha (</w:t>
      </w:r>
      <w:r>
        <w:rPr>
          <w:rStyle w:val="Fett"/>
          <w:b w:val="0"/>
          <w:bCs w:val="0"/>
          <w:lang w:val="fr-CH"/>
        </w:rPr>
        <w:t xml:space="preserve">statistique de la superficie </w:t>
      </w:r>
      <w:r w:rsidR="00E05412" w:rsidRPr="00572D0C">
        <w:rPr>
          <w:rStyle w:val="Fett"/>
          <w:b w:val="0"/>
          <w:bCs w:val="0"/>
          <w:lang w:val="fr-CH"/>
        </w:rPr>
        <w:t xml:space="preserve">2004/2009), </w:t>
      </w:r>
      <w:r w:rsidR="000843DA">
        <w:rPr>
          <w:rStyle w:val="Fett"/>
          <w:b w:val="0"/>
          <w:bCs w:val="0"/>
          <w:lang w:val="fr-CH"/>
        </w:rPr>
        <w:t>surface agricole utile</w:t>
      </w:r>
      <w:r w:rsidR="00AA1D8D">
        <w:rPr>
          <w:rStyle w:val="Fett"/>
          <w:b w:val="0"/>
          <w:bCs w:val="0"/>
          <w:lang w:val="fr-CH"/>
        </w:rPr>
        <w:t xml:space="preserve"> </w:t>
      </w:r>
      <w:r w:rsidR="00E05412" w:rsidRPr="00572D0C">
        <w:rPr>
          <w:rStyle w:val="Fett"/>
          <w:b w:val="0"/>
          <w:bCs w:val="0"/>
          <w:lang w:val="fr-CH"/>
        </w:rPr>
        <w:t>: 1'049'072 ha (</w:t>
      </w:r>
      <w:r w:rsidR="000843DA">
        <w:rPr>
          <w:rStyle w:val="Fett"/>
          <w:b w:val="0"/>
          <w:bCs w:val="0"/>
          <w:lang w:val="fr-CH"/>
        </w:rPr>
        <w:t>O</w:t>
      </w:r>
      <w:r w:rsidR="00E05412" w:rsidRPr="00572D0C">
        <w:rPr>
          <w:rStyle w:val="Fett"/>
          <w:b w:val="0"/>
          <w:bCs w:val="0"/>
          <w:lang w:val="fr-CH"/>
        </w:rPr>
        <w:t xml:space="preserve">FS 2016, </w:t>
      </w:r>
      <w:r w:rsidR="000843DA">
        <w:rPr>
          <w:rStyle w:val="Fett"/>
          <w:b w:val="0"/>
          <w:bCs w:val="0"/>
          <w:lang w:val="fr-CH"/>
        </w:rPr>
        <w:t xml:space="preserve">relevé des </w:t>
      </w:r>
      <w:r w:rsidR="00DF5FDC">
        <w:rPr>
          <w:rStyle w:val="Fett"/>
          <w:b w:val="0"/>
          <w:bCs w:val="0"/>
          <w:lang w:val="fr-CH"/>
        </w:rPr>
        <w:t>structures agricoles</w:t>
      </w:r>
      <w:r w:rsidR="00E05412" w:rsidRPr="00572D0C">
        <w:rPr>
          <w:rStyle w:val="Fett"/>
          <w:b w:val="0"/>
          <w:bCs w:val="0"/>
          <w:lang w:val="fr-CH"/>
        </w:rPr>
        <w:t xml:space="preserve">), </w:t>
      </w:r>
      <w:r w:rsidR="000843DA">
        <w:rPr>
          <w:rStyle w:val="Fett"/>
          <w:b w:val="0"/>
          <w:bCs w:val="0"/>
          <w:lang w:val="fr-CH"/>
        </w:rPr>
        <w:t>surfaces d’assolement dans les inventaires canto</w:t>
      </w:r>
      <w:r w:rsidR="00E05412" w:rsidRPr="00572D0C">
        <w:rPr>
          <w:rStyle w:val="Fett"/>
          <w:b w:val="0"/>
          <w:bCs w:val="0"/>
          <w:lang w:val="fr-CH"/>
        </w:rPr>
        <w:t>n</w:t>
      </w:r>
      <w:r w:rsidR="000843DA">
        <w:rPr>
          <w:rStyle w:val="Fett"/>
          <w:b w:val="0"/>
          <w:bCs w:val="0"/>
          <w:lang w:val="fr-CH"/>
        </w:rPr>
        <w:t xml:space="preserve">aux </w:t>
      </w:r>
      <w:r w:rsidR="00E05412" w:rsidRPr="00572D0C">
        <w:rPr>
          <w:rStyle w:val="Fett"/>
          <w:b w:val="0"/>
          <w:bCs w:val="0"/>
          <w:lang w:val="fr-CH"/>
        </w:rPr>
        <w:t>: 445'000 ha (ARE 2017</w:t>
      </w:r>
      <w:r w:rsidR="00263E47" w:rsidRPr="00572D0C">
        <w:rPr>
          <w:rStyle w:val="Fett"/>
          <w:b w:val="0"/>
          <w:bCs w:val="0"/>
          <w:lang w:val="fr-CH"/>
        </w:rPr>
        <w:t>)</w:t>
      </w:r>
      <w:r w:rsidR="00E032E1" w:rsidRPr="00572D0C">
        <w:rPr>
          <w:rStyle w:val="Fett"/>
          <w:b w:val="0"/>
          <w:bCs w:val="0"/>
          <w:lang w:val="fr-CH"/>
        </w:rPr>
        <w:t>.</w:t>
      </w:r>
    </w:p>
    <w:p w14:paraId="4F09CA04" w14:textId="7B66EC81" w:rsidR="0051197D" w:rsidRPr="00572D0C" w:rsidRDefault="00240AC9" w:rsidP="147A5F7B">
      <w:pPr>
        <w:rPr>
          <w:lang w:val="fr-CH"/>
        </w:rPr>
      </w:pPr>
      <w:r>
        <w:rPr>
          <w:lang w:val="fr-CH"/>
        </w:rPr>
        <w:lastRenderedPageBreak/>
        <w:t xml:space="preserve">Même si </w:t>
      </w:r>
      <w:r w:rsidR="00DF5FDC">
        <w:rPr>
          <w:lang w:val="fr-CH"/>
        </w:rPr>
        <w:t xml:space="preserve">le </w:t>
      </w:r>
      <w:r w:rsidR="005A3CAA">
        <w:rPr>
          <w:lang w:val="fr-CH"/>
        </w:rPr>
        <w:t>P</w:t>
      </w:r>
      <w:r>
        <w:rPr>
          <w:lang w:val="fr-CH"/>
        </w:rPr>
        <w:t>lan sectoriel est axé sur la protection des SDA qui constituent la plus petite part des surfaces agricoles du pays, la Confédération accorde de façon générale une grande attention à la protection des terres agricoles</w:t>
      </w:r>
      <w:r w:rsidR="0051197D" w:rsidRPr="00572D0C">
        <w:rPr>
          <w:lang w:val="fr-CH"/>
        </w:rPr>
        <w:t>.</w:t>
      </w:r>
    </w:p>
    <w:p w14:paraId="2C6FB622" w14:textId="5BE17E05" w:rsidR="00CB7980" w:rsidRPr="00572D0C" w:rsidRDefault="00240AC9" w:rsidP="147A5F7B">
      <w:pPr>
        <w:rPr>
          <w:rStyle w:val="Fett"/>
          <w:b w:val="0"/>
          <w:bCs w:val="0"/>
          <w:lang w:val="fr-CH"/>
        </w:rPr>
      </w:pPr>
      <w:r>
        <w:rPr>
          <w:lang w:val="fr-CH"/>
        </w:rPr>
        <w:t>Selon le rapport agricole</w:t>
      </w:r>
      <w:r w:rsidR="00830D92" w:rsidRPr="00572D0C">
        <w:rPr>
          <w:lang w:val="fr-CH"/>
        </w:rPr>
        <w:t xml:space="preserve"> 2016 </w:t>
      </w:r>
      <w:r>
        <w:rPr>
          <w:lang w:val="fr-CH"/>
        </w:rPr>
        <w:t xml:space="preserve">et </w:t>
      </w:r>
      <w:r w:rsidR="00830D92" w:rsidRPr="00572D0C">
        <w:rPr>
          <w:lang w:val="fr-CH"/>
        </w:rPr>
        <w:t>Agristat</w:t>
      </w:r>
      <w:r>
        <w:rPr>
          <w:lang w:val="fr-CH"/>
        </w:rPr>
        <w:t>, sur la moyenne des années</w:t>
      </w:r>
      <w:r w:rsidR="00830D92" w:rsidRPr="00572D0C">
        <w:rPr>
          <w:lang w:val="fr-CH"/>
        </w:rPr>
        <w:t xml:space="preserve"> 2013</w:t>
      </w:r>
      <w:r>
        <w:rPr>
          <w:lang w:val="fr-CH"/>
        </w:rPr>
        <w:t xml:space="preserve"> à </w:t>
      </w:r>
      <w:r w:rsidR="00830D92" w:rsidRPr="00572D0C">
        <w:rPr>
          <w:lang w:val="fr-CH"/>
        </w:rPr>
        <w:t>2015</w:t>
      </w:r>
      <w:r>
        <w:rPr>
          <w:lang w:val="fr-CH"/>
        </w:rPr>
        <w:t xml:space="preserve">, le taux </w:t>
      </w:r>
      <w:r w:rsidR="00A72680">
        <w:rPr>
          <w:lang w:val="fr-CH"/>
        </w:rPr>
        <w:t xml:space="preserve">d’auto-approvisionnement </w:t>
      </w:r>
      <w:r>
        <w:rPr>
          <w:lang w:val="fr-CH"/>
        </w:rPr>
        <w:t>brut</w:t>
      </w:r>
      <w:r w:rsidR="00A72680">
        <w:rPr>
          <w:lang w:val="fr-CH"/>
        </w:rPr>
        <w:t>,</w:t>
      </w:r>
      <w:r>
        <w:rPr>
          <w:lang w:val="fr-CH"/>
        </w:rPr>
        <w:t xml:space="preserve"> tous aliments confondus</w:t>
      </w:r>
      <w:r w:rsidR="00A72680">
        <w:rPr>
          <w:lang w:val="fr-CH"/>
        </w:rPr>
        <w:t>,</w:t>
      </w:r>
      <w:r>
        <w:rPr>
          <w:lang w:val="fr-CH"/>
        </w:rPr>
        <w:t xml:space="preserve"> </w:t>
      </w:r>
      <w:r w:rsidR="005454C8">
        <w:rPr>
          <w:lang w:val="fr-CH"/>
        </w:rPr>
        <w:t>atteignait</w:t>
      </w:r>
      <w:r w:rsidR="00830D92" w:rsidRPr="00572D0C">
        <w:rPr>
          <w:lang w:val="fr-CH"/>
        </w:rPr>
        <w:t xml:space="preserve"> 60%</w:t>
      </w:r>
      <w:r>
        <w:rPr>
          <w:lang w:val="fr-CH"/>
        </w:rPr>
        <w:t xml:space="preserve"> (exprimé en calories)</w:t>
      </w:r>
      <w:r w:rsidR="005454C8">
        <w:rPr>
          <w:lang w:val="fr-CH"/>
        </w:rPr>
        <w:t>, et le taux net 52%</w:t>
      </w:r>
      <w:r w:rsidR="00830D92" w:rsidRPr="00572D0C">
        <w:rPr>
          <w:lang w:val="fr-CH"/>
        </w:rPr>
        <w:t xml:space="preserve"> </w:t>
      </w:r>
      <w:r>
        <w:rPr>
          <w:rStyle w:val="Fett"/>
          <w:rFonts w:eastAsiaTheme="minorEastAsia"/>
          <w:b w:val="0"/>
          <w:bCs w:val="0"/>
          <w:lang w:val="fr-CH" w:eastAsia="en-US"/>
        </w:rPr>
        <w:t>(en retranchant la production « animale » suisse obtenue grâce aux fourrages importés)</w:t>
      </w:r>
      <w:r w:rsidR="00E05412" w:rsidRPr="00572D0C">
        <w:rPr>
          <w:rStyle w:val="Fett"/>
          <w:rFonts w:eastAsiaTheme="minorEastAsia"/>
          <w:b w:val="0"/>
          <w:bCs w:val="0"/>
          <w:lang w:val="fr-CH" w:eastAsia="en-US"/>
        </w:rPr>
        <w:t xml:space="preserve">. </w:t>
      </w:r>
      <w:r w:rsidR="005454C8">
        <w:rPr>
          <w:rStyle w:val="Fett"/>
          <w:rFonts w:eastAsiaTheme="minorEastAsia"/>
          <w:b w:val="0"/>
          <w:bCs w:val="0"/>
          <w:lang w:val="fr-CH" w:eastAsia="en-US"/>
        </w:rPr>
        <w:t>Le</w:t>
      </w:r>
      <w:r>
        <w:rPr>
          <w:rStyle w:val="Fett"/>
          <w:rFonts w:eastAsiaTheme="minorEastAsia"/>
          <w:b w:val="0"/>
          <w:bCs w:val="0"/>
          <w:lang w:val="fr-CH" w:eastAsia="en-US"/>
        </w:rPr>
        <w:t xml:space="preserve"> taux brut </w:t>
      </w:r>
      <w:r w:rsidR="005454C8">
        <w:rPr>
          <w:rStyle w:val="Fett"/>
          <w:rFonts w:eastAsiaTheme="minorEastAsia"/>
          <w:b w:val="0"/>
          <w:bCs w:val="0"/>
          <w:lang w:val="fr-CH" w:eastAsia="en-US"/>
        </w:rPr>
        <w:t>s’établit à</w:t>
      </w:r>
      <w:r w:rsidR="00E05412" w:rsidRPr="00572D0C">
        <w:rPr>
          <w:rStyle w:val="Fett"/>
          <w:rFonts w:eastAsiaTheme="minorEastAsia"/>
          <w:b w:val="0"/>
          <w:bCs w:val="0"/>
          <w:lang w:val="fr-CH" w:eastAsia="en-US"/>
        </w:rPr>
        <w:t xml:space="preserve"> 43%</w:t>
      </w:r>
      <w:r w:rsidR="00A82C6D">
        <w:rPr>
          <w:rStyle w:val="Fett"/>
          <w:rFonts w:eastAsiaTheme="minorEastAsia"/>
          <w:b w:val="0"/>
          <w:bCs w:val="0"/>
          <w:lang w:val="fr-CH" w:eastAsia="en-US"/>
        </w:rPr>
        <w:t xml:space="preserve"> </w:t>
      </w:r>
      <w:r w:rsidR="005454C8">
        <w:rPr>
          <w:rStyle w:val="Fett"/>
          <w:rFonts w:eastAsiaTheme="minorEastAsia"/>
          <w:b w:val="0"/>
          <w:bCs w:val="0"/>
          <w:lang w:val="fr-CH" w:eastAsia="en-US"/>
        </w:rPr>
        <w:t>pour les produits végétaux et à</w:t>
      </w:r>
      <w:r w:rsidR="00830D92" w:rsidRPr="00572D0C">
        <w:rPr>
          <w:lang w:val="fr-CH"/>
        </w:rPr>
        <w:t xml:space="preserve"> 99% </w:t>
      </w:r>
      <w:r w:rsidR="00A82C6D">
        <w:rPr>
          <w:lang w:val="fr-CH"/>
        </w:rPr>
        <w:t>pour les aliments d’origine animale</w:t>
      </w:r>
      <w:r w:rsidR="005454C8">
        <w:rPr>
          <w:lang w:val="fr-CH"/>
        </w:rPr>
        <w:t>,</w:t>
      </w:r>
      <w:r w:rsidR="007D649A" w:rsidRPr="00572D0C">
        <w:rPr>
          <w:lang w:val="fr-CH"/>
        </w:rPr>
        <w:t xml:space="preserve"> </w:t>
      </w:r>
      <w:r w:rsidR="00A82C6D">
        <w:rPr>
          <w:rFonts w:eastAsiaTheme="minorEastAsia" w:cs="Arial"/>
          <w:lang w:val="fr-CH" w:eastAsia="en-US"/>
        </w:rPr>
        <w:t xml:space="preserve">mais il </w:t>
      </w:r>
      <w:r w:rsidR="005454C8">
        <w:rPr>
          <w:rFonts w:eastAsiaTheme="minorEastAsia" w:cs="Arial"/>
          <w:lang w:val="fr-CH" w:eastAsia="en-US"/>
        </w:rPr>
        <w:t>existe</w:t>
      </w:r>
      <w:r w:rsidR="00A82C6D">
        <w:rPr>
          <w:rFonts w:eastAsiaTheme="minorEastAsia" w:cs="Arial"/>
          <w:lang w:val="fr-CH" w:eastAsia="en-US"/>
        </w:rPr>
        <w:t xml:space="preserve"> de grandes disparités entre les produits (lait et produits laitiers</w:t>
      </w:r>
      <w:r w:rsidR="007D649A" w:rsidRPr="00572D0C">
        <w:rPr>
          <w:rFonts w:eastAsiaTheme="minorEastAsia" w:cs="Arial"/>
          <w:lang w:val="fr-CH" w:eastAsia="en-US"/>
        </w:rPr>
        <w:t xml:space="preserve"> 114%, </w:t>
      </w:r>
      <w:r w:rsidR="00A82C6D">
        <w:rPr>
          <w:rFonts w:eastAsiaTheme="minorEastAsia" w:cs="Arial"/>
          <w:lang w:val="fr-CH" w:eastAsia="en-US"/>
        </w:rPr>
        <w:t>veau</w:t>
      </w:r>
      <w:r w:rsidR="007D649A" w:rsidRPr="00572D0C">
        <w:rPr>
          <w:rFonts w:eastAsiaTheme="minorEastAsia" w:cs="Arial"/>
          <w:lang w:val="fr-CH" w:eastAsia="en-US"/>
        </w:rPr>
        <w:t xml:space="preserve"> 98%, </w:t>
      </w:r>
      <w:r w:rsidR="00A82C6D">
        <w:rPr>
          <w:rFonts w:eastAsiaTheme="minorEastAsia" w:cs="Arial"/>
          <w:lang w:val="fr-CH" w:eastAsia="en-US"/>
        </w:rPr>
        <w:t>porc</w:t>
      </w:r>
      <w:r w:rsidR="007D649A" w:rsidRPr="00572D0C">
        <w:rPr>
          <w:rFonts w:eastAsiaTheme="minorEastAsia" w:cs="Arial"/>
          <w:lang w:val="fr-CH" w:eastAsia="en-US"/>
        </w:rPr>
        <w:t xml:space="preserve"> 94%, </w:t>
      </w:r>
      <w:r w:rsidR="00A82C6D">
        <w:rPr>
          <w:rFonts w:eastAsiaTheme="minorEastAsia" w:cs="Arial"/>
          <w:lang w:val="fr-CH" w:eastAsia="en-US"/>
        </w:rPr>
        <w:t>volaille</w:t>
      </w:r>
      <w:r w:rsidR="007D649A" w:rsidRPr="00572D0C">
        <w:rPr>
          <w:rFonts w:eastAsiaTheme="minorEastAsia" w:cs="Arial"/>
          <w:lang w:val="fr-CH" w:eastAsia="en-US"/>
        </w:rPr>
        <w:t xml:space="preserve"> 52%, </w:t>
      </w:r>
      <w:r w:rsidR="00A82C6D">
        <w:rPr>
          <w:rFonts w:eastAsiaTheme="minorEastAsia" w:cs="Arial"/>
          <w:lang w:val="fr-CH" w:eastAsia="en-US"/>
        </w:rPr>
        <w:t>œufs et conserves</w:t>
      </w:r>
      <w:r w:rsidR="00DB6E52">
        <w:rPr>
          <w:rFonts w:eastAsiaTheme="minorEastAsia" w:cs="Arial"/>
          <w:lang w:val="fr-CH" w:eastAsia="en-US"/>
        </w:rPr>
        <w:t xml:space="preserve"> d’oeufs</w:t>
      </w:r>
      <w:r w:rsidR="007D649A" w:rsidRPr="00572D0C">
        <w:rPr>
          <w:rFonts w:eastAsiaTheme="minorEastAsia" w:cs="Arial"/>
          <w:lang w:val="fr-CH" w:eastAsia="en-US"/>
        </w:rPr>
        <w:t xml:space="preserve"> 52%, </w:t>
      </w:r>
      <w:r w:rsidR="00A82C6D">
        <w:rPr>
          <w:rFonts w:eastAsiaTheme="minorEastAsia" w:cs="Arial"/>
          <w:lang w:val="fr-CH" w:eastAsia="en-US"/>
        </w:rPr>
        <w:t>mouton</w:t>
      </w:r>
      <w:r w:rsidR="007D649A" w:rsidRPr="00572D0C">
        <w:rPr>
          <w:rFonts w:eastAsiaTheme="minorEastAsia" w:cs="Arial"/>
          <w:lang w:val="fr-CH" w:eastAsia="en-US"/>
        </w:rPr>
        <w:t xml:space="preserve"> 43%,</w:t>
      </w:r>
      <w:r w:rsidR="00A82C6D">
        <w:rPr>
          <w:rFonts w:eastAsiaTheme="minorEastAsia" w:cs="Arial"/>
          <w:lang w:val="fr-CH" w:eastAsia="en-US"/>
        </w:rPr>
        <w:t xml:space="preserve"> poisson</w:t>
      </w:r>
      <w:r w:rsidR="007D649A" w:rsidRPr="00572D0C">
        <w:rPr>
          <w:rFonts w:eastAsiaTheme="minorEastAsia" w:cs="Arial"/>
          <w:lang w:val="fr-CH" w:eastAsia="en-US"/>
        </w:rPr>
        <w:t xml:space="preserve"> 2%)</w:t>
      </w:r>
      <w:r w:rsidR="00E05412" w:rsidRPr="00572D0C">
        <w:rPr>
          <w:rStyle w:val="Fett"/>
          <w:rFonts w:eastAsiaTheme="minorEastAsia"/>
          <w:b w:val="0"/>
          <w:bCs w:val="0"/>
          <w:vertAlign w:val="superscript"/>
          <w:lang w:val="fr-CH"/>
        </w:rPr>
        <w:footnoteReference w:id="14"/>
      </w:r>
      <w:r w:rsidR="0098007A">
        <w:rPr>
          <w:rFonts w:eastAsiaTheme="minorEastAsia" w:cs="Arial"/>
          <w:lang w:val="fr-CH" w:eastAsia="en-US"/>
        </w:rPr>
        <w:t>.</w:t>
      </w:r>
    </w:p>
    <w:p w14:paraId="29862201" w14:textId="098E48DB" w:rsidR="00E05412" w:rsidRPr="00572D0C" w:rsidRDefault="00A82C6D" w:rsidP="147A5F7B">
      <w:pPr>
        <w:rPr>
          <w:rStyle w:val="Fett"/>
          <w:b w:val="0"/>
          <w:bCs w:val="0"/>
          <w:lang w:val="fr-CH"/>
        </w:rPr>
      </w:pPr>
      <w:r>
        <w:rPr>
          <w:rStyle w:val="Fett"/>
          <w:b w:val="0"/>
          <w:bCs w:val="0"/>
          <w:lang w:val="fr-CH"/>
        </w:rPr>
        <w:t>En Suisse,</w:t>
      </w:r>
      <w:r w:rsidR="00E05412" w:rsidRPr="00572D0C">
        <w:rPr>
          <w:rStyle w:val="Fett"/>
          <w:b w:val="0"/>
          <w:bCs w:val="0"/>
          <w:lang w:val="fr-CH"/>
        </w:rPr>
        <w:t xml:space="preserve"> </w:t>
      </w:r>
      <w:r w:rsidR="00E10D02">
        <w:rPr>
          <w:rStyle w:val="Fett"/>
          <w:b w:val="0"/>
          <w:bCs w:val="0"/>
          <w:lang w:val="fr-CH"/>
        </w:rPr>
        <w:t>la demande totale de denrées alimentaires va augmenter</w:t>
      </w:r>
      <w:r w:rsidR="00E10D02" w:rsidRPr="00572D0C">
        <w:rPr>
          <w:rStyle w:val="Fett"/>
          <w:b w:val="0"/>
          <w:bCs w:val="0"/>
          <w:vertAlign w:val="superscript"/>
          <w:lang w:val="fr-CH"/>
        </w:rPr>
        <w:footnoteReference w:id="15"/>
      </w:r>
      <w:r w:rsidR="00E10D02">
        <w:rPr>
          <w:rStyle w:val="Fett"/>
          <w:b w:val="0"/>
          <w:bCs w:val="0"/>
          <w:lang w:val="fr-CH"/>
        </w:rPr>
        <w:t xml:space="preserve"> </w:t>
      </w:r>
      <w:r w:rsidR="00AE602B">
        <w:rPr>
          <w:rStyle w:val="Fett"/>
          <w:b w:val="0"/>
          <w:bCs w:val="0"/>
          <w:lang w:val="fr-CH"/>
        </w:rPr>
        <w:t>à la faveur de</w:t>
      </w:r>
      <w:r w:rsidR="00E10D02">
        <w:rPr>
          <w:rStyle w:val="Fett"/>
          <w:b w:val="0"/>
          <w:bCs w:val="0"/>
          <w:lang w:val="fr-CH"/>
        </w:rPr>
        <w:t xml:space="preserve"> la croissance démographique</w:t>
      </w:r>
      <w:r w:rsidR="00E05412" w:rsidRPr="00572D0C">
        <w:rPr>
          <w:rStyle w:val="Fett"/>
          <w:b w:val="0"/>
          <w:bCs w:val="0"/>
          <w:vertAlign w:val="superscript"/>
          <w:lang w:val="fr-CH"/>
        </w:rPr>
        <w:footnoteReference w:id="16"/>
      </w:r>
      <w:r w:rsidR="00E05412" w:rsidRPr="00572D0C">
        <w:rPr>
          <w:rStyle w:val="Fett"/>
          <w:b w:val="0"/>
          <w:bCs w:val="0"/>
          <w:lang w:val="fr-CH"/>
        </w:rPr>
        <w:t xml:space="preserve">. </w:t>
      </w:r>
      <w:r w:rsidR="00E10D02">
        <w:rPr>
          <w:rStyle w:val="Fett"/>
          <w:b w:val="0"/>
          <w:bCs w:val="0"/>
          <w:lang w:val="fr-CH"/>
        </w:rPr>
        <w:t xml:space="preserve">La </w:t>
      </w:r>
      <w:r w:rsidR="00AE602B">
        <w:rPr>
          <w:rStyle w:val="Fett"/>
          <w:b w:val="0"/>
          <w:bCs w:val="0"/>
          <w:lang w:val="fr-CH"/>
        </w:rPr>
        <w:t>hausse</w:t>
      </w:r>
      <w:r w:rsidR="00E10D02">
        <w:rPr>
          <w:rStyle w:val="Fett"/>
          <w:b w:val="0"/>
          <w:bCs w:val="0"/>
          <w:lang w:val="fr-CH"/>
        </w:rPr>
        <w:t xml:space="preserve"> de la demande va </w:t>
      </w:r>
      <w:r w:rsidR="00AE602B">
        <w:rPr>
          <w:rStyle w:val="Fett"/>
          <w:b w:val="0"/>
          <w:bCs w:val="0"/>
          <w:lang w:val="fr-CH"/>
        </w:rPr>
        <w:t>toutefois ralentir</w:t>
      </w:r>
      <w:r w:rsidR="00E10D02">
        <w:rPr>
          <w:rStyle w:val="Fett"/>
          <w:b w:val="0"/>
          <w:bCs w:val="0"/>
          <w:lang w:val="fr-CH"/>
        </w:rPr>
        <w:t xml:space="preserve"> en raison du vieillissement de la population</w:t>
      </w:r>
      <w:r w:rsidR="00E05412" w:rsidRPr="00572D0C">
        <w:rPr>
          <w:rStyle w:val="Fett"/>
          <w:b w:val="0"/>
          <w:bCs w:val="0"/>
          <w:vertAlign w:val="superscript"/>
          <w:lang w:val="fr-CH"/>
        </w:rPr>
        <w:footnoteReference w:id="17"/>
      </w:r>
      <w:r w:rsidR="00E05412" w:rsidRPr="00572D0C">
        <w:rPr>
          <w:rStyle w:val="Fett"/>
          <w:b w:val="0"/>
          <w:bCs w:val="0"/>
          <w:lang w:val="fr-CH"/>
        </w:rPr>
        <w:t xml:space="preserve">. </w:t>
      </w:r>
      <w:r w:rsidR="00D52CC4">
        <w:rPr>
          <w:rStyle w:val="Fett"/>
          <w:b w:val="0"/>
          <w:bCs w:val="0"/>
          <w:lang w:val="fr-CH"/>
        </w:rPr>
        <w:t xml:space="preserve">Si l’on considère également la </w:t>
      </w:r>
      <w:r w:rsidR="00AE602B">
        <w:rPr>
          <w:rStyle w:val="Fett"/>
          <w:b w:val="0"/>
          <w:bCs w:val="0"/>
          <w:lang w:val="fr-CH"/>
        </w:rPr>
        <w:t>disparition croissante des terres cultivables</w:t>
      </w:r>
      <w:r w:rsidR="00D52CC4">
        <w:rPr>
          <w:rStyle w:val="Fett"/>
          <w:b w:val="0"/>
          <w:bCs w:val="0"/>
          <w:lang w:val="fr-CH"/>
        </w:rPr>
        <w:t>,</w:t>
      </w:r>
      <w:r w:rsidR="00AE602B">
        <w:rPr>
          <w:rStyle w:val="Fett"/>
          <w:b w:val="0"/>
          <w:bCs w:val="0"/>
          <w:lang w:val="fr-CH"/>
        </w:rPr>
        <w:t xml:space="preserve"> </w:t>
      </w:r>
      <w:r w:rsidR="0098007A">
        <w:rPr>
          <w:rStyle w:val="Fett"/>
          <w:b w:val="0"/>
          <w:bCs w:val="0"/>
          <w:lang w:val="fr-CH"/>
        </w:rPr>
        <w:t xml:space="preserve">il </w:t>
      </w:r>
      <w:r w:rsidR="00D52CC4">
        <w:rPr>
          <w:rStyle w:val="Fett"/>
          <w:b w:val="0"/>
          <w:bCs w:val="0"/>
          <w:lang w:val="fr-CH"/>
        </w:rPr>
        <w:t xml:space="preserve">faut s’attendre à </w:t>
      </w:r>
      <w:r w:rsidR="00AE602B">
        <w:rPr>
          <w:rStyle w:val="Fett"/>
          <w:b w:val="0"/>
          <w:bCs w:val="0"/>
          <w:lang w:val="fr-CH"/>
        </w:rPr>
        <w:t>une dépendance accrue vis-à-vis des importation</w:t>
      </w:r>
      <w:r w:rsidR="00D52CC4">
        <w:rPr>
          <w:rStyle w:val="Fett"/>
          <w:b w:val="0"/>
          <w:bCs w:val="0"/>
          <w:lang w:val="fr-CH"/>
        </w:rPr>
        <w:t>s</w:t>
      </w:r>
      <w:r w:rsidR="00E05412" w:rsidRPr="00572D0C">
        <w:rPr>
          <w:rStyle w:val="Fett"/>
          <w:b w:val="0"/>
          <w:bCs w:val="0"/>
          <w:vertAlign w:val="superscript"/>
          <w:lang w:val="fr-CH"/>
        </w:rPr>
        <w:footnoteReference w:id="18"/>
      </w:r>
      <w:r w:rsidR="00E05412" w:rsidRPr="00572D0C">
        <w:rPr>
          <w:rStyle w:val="Fett"/>
          <w:b w:val="0"/>
          <w:bCs w:val="0"/>
          <w:lang w:val="fr-CH"/>
        </w:rPr>
        <w:t xml:space="preserve">. </w:t>
      </w:r>
    </w:p>
    <w:p w14:paraId="1E5D642B" w14:textId="70A78DC4" w:rsidR="00263E47" w:rsidRPr="00572D0C" w:rsidRDefault="00D52CC4" w:rsidP="147A5F7B">
      <w:pPr>
        <w:rPr>
          <w:rStyle w:val="Fett"/>
          <w:b w:val="0"/>
          <w:bCs w:val="0"/>
          <w:lang w:val="fr-CH"/>
        </w:rPr>
      </w:pPr>
      <w:r>
        <w:rPr>
          <w:rStyle w:val="Fett"/>
          <w:rFonts w:eastAsiaTheme="minorEastAsia"/>
          <w:b w:val="0"/>
          <w:bCs w:val="0"/>
          <w:lang w:val="fr-CH" w:eastAsia="en-US"/>
        </w:rPr>
        <w:t xml:space="preserve">La préservation qualitative et quantitative des meilleures terres agricoles de Suisse et, de façon générale, des surfaces </w:t>
      </w:r>
      <w:r w:rsidR="005B3BA7">
        <w:rPr>
          <w:rStyle w:val="Fett"/>
          <w:rFonts w:eastAsiaTheme="minorEastAsia"/>
          <w:b w:val="0"/>
          <w:bCs w:val="0"/>
          <w:lang w:val="fr-CH" w:eastAsia="en-US"/>
        </w:rPr>
        <w:t xml:space="preserve">cultivées </w:t>
      </w:r>
      <w:r>
        <w:rPr>
          <w:rStyle w:val="Fett"/>
          <w:rFonts w:eastAsiaTheme="minorEastAsia"/>
          <w:b w:val="0"/>
          <w:bCs w:val="0"/>
          <w:lang w:val="fr-CH" w:eastAsia="en-US"/>
        </w:rPr>
        <w:t>est d’une importance primordiale pour garantir</w:t>
      </w:r>
      <w:r w:rsidR="005B3BA7">
        <w:rPr>
          <w:rStyle w:val="Fett"/>
          <w:rFonts w:eastAsiaTheme="minorEastAsia"/>
          <w:b w:val="0"/>
          <w:bCs w:val="0"/>
          <w:lang w:val="fr-CH" w:eastAsia="en-US"/>
        </w:rPr>
        <w:t xml:space="preserve"> la sécurité alimentaire du pays non seulement</w:t>
      </w:r>
      <w:r>
        <w:rPr>
          <w:rStyle w:val="Fett"/>
          <w:rFonts w:eastAsiaTheme="minorEastAsia"/>
          <w:b w:val="0"/>
          <w:bCs w:val="0"/>
          <w:lang w:val="fr-CH" w:eastAsia="en-US"/>
        </w:rPr>
        <w:t xml:space="preserve"> en cas de pénurie grave</w:t>
      </w:r>
      <w:r w:rsidR="005B3BA7">
        <w:rPr>
          <w:rStyle w:val="Fett"/>
          <w:rFonts w:eastAsiaTheme="minorEastAsia"/>
          <w:b w:val="0"/>
          <w:bCs w:val="0"/>
          <w:lang w:val="fr-CH" w:eastAsia="en-US"/>
        </w:rPr>
        <w:t>,</w:t>
      </w:r>
      <w:r w:rsidR="147A5F7B" w:rsidRPr="00572D0C">
        <w:rPr>
          <w:rStyle w:val="Fett"/>
          <w:rFonts w:eastAsiaTheme="minorEastAsia"/>
          <w:b w:val="0"/>
          <w:bCs w:val="0"/>
          <w:lang w:val="fr-CH" w:eastAsia="en-US"/>
        </w:rPr>
        <w:t xml:space="preserve"> </w:t>
      </w:r>
      <w:r>
        <w:rPr>
          <w:rStyle w:val="Fett"/>
          <w:rFonts w:eastAsiaTheme="minorEastAsia"/>
          <w:b w:val="0"/>
          <w:bCs w:val="0"/>
          <w:lang w:val="fr-CH" w:eastAsia="en-US"/>
        </w:rPr>
        <w:t>mais aussi en « temps normal »</w:t>
      </w:r>
      <w:r w:rsidR="147A5F7B" w:rsidRPr="00572D0C">
        <w:rPr>
          <w:rStyle w:val="Fett"/>
          <w:rFonts w:eastAsiaTheme="minorEastAsia"/>
          <w:b w:val="0"/>
          <w:bCs w:val="0"/>
          <w:lang w:val="fr-CH" w:eastAsia="en-US"/>
        </w:rPr>
        <w:t xml:space="preserve">. </w:t>
      </w:r>
      <w:r>
        <w:rPr>
          <w:rStyle w:val="Fett"/>
          <w:b w:val="0"/>
          <w:bCs w:val="0"/>
          <w:lang w:val="fr-CH"/>
        </w:rPr>
        <w:t>Par ailleurs,</w:t>
      </w:r>
      <w:r w:rsidR="0012569D">
        <w:rPr>
          <w:rStyle w:val="Fett"/>
          <w:b w:val="0"/>
          <w:bCs w:val="0"/>
          <w:lang w:val="fr-CH"/>
        </w:rPr>
        <w:t xml:space="preserve"> être capable d’assurer une partie de sa subsistance plutôt que de s’approvisionner en denrées alimentaires</w:t>
      </w:r>
      <w:r>
        <w:rPr>
          <w:rStyle w:val="Fett"/>
          <w:b w:val="0"/>
          <w:bCs w:val="0"/>
          <w:lang w:val="fr-CH"/>
        </w:rPr>
        <w:t xml:space="preserve"> </w:t>
      </w:r>
      <w:r w:rsidR="0004372B">
        <w:rPr>
          <w:rStyle w:val="Fett"/>
          <w:b w:val="0"/>
          <w:bCs w:val="0"/>
          <w:lang w:val="fr-CH"/>
        </w:rPr>
        <w:t xml:space="preserve">au détriment d’autres pays </w:t>
      </w:r>
      <w:r w:rsidR="147A5F7B" w:rsidRPr="00572D0C">
        <w:rPr>
          <w:rStyle w:val="Fett"/>
          <w:b w:val="0"/>
          <w:bCs w:val="0"/>
          <w:lang w:val="fr-CH"/>
        </w:rPr>
        <w:t>(</w:t>
      </w:r>
      <w:r w:rsidR="0004372B">
        <w:rPr>
          <w:rStyle w:val="Fett"/>
          <w:b w:val="0"/>
          <w:bCs w:val="0"/>
          <w:lang w:val="fr-CH"/>
        </w:rPr>
        <w:t>produits bon marché</w:t>
      </w:r>
      <w:r w:rsidR="147A5F7B" w:rsidRPr="00572D0C">
        <w:rPr>
          <w:rStyle w:val="Fett"/>
          <w:b w:val="0"/>
          <w:bCs w:val="0"/>
          <w:lang w:val="fr-CH"/>
        </w:rPr>
        <w:t xml:space="preserve">, </w:t>
      </w:r>
      <w:r w:rsidR="0004372B">
        <w:rPr>
          <w:rStyle w:val="Fett"/>
          <w:b w:val="0"/>
          <w:bCs w:val="0"/>
          <w:lang w:val="fr-CH"/>
        </w:rPr>
        <w:t>répercussions environnementales</w:t>
      </w:r>
      <w:r w:rsidR="147A5F7B" w:rsidRPr="00572D0C">
        <w:rPr>
          <w:rStyle w:val="Fett"/>
          <w:b w:val="0"/>
          <w:bCs w:val="0"/>
          <w:lang w:val="fr-CH"/>
        </w:rPr>
        <w:t xml:space="preserve">, </w:t>
      </w:r>
      <w:r w:rsidR="0004372B">
        <w:rPr>
          <w:rStyle w:val="Fett"/>
          <w:b w:val="0"/>
          <w:bCs w:val="0"/>
          <w:lang w:val="fr-CH"/>
        </w:rPr>
        <w:t>conséquences sur les populations locales,</w:t>
      </w:r>
      <w:r w:rsidR="147A5F7B" w:rsidRPr="00572D0C">
        <w:rPr>
          <w:rStyle w:val="Fett"/>
          <w:b w:val="0"/>
          <w:bCs w:val="0"/>
          <w:lang w:val="fr-CH"/>
        </w:rPr>
        <w:t xml:space="preserve"> etc.)</w:t>
      </w:r>
      <w:r w:rsidR="0012569D">
        <w:rPr>
          <w:rStyle w:val="Fett"/>
          <w:b w:val="0"/>
          <w:bCs w:val="0"/>
          <w:lang w:val="fr-CH"/>
        </w:rPr>
        <w:t xml:space="preserve"> est un acte de solidarité des pays riches</w:t>
      </w:r>
      <w:r w:rsidR="147A5F7B" w:rsidRPr="00572D0C">
        <w:rPr>
          <w:rStyle w:val="Fett"/>
          <w:b w:val="0"/>
          <w:bCs w:val="0"/>
          <w:lang w:val="fr-CH"/>
        </w:rPr>
        <w:t xml:space="preserve">. </w:t>
      </w:r>
      <w:r w:rsidR="0004372B">
        <w:rPr>
          <w:rStyle w:val="Fett"/>
          <w:b w:val="0"/>
          <w:bCs w:val="0"/>
          <w:lang w:val="fr-CH"/>
        </w:rPr>
        <w:t>La préservation des meilleures terres cultivables est également essentielle pour les générations futures et constitue</w:t>
      </w:r>
      <w:r w:rsidR="0012569D">
        <w:rPr>
          <w:rStyle w:val="Fett"/>
          <w:b w:val="0"/>
          <w:bCs w:val="0"/>
          <w:lang w:val="fr-CH"/>
        </w:rPr>
        <w:t xml:space="preserve"> aussi en cela</w:t>
      </w:r>
      <w:r w:rsidR="0004372B">
        <w:rPr>
          <w:rStyle w:val="Fett"/>
          <w:b w:val="0"/>
          <w:bCs w:val="0"/>
          <w:lang w:val="fr-CH"/>
        </w:rPr>
        <w:t xml:space="preserve"> une obligation éthique. </w:t>
      </w:r>
    </w:p>
    <w:p w14:paraId="355891C6" w14:textId="0596F239" w:rsidR="009E236D" w:rsidRPr="00572D0C" w:rsidRDefault="0004372B" w:rsidP="00350832">
      <w:pPr>
        <w:rPr>
          <w:lang w:val="fr-CH"/>
        </w:rPr>
      </w:pPr>
      <w:r>
        <w:rPr>
          <w:lang w:val="fr-CH"/>
        </w:rPr>
        <w:t>Comme nous l’avons exposé au chapitre</w:t>
      </w:r>
      <w:r w:rsidR="00530EF8" w:rsidRPr="00572D0C">
        <w:rPr>
          <w:lang w:val="fr-CH"/>
        </w:rPr>
        <w:t xml:space="preserve"> </w:t>
      </w:r>
      <w:r w:rsidR="00530EF8" w:rsidRPr="00572D0C">
        <w:rPr>
          <w:lang w:val="fr-CH"/>
        </w:rPr>
        <w:fldChar w:fldCharType="begin"/>
      </w:r>
      <w:r w:rsidR="00530EF8" w:rsidRPr="00572D0C">
        <w:rPr>
          <w:lang w:val="fr-CH"/>
        </w:rPr>
        <w:instrText xml:space="preserve"> REF _Ref525718900 \r \h </w:instrText>
      </w:r>
      <w:r w:rsidR="00530EF8" w:rsidRPr="00572D0C">
        <w:rPr>
          <w:lang w:val="fr-CH"/>
        </w:rPr>
      </w:r>
      <w:r w:rsidR="00530EF8" w:rsidRPr="00572D0C">
        <w:rPr>
          <w:lang w:val="fr-CH"/>
        </w:rPr>
        <w:fldChar w:fldCharType="separate"/>
      </w:r>
      <w:r w:rsidR="00A65A9C">
        <w:rPr>
          <w:lang w:val="fr-CH"/>
        </w:rPr>
        <w:t>2</w:t>
      </w:r>
      <w:r w:rsidR="00530EF8" w:rsidRPr="00572D0C">
        <w:rPr>
          <w:lang w:val="fr-CH"/>
        </w:rPr>
        <w:fldChar w:fldCharType="end"/>
      </w:r>
      <w:r w:rsidR="00530EF8" w:rsidRPr="00572D0C">
        <w:rPr>
          <w:lang w:val="fr-CH"/>
        </w:rPr>
        <w:t xml:space="preserve"> </w:t>
      </w:r>
      <w:r w:rsidR="0012569D">
        <w:rPr>
          <w:lang w:val="fr-CH"/>
        </w:rPr>
        <w:t>du présent</w:t>
      </w:r>
      <w:r>
        <w:rPr>
          <w:lang w:val="fr-CH"/>
        </w:rPr>
        <w:t xml:space="preserve"> rapport explicatif, l’a</w:t>
      </w:r>
      <w:r w:rsidR="00530EF8" w:rsidRPr="00572D0C">
        <w:rPr>
          <w:lang w:val="fr-CH"/>
        </w:rPr>
        <w:t xml:space="preserve">nalyse </w:t>
      </w:r>
      <w:r w:rsidR="005A3CAA">
        <w:rPr>
          <w:lang w:val="fr-CH"/>
        </w:rPr>
        <w:t>du P</w:t>
      </w:r>
      <w:r>
        <w:rPr>
          <w:lang w:val="fr-CH"/>
        </w:rPr>
        <w:t>lan sectoriel SDA de</w:t>
      </w:r>
      <w:r w:rsidR="00530EF8" w:rsidRPr="00572D0C">
        <w:rPr>
          <w:lang w:val="fr-CH"/>
        </w:rPr>
        <w:t xml:space="preserve"> 2003 </w:t>
      </w:r>
      <w:r>
        <w:rPr>
          <w:lang w:val="fr-CH"/>
        </w:rPr>
        <w:t xml:space="preserve">avait </w:t>
      </w:r>
      <w:r w:rsidR="0012569D">
        <w:rPr>
          <w:lang w:val="fr-CH"/>
        </w:rPr>
        <w:t>suscité des inquiétudes</w:t>
      </w:r>
      <w:r>
        <w:rPr>
          <w:lang w:val="fr-CH"/>
        </w:rPr>
        <w:t xml:space="preserve"> quant à l’état de la fertilité des sols</w:t>
      </w:r>
      <w:r w:rsidR="001B0575" w:rsidRPr="00572D0C">
        <w:rPr>
          <w:rStyle w:val="Funotenzeichen"/>
          <w:lang w:val="fr-CH"/>
        </w:rPr>
        <w:footnoteReference w:id="19"/>
      </w:r>
      <w:r w:rsidR="00A52289" w:rsidRPr="00572D0C">
        <w:rPr>
          <w:lang w:val="fr-CH"/>
        </w:rPr>
        <w:t>.</w:t>
      </w:r>
      <w:r>
        <w:rPr>
          <w:lang w:val="fr-CH"/>
        </w:rPr>
        <w:t xml:space="preserve"> L’aide à la mise en œuvre de</w:t>
      </w:r>
      <w:r w:rsidR="009D1CC9" w:rsidRPr="00572D0C">
        <w:rPr>
          <w:lang w:val="fr-CH"/>
        </w:rPr>
        <w:t xml:space="preserve"> </w:t>
      </w:r>
      <w:r w:rsidR="00263E47" w:rsidRPr="00572D0C">
        <w:rPr>
          <w:lang w:val="fr-CH"/>
        </w:rPr>
        <w:t xml:space="preserve">2006 </w:t>
      </w:r>
      <w:r>
        <w:rPr>
          <w:lang w:val="fr-CH"/>
        </w:rPr>
        <w:t xml:space="preserve">ainsi que </w:t>
      </w:r>
      <w:r w:rsidR="008D3375">
        <w:rPr>
          <w:lang w:val="fr-CH"/>
        </w:rPr>
        <w:t>le rapport</w:t>
      </w:r>
      <w:r>
        <w:rPr>
          <w:lang w:val="fr-CH"/>
        </w:rPr>
        <w:t xml:space="preserve"> du groupe d’experts pour le remaniement/renforcement du </w:t>
      </w:r>
      <w:r w:rsidR="005A3CAA">
        <w:rPr>
          <w:lang w:val="fr-CH"/>
        </w:rPr>
        <w:t>P</w:t>
      </w:r>
      <w:r>
        <w:rPr>
          <w:lang w:val="fr-CH"/>
        </w:rPr>
        <w:t>lan sectoriel SDA</w:t>
      </w:r>
      <w:r w:rsidR="00263E47" w:rsidRPr="00572D0C">
        <w:rPr>
          <w:lang w:val="fr-CH"/>
        </w:rPr>
        <w:t xml:space="preserve"> </w:t>
      </w:r>
      <w:r w:rsidR="0012569D">
        <w:rPr>
          <w:lang w:val="fr-CH"/>
        </w:rPr>
        <w:t>montrent également à quel point il est important de préserver non seulement la quantité, mais aussi la qualité des SDA</w:t>
      </w:r>
      <w:r w:rsidR="00263E47" w:rsidRPr="00572D0C">
        <w:rPr>
          <w:lang w:val="fr-CH"/>
        </w:rPr>
        <w:t>.</w:t>
      </w:r>
    </w:p>
    <w:p w14:paraId="346043A5" w14:textId="3C942521" w:rsidR="005F2657" w:rsidRPr="002313E3" w:rsidRDefault="005F2657" w:rsidP="00501D1D">
      <w:pPr>
        <w:pStyle w:val="berschrift2"/>
      </w:pPr>
      <w:bookmarkStart w:id="77" w:name="_Toc526946709"/>
      <w:bookmarkStart w:id="78" w:name="_Toc531193001"/>
      <w:bookmarkStart w:id="79" w:name="_Toc532996283"/>
      <w:r w:rsidRPr="002313E3">
        <w:t>E</w:t>
      </w:r>
      <w:r w:rsidR="00DA161F" w:rsidRPr="002313E3">
        <w:t>xplications relatives aux indicatio</w:t>
      </w:r>
      <w:r w:rsidRPr="002313E3">
        <w:t>n</w:t>
      </w:r>
      <w:bookmarkEnd w:id="77"/>
      <w:r w:rsidR="00DA161F" w:rsidRPr="002313E3">
        <w:t>s</w:t>
      </w:r>
      <w:bookmarkEnd w:id="78"/>
      <w:bookmarkEnd w:id="79"/>
    </w:p>
    <w:p w14:paraId="7BEE1506" w14:textId="09886BA1" w:rsidR="003B7307" w:rsidRPr="00572D0C" w:rsidRDefault="00DA161F" w:rsidP="003B7307">
      <w:pPr>
        <w:pStyle w:val="Listenabsatz"/>
        <w:numPr>
          <w:ilvl w:val="0"/>
          <w:numId w:val="28"/>
        </w:numPr>
        <w:shd w:val="clear" w:color="auto" w:fill="D9D9D9" w:themeFill="background1" w:themeFillShade="D9"/>
        <w:spacing w:before="240"/>
        <w:ind w:left="426" w:hanging="426"/>
        <w:rPr>
          <w:b/>
          <w:bCs/>
          <w:i w:val="0"/>
          <w:lang w:val="fr-CH"/>
        </w:rPr>
      </w:pPr>
      <w:r>
        <w:rPr>
          <w:b/>
          <w:bCs/>
          <w:i w:val="0"/>
          <w:lang w:val="fr-CH"/>
        </w:rPr>
        <w:t xml:space="preserve">La surface totale minimale </w:t>
      </w:r>
      <w:r w:rsidR="000801A3">
        <w:rPr>
          <w:b/>
          <w:bCs/>
          <w:i w:val="0"/>
          <w:lang w:val="fr-CH"/>
        </w:rPr>
        <w:t>d’assolement</w:t>
      </w:r>
      <w:r>
        <w:rPr>
          <w:b/>
          <w:bCs/>
          <w:i w:val="0"/>
          <w:lang w:val="fr-CH"/>
        </w:rPr>
        <w:t xml:space="preserve"> à garantir en Suisse est de</w:t>
      </w:r>
      <w:r w:rsidR="003B7307" w:rsidRPr="00572D0C">
        <w:rPr>
          <w:b/>
          <w:bCs/>
          <w:i w:val="0"/>
          <w:lang w:val="fr-CH"/>
        </w:rPr>
        <w:t xml:space="preserve"> 438</w:t>
      </w:r>
      <w:r w:rsidR="000801A3">
        <w:rPr>
          <w:b/>
          <w:bCs/>
          <w:i w:val="0"/>
          <w:lang w:val="fr-CH"/>
        </w:rPr>
        <w:t>’</w:t>
      </w:r>
      <w:r w:rsidR="003B7307" w:rsidRPr="00572D0C">
        <w:rPr>
          <w:b/>
          <w:bCs/>
          <w:i w:val="0"/>
          <w:lang w:val="fr-CH"/>
        </w:rPr>
        <w:t>460 ha.</w:t>
      </w:r>
      <w:r w:rsidR="003B7307" w:rsidRPr="00572D0C">
        <w:rPr>
          <w:i w:val="0"/>
          <w:lang w:val="fr-CH"/>
        </w:rPr>
        <w:t xml:space="preserve"> </w:t>
      </w:r>
    </w:p>
    <w:p w14:paraId="18B27FF7" w14:textId="6F8568FC" w:rsidR="00200C28" w:rsidRPr="00572D0C" w:rsidRDefault="00062655" w:rsidP="00377E4E">
      <w:pPr>
        <w:rPr>
          <w:lang w:val="fr-CH"/>
        </w:rPr>
      </w:pPr>
      <w:r>
        <w:rPr>
          <w:lang w:val="fr-CH"/>
        </w:rPr>
        <w:t>Le chapitre</w:t>
      </w:r>
      <w:r w:rsidR="00530EF8" w:rsidRPr="00572D0C" w:rsidDel="00D5661D">
        <w:rPr>
          <w:lang w:val="fr-CH"/>
        </w:rPr>
        <w:t xml:space="preserve"> 1.2 </w:t>
      </w:r>
      <w:r w:rsidR="005A3CAA">
        <w:rPr>
          <w:lang w:val="fr-CH"/>
        </w:rPr>
        <w:t>du P</w:t>
      </w:r>
      <w:r>
        <w:rPr>
          <w:lang w:val="fr-CH"/>
        </w:rPr>
        <w:t xml:space="preserve">lan sectoriel </w:t>
      </w:r>
      <w:r w:rsidR="00CC35D0">
        <w:rPr>
          <w:lang w:val="fr-CH"/>
        </w:rPr>
        <w:t xml:space="preserve">explique </w:t>
      </w:r>
      <w:r w:rsidR="000801A3">
        <w:rPr>
          <w:lang w:val="fr-CH"/>
        </w:rPr>
        <w:t>pourquoi</w:t>
      </w:r>
      <w:r w:rsidR="00CC35D0">
        <w:rPr>
          <w:lang w:val="fr-CH"/>
        </w:rPr>
        <w:t xml:space="preserve"> la surface totale minimale d’assolement à garantir</w:t>
      </w:r>
      <w:r w:rsidR="000801A3">
        <w:rPr>
          <w:lang w:val="fr-CH"/>
        </w:rPr>
        <w:t xml:space="preserve"> est fixée à ce niveau</w:t>
      </w:r>
      <w:r w:rsidR="00530EF8" w:rsidRPr="00572D0C" w:rsidDel="00D5661D">
        <w:rPr>
          <w:lang w:val="fr-CH"/>
        </w:rPr>
        <w:t>.</w:t>
      </w:r>
      <w:r w:rsidR="004A527C" w:rsidRPr="00572D0C" w:rsidDel="00D5661D">
        <w:rPr>
          <w:lang w:val="fr-CH"/>
        </w:rPr>
        <w:t xml:space="preserve"> </w:t>
      </w:r>
      <w:r w:rsidR="00CC35D0">
        <w:rPr>
          <w:lang w:val="fr-CH"/>
        </w:rPr>
        <w:t xml:space="preserve">Il convient </w:t>
      </w:r>
      <w:r w:rsidR="005A3CAA">
        <w:rPr>
          <w:lang w:val="fr-CH"/>
        </w:rPr>
        <w:t>en complément d’ajouter que le p</w:t>
      </w:r>
      <w:r w:rsidR="00CC35D0">
        <w:rPr>
          <w:lang w:val="fr-CH"/>
        </w:rPr>
        <w:t xml:space="preserve">lan alimentaire </w:t>
      </w:r>
      <w:r w:rsidR="004A527C" w:rsidRPr="00572D0C">
        <w:rPr>
          <w:lang w:val="fr-CH"/>
        </w:rPr>
        <w:t xml:space="preserve">90 </w:t>
      </w:r>
      <w:r w:rsidR="000801A3">
        <w:rPr>
          <w:lang w:val="fr-CH"/>
        </w:rPr>
        <w:t xml:space="preserve">avait calculé le nombre d’hectares de SDA nécessaires </w:t>
      </w:r>
      <w:r w:rsidR="00CC35D0">
        <w:rPr>
          <w:lang w:val="fr-CH"/>
        </w:rPr>
        <w:t xml:space="preserve">pour assurer l’approvisionnement de la population en temps de crise. </w:t>
      </w:r>
      <w:r w:rsidR="000801A3">
        <w:rPr>
          <w:lang w:val="fr-CH"/>
        </w:rPr>
        <w:t xml:space="preserve">La surface minimale avait finalement dû être fixée à un niveau inférieur aux 450’00 ha requis. </w:t>
      </w:r>
      <w:r w:rsidR="002566BF">
        <w:rPr>
          <w:lang w:val="fr-CH"/>
        </w:rPr>
        <w:t>Il est ainsi apparu clairement que les surfaces agricoles productives sont désormais juste suffisantes.</w:t>
      </w:r>
    </w:p>
    <w:p w14:paraId="108CADF1" w14:textId="2B602175" w:rsidR="00501D1D" w:rsidRPr="00501D1D" w:rsidRDefault="00DA161F" w:rsidP="00501D1D">
      <w:pPr>
        <w:rPr>
          <w:lang w:val="fr-CH"/>
        </w:rPr>
      </w:pPr>
      <w:r w:rsidRPr="00501D1D">
        <w:rPr>
          <w:lang w:val="fr-CH"/>
        </w:rPr>
        <w:lastRenderedPageBreak/>
        <w:t>L</w:t>
      </w:r>
      <w:r w:rsidR="00F101DC" w:rsidRPr="00501D1D">
        <w:rPr>
          <w:lang w:val="fr-CH"/>
        </w:rPr>
        <w:t>a différence de 100 ha observée pour la surface totale minimale d’assolement par rapport à l’Arrêté fédéral du 8 avril 1992 (qui était de 438</w:t>
      </w:r>
      <w:r w:rsidR="00C452EC" w:rsidRPr="00501D1D">
        <w:rPr>
          <w:lang w:val="fr-CH"/>
        </w:rPr>
        <w:t>'</w:t>
      </w:r>
      <w:r w:rsidR="00F101DC" w:rsidRPr="00501D1D">
        <w:rPr>
          <w:lang w:val="fr-CH"/>
        </w:rPr>
        <w:t>560</w:t>
      </w:r>
      <w:r w:rsidR="00C452EC" w:rsidRPr="00501D1D">
        <w:rPr>
          <w:lang w:val="fr-CH"/>
        </w:rPr>
        <w:t xml:space="preserve"> </w:t>
      </w:r>
      <w:r w:rsidR="00F101DC" w:rsidRPr="00501D1D">
        <w:rPr>
          <w:lang w:val="fr-CH"/>
        </w:rPr>
        <w:t xml:space="preserve">ha) résulte de la réduction du contingent du canton de Fribourg </w:t>
      </w:r>
      <w:r w:rsidR="00C452EC" w:rsidRPr="00501D1D">
        <w:rPr>
          <w:lang w:val="fr-CH"/>
        </w:rPr>
        <w:t xml:space="preserve">en 2004 </w:t>
      </w:r>
      <w:r w:rsidR="00F101DC" w:rsidRPr="00501D1D">
        <w:rPr>
          <w:lang w:val="fr-CH"/>
        </w:rPr>
        <w:t>pour la réalisation de l’aut</w:t>
      </w:r>
      <w:r w:rsidR="00C452EC" w:rsidRPr="00501D1D">
        <w:rPr>
          <w:lang w:val="fr-CH"/>
        </w:rPr>
        <w:t>o</w:t>
      </w:r>
      <w:r w:rsidR="00F101DC" w:rsidRPr="00501D1D">
        <w:rPr>
          <w:lang w:val="fr-CH"/>
        </w:rPr>
        <w:t>route A</w:t>
      </w:r>
      <w:r w:rsidR="00C452EC" w:rsidRPr="00501D1D">
        <w:rPr>
          <w:lang w:val="fr-CH"/>
        </w:rPr>
        <w:t xml:space="preserve">1. Aucune réduction de contingent cantonal n’a été </w:t>
      </w:r>
      <w:r w:rsidR="002566BF">
        <w:rPr>
          <w:lang w:val="fr-CH"/>
        </w:rPr>
        <w:t>accordée</w:t>
      </w:r>
      <w:r w:rsidR="002566BF" w:rsidRPr="00501D1D">
        <w:rPr>
          <w:lang w:val="fr-CH"/>
        </w:rPr>
        <w:t xml:space="preserve"> </w:t>
      </w:r>
      <w:r w:rsidR="00C452EC" w:rsidRPr="00501D1D">
        <w:rPr>
          <w:lang w:val="fr-CH"/>
        </w:rPr>
        <w:t xml:space="preserve">avant </w:t>
      </w:r>
      <w:r w:rsidR="002566BF">
        <w:rPr>
          <w:lang w:val="fr-CH"/>
        </w:rPr>
        <w:t>ou</w:t>
      </w:r>
      <w:r w:rsidR="002566BF" w:rsidRPr="00501D1D">
        <w:rPr>
          <w:lang w:val="fr-CH"/>
        </w:rPr>
        <w:t xml:space="preserve"> </w:t>
      </w:r>
      <w:r w:rsidR="00C452EC" w:rsidRPr="00501D1D">
        <w:rPr>
          <w:lang w:val="fr-CH"/>
        </w:rPr>
        <w:t>après.</w:t>
      </w:r>
    </w:p>
    <w:p w14:paraId="16A5B96D" w14:textId="6121A733" w:rsidR="003B7307" w:rsidRPr="00572D0C" w:rsidRDefault="00C452EC" w:rsidP="003B7307">
      <w:pPr>
        <w:pStyle w:val="Listenabsatz"/>
        <w:numPr>
          <w:ilvl w:val="0"/>
          <w:numId w:val="28"/>
        </w:numPr>
        <w:shd w:val="clear" w:color="auto" w:fill="D9D9D9" w:themeFill="background1" w:themeFillShade="D9"/>
        <w:spacing w:before="240"/>
        <w:ind w:left="426" w:hanging="426"/>
        <w:rPr>
          <w:b/>
          <w:bCs/>
          <w:i w:val="0"/>
          <w:lang w:val="fr-CH"/>
        </w:rPr>
      </w:pPr>
      <w:r>
        <w:rPr>
          <w:b/>
          <w:bCs/>
          <w:i w:val="0"/>
          <w:lang w:val="fr-CH"/>
        </w:rPr>
        <w:t>L</w:t>
      </w:r>
      <w:r w:rsidR="00DA161F">
        <w:rPr>
          <w:b/>
          <w:bCs/>
          <w:i w:val="0"/>
          <w:lang w:val="fr-CH"/>
        </w:rPr>
        <w:t xml:space="preserve">es surfaces cantonales d’assolement ou contingents (valeurs nettes) </w:t>
      </w:r>
      <w:r w:rsidR="002566BF">
        <w:rPr>
          <w:b/>
          <w:bCs/>
          <w:i w:val="0"/>
          <w:lang w:val="fr-CH"/>
        </w:rPr>
        <w:t>pour</w:t>
      </w:r>
      <w:r w:rsidR="00DA161F">
        <w:rPr>
          <w:b/>
          <w:bCs/>
          <w:i w:val="0"/>
          <w:lang w:val="fr-CH"/>
        </w:rPr>
        <w:t xml:space="preserve"> garantir la surface totale minimale </w:t>
      </w:r>
      <w:r w:rsidR="00FF1133">
        <w:rPr>
          <w:b/>
          <w:bCs/>
          <w:i w:val="0"/>
          <w:lang w:val="fr-CH"/>
        </w:rPr>
        <w:t xml:space="preserve">en </w:t>
      </w:r>
      <w:r w:rsidR="00DA161F">
        <w:rPr>
          <w:b/>
          <w:bCs/>
          <w:i w:val="0"/>
          <w:lang w:val="fr-CH"/>
        </w:rPr>
        <w:t>Suisse atteignent au minimum</w:t>
      </w:r>
      <w:r w:rsidR="003B7307" w:rsidRPr="00572D0C">
        <w:rPr>
          <w:b/>
          <w:bCs/>
          <w:i w:val="0"/>
          <w:lang w:val="fr-CH"/>
        </w:rPr>
        <w:t xml:space="preserve"> […]</w:t>
      </w:r>
    </w:p>
    <w:p w14:paraId="26FEA881" w14:textId="4A4CB948" w:rsidR="00176ACC" w:rsidRPr="00572D0C" w:rsidRDefault="005E2069">
      <w:pPr>
        <w:rPr>
          <w:rFonts w:eastAsiaTheme="minorEastAsia"/>
          <w:lang w:val="fr-CH"/>
        </w:rPr>
      </w:pPr>
      <w:r>
        <w:rPr>
          <w:rFonts w:eastAsia="Arial" w:cs="Arial"/>
          <w:lang w:val="fr-CH"/>
        </w:rPr>
        <w:t xml:space="preserve">En </w:t>
      </w:r>
      <w:r w:rsidR="6481C0C8" w:rsidRPr="00572D0C">
        <w:rPr>
          <w:rFonts w:eastAsia="Arial" w:cs="Arial"/>
          <w:lang w:val="fr-CH"/>
        </w:rPr>
        <w:t>1980</w:t>
      </w:r>
      <w:r>
        <w:rPr>
          <w:rFonts w:eastAsia="Arial" w:cs="Arial"/>
          <w:lang w:val="fr-CH"/>
        </w:rPr>
        <w:t xml:space="preserve">, l’Office fédéral de l’agriculture a communiqué pour la première fois aux cantons </w:t>
      </w:r>
      <w:r w:rsidR="009B6ADE">
        <w:rPr>
          <w:rFonts w:eastAsia="Arial" w:cs="Arial"/>
          <w:lang w:val="fr-CH"/>
        </w:rPr>
        <w:t>les quotas de SDA nécessaires pour assurer</w:t>
      </w:r>
      <w:r>
        <w:rPr>
          <w:rFonts w:eastAsia="Arial" w:cs="Arial"/>
          <w:lang w:val="fr-CH"/>
        </w:rPr>
        <w:t xml:space="preserve"> la sécurité de l’approvisionnement du pays. Cette répartition entre les cantons était fondée sur diverses études de base</w:t>
      </w:r>
      <w:r w:rsidR="009B6ADE">
        <w:rPr>
          <w:rFonts w:eastAsia="Arial" w:cs="Arial"/>
          <w:lang w:val="fr-CH"/>
        </w:rPr>
        <w:t>,</w:t>
      </w:r>
      <w:r>
        <w:rPr>
          <w:rFonts w:eastAsia="Arial" w:cs="Arial"/>
          <w:lang w:val="fr-CH"/>
        </w:rPr>
        <w:t xml:space="preserve"> en partie </w:t>
      </w:r>
      <w:r w:rsidR="009B6ADE">
        <w:rPr>
          <w:rFonts w:eastAsia="Arial" w:cs="Arial"/>
          <w:lang w:val="fr-CH"/>
        </w:rPr>
        <w:t>datées</w:t>
      </w:r>
      <w:r>
        <w:rPr>
          <w:rFonts w:eastAsia="Arial" w:cs="Arial"/>
          <w:lang w:val="fr-CH"/>
        </w:rPr>
        <w:t xml:space="preserve">. Pour établir un plan sectoriel, il fallait disposer de données réactualisées et plus précises. Le Conseil fédéral </w:t>
      </w:r>
      <w:r w:rsidR="009B6ADE">
        <w:rPr>
          <w:rFonts w:eastAsia="Arial" w:cs="Arial"/>
          <w:lang w:val="fr-CH"/>
        </w:rPr>
        <w:t>révisa donc</w:t>
      </w:r>
      <w:r>
        <w:rPr>
          <w:rFonts w:eastAsia="Arial" w:cs="Arial"/>
          <w:lang w:val="fr-CH"/>
        </w:rPr>
        <w:t xml:space="preserve"> le 26 mars </w:t>
      </w:r>
      <w:r w:rsidR="6481C0C8" w:rsidRPr="00572D0C">
        <w:rPr>
          <w:rFonts w:eastAsia="Arial" w:cs="Arial"/>
          <w:lang w:val="fr-CH"/>
        </w:rPr>
        <w:t xml:space="preserve">1986 </w:t>
      </w:r>
      <w:r>
        <w:rPr>
          <w:rFonts w:eastAsia="Arial" w:cs="Arial"/>
          <w:lang w:val="fr-CH"/>
        </w:rPr>
        <w:t>l’ordonnance sur l’aménagement du territoire</w:t>
      </w:r>
      <w:r w:rsidR="00C452EC">
        <w:rPr>
          <w:rFonts w:eastAsia="Arial" w:cs="Arial"/>
          <w:lang w:val="fr-CH"/>
        </w:rPr>
        <w:t xml:space="preserve"> </w:t>
      </w:r>
      <w:r w:rsidR="009B6ADE">
        <w:rPr>
          <w:rFonts w:eastAsia="Arial" w:cs="Arial"/>
          <w:lang w:val="fr-CH"/>
        </w:rPr>
        <w:t>alors</w:t>
      </w:r>
      <w:r w:rsidR="00C452EC">
        <w:rPr>
          <w:rFonts w:eastAsia="Arial" w:cs="Arial"/>
          <w:lang w:val="fr-CH"/>
        </w:rPr>
        <w:t xml:space="preserve"> en vigueur</w:t>
      </w:r>
      <w:r>
        <w:rPr>
          <w:rFonts w:eastAsia="Arial" w:cs="Arial"/>
          <w:lang w:val="fr-CH"/>
        </w:rPr>
        <w:t xml:space="preserve">. </w:t>
      </w:r>
      <w:r w:rsidR="009B6ADE">
        <w:rPr>
          <w:rFonts w:eastAsia="Arial" w:cs="Arial"/>
          <w:lang w:val="fr-CH"/>
        </w:rPr>
        <w:t>Le</w:t>
      </w:r>
      <w:r>
        <w:rPr>
          <w:rFonts w:eastAsia="Arial" w:cs="Arial"/>
          <w:lang w:val="fr-CH"/>
        </w:rPr>
        <w:t xml:space="preserve"> Département fédéral de justice et police (DFJP)</w:t>
      </w:r>
      <w:r w:rsidR="004B2EB8">
        <w:rPr>
          <w:rFonts w:eastAsia="Arial" w:cs="Arial"/>
          <w:lang w:val="fr-CH"/>
        </w:rPr>
        <w:t xml:space="preserve">, en accord </w:t>
      </w:r>
      <w:r>
        <w:rPr>
          <w:rFonts w:eastAsia="Arial" w:cs="Arial"/>
          <w:lang w:val="fr-CH"/>
        </w:rPr>
        <w:t>avec le Département fédéral de l’économie publique</w:t>
      </w:r>
      <w:r w:rsidR="6481C0C8" w:rsidRPr="00572D0C">
        <w:rPr>
          <w:rFonts w:eastAsia="Arial" w:cs="Arial"/>
          <w:lang w:val="fr-CH"/>
        </w:rPr>
        <w:t xml:space="preserve"> (</w:t>
      </w:r>
      <w:r>
        <w:rPr>
          <w:rFonts w:eastAsia="Arial" w:cs="Arial"/>
          <w:lang w:val="fr-CH"/>
        </w:rPr>
        <w:t>DFEP</w:t>
      </w:r>
      <w:r w:rsidR="6481C0C8" w:rsidRPr="00572D0C">
        <w:rPr>
          <w:rFonts w:eastAsia="Arial" w:cs="Arial"/>
          <w:lang w:val="fr-CH"/>
        </w:rPr>
        <w:t>)</w:t>
      </w:r>
      <w:r w:rsidR="009B6ADE">
        <w:rPr>
          <w:rFonts w:eastAsia="Arial" w:cs="Arial"/>
          <w:lang w:val="fr-CH"/>
        </w:rPr>
        <w:t xml:space="preserve"> fixa</w:t>
      </w:r>
      <w:r w:rsidR="004B2EB8">
        <w:rPr>
          <w:rFonts w:eastAsia="Arial" w:cs="Arial"/>
          <w:lang w:val="fr-CH"/>
        </w:rPr>
        <w:t xml:space="preserve"> le 6 </w:t>
      </w:r>
      <w:r w:rsidR="009B6ADE">
        <w:rPr>
          <w:rFonts w:eastAsia="Arial" w:cs="Arial"/>
          <w:lang w:val="fr-CH"/>
        </w:rPr>
        <w:t xml:space="preserve">janvier </w:t>
      </w:r>
      <w:r w:rsidR="004B2EB8">
        <w:rPr>
          <w:rFonts w:eastAsia="Arial" w:cs="Arial"/>
          <w:lang w:val="fr-CH"/>
        </w:rPr>
        <w:t xml:space="preserve">1987 les parts cantonales sous la forme de </w:t>
      </w:r>
      <w:r w:rsidR="009B6ADE">
        <w:rPr>
          <w:rFonts w:eastAsia="Arial" w:cs="Arial"/>
          <w:lang w:val="fr-CH"/>
        </w:rPr>
        <w:t>valeurs indicatives,</w:t>
      </w:r>
      <w:r w:rsidR="004B2EB8">
        <w:rPr>
          <w:rFonts w:eastAsia="Arial" w:cs="Arial"/>
          <w:lang w:val="fr-CH"/>
        </w:rPr>
        <w:t xml:space="preserve"> et les cantons</w:t>
      </w:r>
      <w:r w:rsidR="009B6ADE">
        <w:rPr>
          <w:rFonts w:eastAsia="Arial" w:cs="Arial"/>
          <w:lang w:val="fr-CH"/>
        </w:rPr>
        <w:t xml:space="preserve"> furent chargés</w:t>
      </w:r>
      <w:r w:rsidR="004B2EB8">
        <w:rPr>
          <w:rFonts w:eastAsia="Arial" w:cs="Arial"/>
          <w:lang w:val="fr-CH"/>
        </w:rPr>
        <w:t xml:space="preserve"> de désigner le</w:t>
      </w:r>
      <w:r w:rsidR="001F36AF">
        <w:rPr>
          <w:rFonts w:eastAsia="Arial" w:cs="Arial"/>
          <w:lang w:val="fr-CH"/>
        </w:rPr>
        <w:t>ur</w:t>
      </w:r>
      <w:r w:rsidR="004B2EB8">
        <w:rPr>
          <w:rFonts w:eastAsia="Arial" w:cs="Arial"/>
          <w:lang w:val="fr-CH"/>
        </w:rPr>
        <w:t>s SDA dans le cadre de leur planification directrice cantonale</w:t>
      </w:r>
      <w:r w:rsidR="009B6ADE">
        <w:rPr>
          <w:rFonts w:eastAsia="Arial" w:cs="Arial"/>
          <w:lang w:val="fr-CH"/>
        </w:rPr>
        <w:t>, mais au plus tard</w:t>
      </w:r>
      <w:r w:rsidR="004B2EB8">
        <w:rPr>
          <w:rFonts w:eastAsia="Arial" w:cs="Arial"/>
          <w:lang w:val="fr-CH"/>
        </w:rPr>
        <w:t xml:space="preserve"> jusqu’au 31 décembre </w:t>
      </w:r>
      <w:r w:rsidR="6481C0C8" w:rsidRPr="00572D0C">
        <w:rPr>
          <w:rFonts w:eastAsia="Arial" w:cs="Arial"/>
          <w:lang w:val="fr-CH"/>
        </w:rPr>
        <w:t>1987.</w:t>
      </w:r>
      <w:r w:rsidR="00E77219">
        <w:rPr>
          <w:rFonts w:eastAsia="Arial" w:cs="Arial"/>
          <w:lang w:val="fr-CH"/>
        </w:rPr>
        <w:t xml:space="preserve"> </w:t>
      </w:r>
      <w:r w:rsidR="00BC208E">
        <w:rPr>
          <w:rFonts w:eastAsia="Arial" w:cs="Arial"/>
          <w:lang w:val="fr-CH"/>
        </w:rPr>
        <w:t>Les</w:t>
      </w:r>
      <w:r w:rsidR="00E77219">
        <w:rPr>
          <w:rFonts w:eastAsia="Arial" w:cs="Arial"/>
          <w:lang w:val="fr-CH"/>
        </w:rPr>
        <w:t xml:space="preserve"> relevés et l’harmonisation des parts cantonales de SDA </w:t>
      </w:r>
      <w:r w:rsidR="00BC208E">
        <w:rPr>
          <w:rFonts w:eastAsia="Arial" w:cs="Arial"/>
          <w:lang w:val="fr-CH"/>
        </w:rPr>
        <w:t xml:space="preserve">mentionnés </w:t>
      </w:r>
      <w:r w:rsidR="00E77219">
        <w:rPr>
          <w:rFonts w:eastAsia="Arial" w:cs="Arial"/>
          <w:lang w:val="fr-CH"/>
        </w:rPr>
        <w:t>au chapitre</w:t>
      </w:r>
      <w:r w:rsidR="6481C0C8" w:rsidRPr="00572D0C">
        <w:rPr>
          <w:rFonts w:eastAsia="Arial" w:cs="Arial"/>
          <w:lang w:val="fr-CH"/>
        </w:rPr>
        <w:t xml:space="preserve"> 1.2 </w:t>
      </w:r>
      <w:r w:rsidR="00E77219">
        <w:rPr>
          <w:rFonts w:eastAsia="Arial" w:cs="Arial"/>
          <w:lang w:val="fr-CH"/>
        </w:rPr>
        <w:t xml:space="preserve">du </w:t>
      </w:r>
      <w:r w:rsidR="005A3CAA">
        <w:rPr>
          <w:rFonts w:eastAsia="Arial" w:cs="Arial"/>
          <w:lang w:val="fr-CH"/>
        </w:rPr>
        <w:t>P</w:t>
      </w:r>
      <w:r w:rsidR="00E77219">
        <w:rPr>
          <w:rFonts w:eastAsia="Arial" w:cs="Arial"/>
          <w:lang w:val="fr-CH"/>
        </w:rPr>
        <w:t>lan sectoriel et au chapitre</w:t>
      </w:r>
      <w:r w:rsidR="6481C0C8" w:rsidRPr="00572D0C">
        <w:rPr>
          <w:rFonts w:eastAsia="Arial" w:cs="Arial"/>
          <w:lang w:val="fr-CH"/>
        </w:rPr>
        <w:t xml:space="preserve"> 2 </w:t>
      </w:r>
      <w:r w:rsidR="00E77219">
        <w:rPr>
          <w:rFonts w:eastAsia="Arial" w:cs="Arial"/>
          <w:lang w:val="fr-CH"/>
        </w:rPr>
        <w:t>du rapport explicatif</w:t>
      </w:r>
      <w:r w:rsidR="00BC208E">
        <w:rPr>
          <w:rFonts w:eastAsia="Arial" w:cs="Arial"/>
          <w:lang w:val="fr-CH"/>
        </w:rPr>
        <w:t xml:space="preserve"> furent effectués sur la base de l’ordonnance sur l’aménagement du territoire</w:t>
      </w:r>
      <w:r w:rsidR="6481C0C8" w:rsidRPr="00572D0C">
        <w:rPr>
          <w:rFonts w:eastAsia="Arial" w:cs="Arial"/>
          <w:lang w:val="fr-CH"/>
        </w:rPr>
        <w:t xml:space="preserve">. </w:t>
      </w:r>
      <w:r w:rsidR="001F36AF">
        <w:rPr>
          <w:rFonts w:eastAsia="Arial" w:cs="Arial"/>
          <w:lang w:val="fr-CH"/>
        </w:rPr>
        <w:t>P</w:t>
      </w:r>
      <w:r w:rsidR="005A3CAA">
        <w:rPr>
          <w:rFonts w:eastAsia="Arial" w:cs="Arial"/>
          <w:lang w:val="fr-CH"/>
        </w:rPr>
        <w:t>our le P</w:t>
      </w:r>
      <w:r w:rsidR="001F36AF">
        <w:rPr>
          <w:rFonts w:eastAsia="Arial" w:cs="Arial"/>
          <w:lang w:val="fr-CH"/>
        </w:rPr>
        <w:t>lan sectoriel de 1992, la</w:t>
      </w:r>
      <w:r w:rsidR="00E77219">
        <w:rPr>
          <w:rFonts w:eastAsia="Arial" w:cs="Arial"/>
          <w:lang w:val="fr-CH"/>
        </w:rPr>
        <w:t xml:space="preserve"> répartition des contingents cantonaux de SDA</w:t>
      </w:r>
      <w:r w:rsidR="00E77219">
        <w:rPr>
          <w:rFonts w:eastAsia="Arial"/>
          <w:lang w:val="fr-CH"/>
        </w:rPr>
        <w:t xml:space="preserve"> a été effectuée</w:t>
      </w:r>
      <w:r w:rsidR="001F36AF" w:rsidRPr="001F36AF">
        <w:rPr>
          <w:rFonts w:eastAsia="Arial" w:cs="Arial"/>
          <w:lang w:val="fr-CH"/>
        </w:rPr>
        <w:t xml:space="preserve"> </w:t>
      </w:r>
      <w:r w:rsidR="001F36AF">
        <w:rPr>
          <w:rFonts w:eastAsia="Arial" w:cs="Arial"/>
          <w:lang w:val="fr-CH"/>
        </w:rPr>
        <w:t>compte tenu de ces relevés, de la superficie de chaque canton, de l’estimation du développement de l’urbanisation et de l’économie et de la superficie des terres agricoles existantes</w:t>
      </w:r>
      <w:r w:rsidR="001F09D5" w:rsidRPr="00572D0C">
        <w:rPr>
          <w:rStyle w:val="Funotenzeichen"/>
          <w:rFonts w:eastAsiaTheme="minorEastAsia"/>
          <w:lang w:val="fr-CH"/>
        </w:rPr>
        <w:footnoteReference w:id="20"/>
      </w:r>
      <w:r w:rsidR="005A246D">
        <w:rPr>
          <w:rFonts w:eastAsia="Arial"/>
          <w:lang w:val="fr-CH"/>
        </w:rPr>
        <w:t>.</w:t>
      </w:r>
      <w:r w:rsidR="001F09D5" w:rsidRPr="00572D0C">
        <w:rPr>
          <w:rFonts w:eastAsiaTheme="minorEastAsia"/>
          <w:lang w:val="fr-CH"/>
        </w:rPr>
        <w:t xml:space="preserve"> </w:t>
      </w:r>
      <w:r w:rsidR="005A246D">
        <w:rPr>
          <w:rFonts w:eastAsiaTheme="minorEastAsia"/>
          <w:lang w:val="fr-CH"/>
        </w:rPr>
        <w:t>Le</w:t>
      </w:r>
      <w:r w:rsidR="00C452EC">
        <w:rPr>
          <w:rFonts w:eastAsiaTheme="minorEastAsia"/>
          <w:lang w:val="fr-CH"/>
        </w:rPr>
        <w:t xml:space="preserve"> contingent du canton de Fribourg</w:t>
      </w:r>
      <w:r w:rsidR="005A246D">
        <w:rPr>
          <w:rFonts w:eastAsiaTheme="minorEastAsia"/>
          <w:lang w:val="fr-CH"/>
        </w:rPr>
        <w:t xml:space="preserve"> a été réduit depuis de 100 ha</w:t>
      </w:r>
      <w:r w:rsidR="00C452EC">
        <w:rPr>
          <w:rFonts w:eastAsiaTheme="minorEastAsia"/>
          <w:lang w:val="fr-CH"/>
        </w:rPr>
        <w:t xml:space="preserve"> </w:t>
      </w:r>
      <w:r w:rsidR="005A246D">
        <w:rPr>
          <w:rFonts w:eastAsiaTheme="minorEastAsia"/>
          <w:lang w:val="fr-CH"/>
        </w:rPr>
        <w:t xml:space="preserve">(cf. explications </w:t>
      </w:r>
      <w:r w:rsidR="002313E3">
        <w:rPr>
          <w:rFonts w:eastAsiaTheme="minorEastAsia"/>
          <w:lang w:val="fr-CH"/>
        </w:rPr>
        <w:t>de I1</w:t>
      </w:r>
      <w:r w:rsidR="005A246D">
        <w:rPr>
          <w:rFonts w:eastAsiaTheme="minorEastAsia"/>
          <w:lang w:val="fr-CH"/>
        </w:rPr>
        <w:t>)</w:t>
      </w:r>
      <w:r w:rsidR="00C5095A">
        <w:rPr>
          <w:rFonts w:eastAsiaTheme="minorEastAsia"/>
          <w:lang w:val="fr-CH"/>
        </w:rPr>
        <w:t xml:space="preserve">. </w:t>
      </w:r>
      <w:r w:rsidR="009F207F">
        <w:rPr>
          <w:rFonts w:eastAsiaTheme="minorEastAsia"/>
          <w:lang w:val="fr-CH"/>
        </w:rPr>
        <w:t>Les</w:t>
      </w:r>
      <w:r w:rsidR="00C5095A">
        <w:rPr>
          <w:rFonts w:eastAsiaTheme="minorEastAsia"/>
          <w:lang w:val="fr-CH"/>
        </w:rPr>
        <w:t xml:space="preserve"> contingents des cantons de Bâle-Campagne et Berne ont </w:t>
      </w:r>
      <w:r w:rsidR="009F207F">
        <w:rPr>
          <w:rFonts w:eastAsiaTheme="minorEastAsia"/>
          <w:lang w:val="fr-CH"/>
        </w:rPr>
        <w:t xml:space="preserve">aussi </w:t>
      </w:r>
      <w:r w:rsidR="00C5095A">
        <w:rPr>
          <w:rFonts w:eastAsiaTheme="minorEastAsia"/>
          <w:lang w:val="fr-CH"/>
        </w:rPr>
        <w:t>été modifiés. En effet, l’ancien district bernois de Laufon a changé d’appartenance cantonale le 1</w:t>
      </w:r>
      <w:r w:rsidR="00C5095A" w:rsidRPr="00501D1D">
        <w:rPr>
          <w:rFonts w:eastAsiaTheme="minorEastAsia"/>
          <w:vertAlign w:val="superscript"/>
          <w:lang w:val="fr-CH"/>
        </w:rPr>
        <w:t>er</w:t>
      </w:r>
      <w:r w:rsidR="00C5095A">
        <w:rPr>
          <w:rFonts w:eastAsiaTheme="minorEastAsia"/>
          <w:lang w:val="fr-CH"/>
        </w:rPr>
        <w:t xml:space="preserve"> janvier 1994 pour faire partie du canton de Bâle-Campagne.</w:t>
      </w:r>
    </w:p>
    <w:p w14:paraId="208B2DF8" w14:textId="22A2CF6C" w:rsidR="005A32EC" w:rsidRPr="00572D0C" w:rsidRDefault="009F207F" w:rsidP="147A5F7B">
      <w:pPr>
        <w:pStyle w:val="Kommentartext"/>
        <w:rPr>
          <w:lang w:val="fr-CH"/>
        </w:rPr>
      </w:pPr>
      <w:r>
        <w:rPr>
          <w:rFonts w:eastAsiaTheme="minorEastAsia"/>
          <w:lang w:val="fr-CH"/>
        </w:rPr>
        <w:t>Deux constatations à ce stade. D’abord, les contingents cantonaux devraient être maintenus en vertu des principes du</w:t>
      </w:r>
      <w:r w:rsidR="001F36AF">
        <w:rPr>
          <w:rFonts w:eastAsiaTheme="minorEastAsia"/>
          <w:lang w:val="fr-CH"/>
        </w:rPr>
        <w:t xml:space="preserve"> fédéralisme et de</w:t>
      </w:r>
      <w:r>
        <w:rPr>
          <w:rFonts w:eastAsiaTheme="minorEastAsia"/>
          <w:lang w:val="fr-CH"/>
        </w:rPr>
        <w:t xml:space="preserve"> la</w:t>
      </w:r>
      <w:r w:rsidR="001F36AF">
        <w:rPr>
          <w:rFonts w:eastAsiaTheme="minorEastAsia"/>
          <w:lang w:val="fr-CH"/>
        </w:rPr>
        <w:t xml:space="preserve"> solidarité</w:t>
      </w:r>
      <w:r w:rsidR="6481C0C8" w:rsidRPr="00572D0C">
        <w:rPr>
          <w:rFonts w:eastAsiaTheme="minorEastAsia"/>
          <w:lang w:val="fr-CH"/>
        </w:rPr>
        <w:t xml:space="preserve"> </w:t>
      </w:r>
      <w:r w:rsidR="001F36AF">
        <w:rPr>
          <w:rFonts w:eastAsiaTheme="minorEastAsia"/>
          <w:lang w:val="fr-CH"/>
        </w:rPr>
        <w:t xml:space="preserve">chaque canton devrait contribuer à assurer l’approvisionnement du pays en cas de grave pénurie. </w:t>
      </w:r>
      <w:r>
        <w:rPr>
          <w:rFonts w:eastAsiaTheme="minorEastAsia"/>
          <w:lang w:val="fr-CH"/>
        </w:rPr>
        <w:t>C’est ce qui est ressorti notamment de</w:t>
      </w:r>
      <w:r w:rsidR="001F36AF">
        <w:rPr>
          <w:rFonts w:eastAsiaTheme="minorEastAsia"/>
          <w:lang w:val="fr-CH"/>
        </w:rPr>
        <w:t xml:space="preserve"> diverses discussions au sein du groupe d’experts</w:t>
      </w:r>
      <w:r w:rsidR="009C27E7">
        <w:rPr>
          <w:rFonts w:eastAsiaTheme="minorEastAsia"/>
          <w:lang w:val="fr-CH"/>
        </w:rPr>
        <w:t xml:space="preserve"> chargé du rem</w:t>
      </w:r>
      <w:r w:rsidR="005A3CAA">
        <w:rPr>
          <w:rFonts w:eastAsiaTheme="minorEastAsia"/>
          <w:lang w:val="fr-CH"/>
        </w:rPr>
        <w:t>aniement et du renforcement du P</w:t>
      </w:r>
      <w:r w:rsidR="009C27E7">
        <w:rPr>
          <w:rFonts w:eastAsiaTheme="minorEastAsia"/>
          <w:lang w:val="fr-CH"/>
        </w:rPr>
        <w:t xml:space="preserve">lan sectoriel des surfaces d’assolement. </w:t>
      </w:r>
      <w:r w:rsidR="00003F77">
        <w:rPr>
          <w:rFonts w:eastAsiaTheme="minorEastAsia"/>
          <w:lang w:val="fr-CH"/>
        </w:rPr>
        <w:t>Ensuite,</w:t>
      </w:r>
      <w:r w:rsidR="009C27E7">
        <w:rPr>
          <w:rFonts w:eastAsiaTheme="minorEastAsia"/>
          <w:lang w:val="fr-CH"/>
        </w:rPr>
        <w:t xml:space="preserve"> la surface totale de SDA risque d’être diminuée si les contingents sont adaptés sur la base de données non fiables.</w:t>
      </w:r>
    </w:p>
    <w:p w14:paraId="4CF83E7E" w14:textId="0A76F1F9" w:rsidR="003C6D24" w:rsidRPr="00572D0C" w:rsidRDefault="003C6D24" w:rsidP="005F2657">
      <w:pPr>
        <w:pStyle w:val="berschrift1"/>
        <w:rPr>
          <w:lang w:val="fr-CH"/>
        </w:rPr>
      </w:pPr>
      <w:bookmarkStart w:id="80" w:name="_Toc523813320"/>
      <w:bookmarkStart w:id="81" w:name="_Toc525022620"/>
      <w:bookmarkStart w:id="82" w:name="_Ref526155194"/>
      <w:bookmarkStart w:id="83" w:name="_Toc526946710"/>
      <w:bookmarkStart w:id="84" w:name="_Toc531193002"/>
      <w:bookmarkStart w:id="85" w:name="_Toc532996284"/>
      <w:r w:rsidRPr="00572D0C">
        <w:rPr>
          <w:lang w:val="fr-CH"/>
        </w:rPr>
        <w:t>E</w:t>
      </w:r>
      <w:bookmarkEnd w:id="80"/>
      <w:bookmarkEnd w:id="81"/>
      <w:r w:rsidR="009C27E7">
        <w:rPr>
          <w:lang w:val="fr-CH"/>
        </w:rPr>
        <w:t>xplications relatives aux principes</w:t>
      </w:r>
      <w:bookmarkEnd w:id="82"/>
      <w:bookmarkEnd w:id="83"/>
      <w:bookmarkEnd w:id="84"/>
      <w:bookmarkEnd w:id="85"/>
    </w:p>
    <w:p w14:paraId="280548CB" w14:textId="4E2119D2" w:rsidR="00A06CAB" w:rsidRPr="002313E3" w:rsidRDefault="00A06CAB" w:rsidP="00501D1D">
      <w:pPr>
        <w:pStyle w:val="berschrift2"/>
        <w:rPr>
          <w:lang w:val="fr-CH"/>
        </w:rPr>
      </w:pPr>
      <w:bookmarkStart w:id="86" w:name="_Toc531102183"/>
      <w:bookmarkStart w:id="87" w:name="_Toc531103701"/>
      <w:bookmarkStart w:id="88" w:name="_Toc531193003"/>
      <w:bookmarkStart w:id="89" w:name="_Toc523813321"/>
      <w:bookmarkStart w:id="90" w:name="_Toc525022621"/>
      <w:bookmarkStart w:id="91" w:name="_Toc526946711"/>
      <w:bookmarkStart w:id="92" w:name="_Toc532996285"/>
      <w:r w:rsidRPr="002313E3">
        <w:rPr>
          <w:lang w:val="fr-CH"/>
        </w:rPr>
        <w:t xml:space="preserve">Garantie </w:t>
      </w:r>
      <w:r w:rsidR="00003F77" w:rsidRPr="002313E3">
        <w:rPr>
          <w:lang w:val="fr-CH"/>
        </w:rPr>
        <w:t xml:space="preserve">à long terme </w:t>
      </w:r>
      <w:r w:rsidRPr="002313E3">
        <w:rPr>
          <w:lang w:val="fr-CH"/>
        </w:rPr>
        <w:t>des SDA</w:t>
      </w:r>
      <w:bookmarkEnd w:id="86"/>
      <w:bookmarkEnd w:id="87"/>
      <w:bookmarkEnd w:id="88"/>
      <w:bookmarkEnd w:id="92"/>
    </w:p>
    <w:bookmarkEnd w:id="89"/>
    <w:bookmarkEnd w:id="90"/>
    <w:bookmarkEnd w:id="91"/>
    <w:p w14:paraId="01C1842A" w14:textId="69748A3E" w:rsidR="005750E6" w:rsidRPr="00572D0C" w:rsidRDefault="00772A0D" w:rsidP="00507407">
      <w:pPr>
        <w:rPr>
          <w:lang w:val="fr-CH"/>
        </w:rPr>
      </w:pPr>
      <w:r>
        <w:rPr>
          <w:lang w:val="fr-CH"/>
        </w:rPr>
        <w:t xml:space="preserve">La protection des SDA répond à un intérêt </w:t>
      </w:r>
      <w:r w:rsidR="00003F77">
        <w:rPr>
          <w:lang w:val="fr-CH"/>
        </w:rPr>
        <w:t xml:space="preserve">supérieur </w:t>
      </w:r>
      <w:r>
        <w:rPr>
          <w:lang w:val="fr-CH"/>
        </w:rPr>
        <w:t>de la Confédération</w:t>
      </w:r>
      <w:r w:rsidR="00003F77">
        <w:rPr>
          <w:lang w:val="fr-CH"/>
        </w:rPr>
        <w:t>. Elle trouve ses fondements</w:t>
      </w:r>
      <w:r>
        <w:rPr>
          <w:lang w:val="fr-CH"/>
        </w:rPr>
        <w:t xml:space="preserve"> notamment </w:t>
      </w:r>
      <w:r w:rsidR="00003F77">
        <w:rPr>
          <w:lang w:val="fr-CH"/>
        </w:rPr>
        <w:t xml:space="preserve">dans </w:t>
      </w:r>
      <w:r>
        <w:rPr>
          <w:lang w:val="fr-CH"/>
        </w:rPr>
        <w:t>l’a</w:t>
      </w:r>
      <w:r w:rsidR="147A5F7B" w:rsidRPr="00572D0C">
        <w:rPr>
          <w:lang w:val="fr-CH"/>
        </w:rPr>
        <w:t>rt</w:t>
      </w:r>
      <w:r w:rsidR="00C5095A">
        <w:rPr>
          <w:lang w:val="fr-CH"/>
        </w:rPr>
        <w:t>icle</w:t>
      </w:r>
      <w:r w:rsidR="00C5095A" w:rsidRPr="00572D0C">
        <w:rPr>
          <w:lang w:val="fr-CH"/>
        </w:rPr>
        <w:t xml:space="preserve"> </w:t>
      </w:r>
      <w:r w:rsidR="147A5F7B" w:rsidRPr="00572D0C">
        <w:rPr>
          <w:lang w:val="fr-CH"/>
        </w:rPr>
        <w:t>3</w:t>
      </w:r>
      <w:r w:rsidR="00C5095A">
        <w:rPr>
          <w:lang w:val="fr-CH"/>
        </w:rPr>
        <w:t>,</w:t>
      </w:r>
      <w:r w:rsidR="147A5F7B" w:rsidRPr="00572D0C">
        <w:rPr>
          <w:lang w:val="fr-CH"/>
        </w:rPr>
        <w:t xml:space="preserve"> </w:t>
      </w:r>
      <w:r>
        <w:rPr>
          <w:lang w:val="fr-CH"/>
        </w:rPr>
        <w:t>al</w:t>
      </w:r>
      <w:r w:rsidR="00C5095A">
        <w:rPr>
          <w:lang w:val="fr-CH"/>
        </w:rPr>
        <w:t>inéa</w:t>
      </w:r>
      <w:r w:rsidR="147A5F7B" w:rsidRPr="00572D0C">
        <w:rPr>
          <w:lang w:val="fr-CH"/>
        </w:rPr>
        <w:t xml:space="preserve"> 2</w:t>
      </w:r>
      <w:r w:rsidR="00C5095A">
        <w:rPr>
          <w:lang w:val="fr-CH"/>
        </w:rPr>
        <w:t>,</w:t>
      </w:r>
      <w:r w:rsidR="147A5F7B" w:rsidRPr="00572D0C">
        <w:rPr>
          <w:lang w:val="fr-CH"/>
        </w:rPr>
        <w:t xml:space="preserve"> </w:t>
      </w:r>
      <w:r>
        <w:rPr>
          <w:lang w:val="fr-CH"/>
        </w:rPr>
        <w:t>le</w:t>
      </w:r>
      <w:r w:rsidR="00C5095A">
        <w:rPr>
          <w:lang w:val="fr-CH"/>
        </w:rPr>
        <w:t>ttre</w:t>
      </w:r>
      <w:r w:rsidR="147A5F7B" w:rsidRPr="00572D0C">
        <w:rPr>
          <w:lang w:val="fr-CH"/>
        </w:rPr>
        <w:t xml:space="preserve"> a </w:t>
      </w:r>
      <w:r>
        <w:rPr>
          <w:lang w:val="fr-CH"/>
        </w:rPr>
        <w:t>LAT</w:t>
      </w:r>
      <w:r w:rsidR="147A5F7B" w:rsidRPr="00572D0C">
        <w:rPr>
          <w:lang w:val="fr-CH"/>
        </w:rPr>
        <w:t xml:space="preserve">, </w:t>
      </w:r>
      <w:r>
        <w:rPr>
          <w:lang w:val="fr-CH"/>
        </w:rPr>
        <w:t>l’a</w:t>
      </w:r>
      <w:r w:rsidR="147A5F7B" w:rsidRPr="00572D0C">
        <w:rPr>
          <w:lang w:val="fr-CH"/>
        </w:rPr>
        <w:t>rt</w:t>
      </w:r>
      <w:r w:rsidR="00C5095A">
        <w:rPr>
          <w:lang w:val="fr-CH"/>
        </w:rPr>
        <w:t>icle</w:t>
      </w:r>
      <w:r w:rsidR="147A5F7B" w:rsidRPr="00572D0C">
        <w:rPr>
          <w:lang w:val="fr-CH"/>
        </w:rPr>
        <w:t xml:space="preserve"> 30</w:t>
      </w:r>
      <w:r w:rsidR="00C5095A">
        <w:rPr>
          <w:lang w:val="fr-CH"/>
        </w:rPr>
        <w:t>,</w:t>
      </w:r>
      <w:r w:rsidR="147A5F7B" w:rsidRPr="00572D0C">
        <w:rPr>
          <w:lang w:val="fr-CH"/>
        </w:rPr>
        <w:t xml:space="preserve"> </w:t>
      </w:r>
      <w:r>
        <w:rPr>
          <w:lang w:val="fr-CH"/>
        </w:rPr>
        <w:t>al</w:t>
      </w:r>
      <w:r w:rsidR="00C5095A">
        <w:rPr>
          <w:lang w:val="fr-CH"/>
        </w:rPr>
        <w:t>inéa</w:t>
      </w:r>
      <w:r w:rsidR="147A5F7B" w:rsidRPr="00572D0C">
        <w:rPr>
          <w:lang w:val="fr-CH"/>
        </w:rPr>
        <w:t xml:space="preserve"> 1</w:t>
      </w:r>
      <w:r w:rsidR="147A5F7B" w:rsidRPr="00572D0C">
        <w:rPr>
          <w:vertAlign w:val="superscript"/>
          <w:lang w:val="fr-CH"/>
        </w:rPr>
        <w:t>bis</w:t>
      </w:r>
      <w:r w:rsidR="147A5F7B" w:rsidRPr="00572D0C">
        <w:rPr>
          <w:lang w:val="fr-CH"/>
        </w:rPr>
        <w:t xml:space="preserve"> </w:t>
      </w:r>
      <w:r>
        <w:rPr>
          <w:lang w:val="fr-CH"/>
        </w:rPr>
        <w:t>et al</w:t>
      </w:r>
      <w:r w:rsidR="00C5095A">
        <w:rPr>
          <w:lang w:val="fr-CH"/>
        </w:rPr>
        <w:t>inéa</w:t>
      </w:r>
      <w:r w:rsidR="00C5095A" w:rsidRPr="00572D0C">
        <w:rPr>
          <w:lang w:val="fr-CH"/>
        </w:rPr>
        <w:t xml:space="preserve"> </w:t>
      </w:r>
      <w:r w:rsidR="147A5F7B" w:rsidRPr="00572D0C">
        <w:rPr>
          <w:lang w:val="fr-CH"/>
        </w:rPr>
        <w:t xml:space="preserve">2 </w:t>
      </w:r>
      <w:r>
        <w:rPr>
          <w:lang w:val="fr-CH"/>
        </w:rPr>
        <w:t>OAT</w:t>
      </w:r>
      <w:r w:rsidR="147A5F7B" w:rsidRPr="00572D0C">
        <w:rPr>
          <w:lang w:val="fr-CH"/>
        </w:rPr>
        <w:t xml:space="preserve"> </w:t>
      </w:r>
      <w:r>
        <w:rPr>
          <w:lang w:val="fr-CH"/>
        </w:rPr>
        <w:t>et l’a</w:t>
      </w:r>
      <w:r w:rsidR="147A5F7B" w:rsidRPr="00572D0C">
        <w:rPr>
          <w:lang w:val="fr-CH"/>
        </w:rPr>
        <w:t>rt</w:t>
      </w:r>
      <w:r w:rsidR="00C5095A">
        <w:rPr>
          <w:lang w:val="fr-CH"/>
        </w:rPr>
        <w:t>icle</w:t>
      </w:r>
      <w:r w:rsidR="147A5F7B" w:rsidRPr="00572D0C">
        <w:rPr>
          <w:lang w:val="fr-CH"/>
        </w:rPr>
        <w:t xml:space="preserve"> 30 L</w:t>
      </w:r>
      <w:r>
        <w:rPr>
          <w:lang w:val="fr-CH"/>
        </w:rPr>
        <w:t>AP</w:t>
      </w:r>
      <w:r w:rsidR="147A5F7B" w:rsidRPr="00572D0C">
        <w:rPr>
          <w:lang w:val="fr-CH"/>
        </w:rPr>
        <w:t xml:space="preserve">. </w:t>
      </w:r>
    </w:p>
    <w:p w14:paraId="62A742C1" w14:textId="62AE0852" w:rsidR="00507407" w:rsidRPr="00572D0C" w:rsidRDefault="00772A0D" w:rsidP="157C4677">
      <w:pPr>
        <w:rPr>
          <w:rFonts w:eastAsia="Arial" w:cs="Arial"/>
          <w:lang w:val="fr-CH"/>
        </w:rPr>
      </w:pPr>
      <w:r>
        <w:rPr>
          <w:lang w:val="fr-CH"/>
        </w:rPr>
        <w:t xml:space="preserve">La garantie </w:t>
      </w:r>
      <w:r w:rsidR="00EF1873">
        <w:rPr>
          <w:lang w:val="fr-CH"/>
        </w:rPr>
        <w:t xml:space="preserve">(quantitative) </w:t>
      </w:r>
      <w:r>
        <w:rPr>
          <w:lang w:val="fr-CH"/>
        </w:rPr>
        <w:t>à long terme des surfaces d’assoleme</w:t>
      </w:r>
      <w:r w:rsidR="00ED2209">
        <w:rPr>
          <w:lang w:val="fr-CH"/>
        </w:rPr>
        <w:t xml:space="preserve">nt </w:t>
      </w:r>
      <w:r w:rsidR="00003F77">
        <w:rPr>
          <w:lang w:val="fr-CH"/>
        </w:rPr>
        <w:t xml:space="preserve">passe par </w:t>
      </w:r>
      <w:r w:rsidR="00ED2209">
        <w:rPr>
          <w:lang w:val="fr-CH"/>
        </w:rPr>
        <w:t xml:space="preserve">une utilisation mesurée du sol. La préservation des contingents cantonaux relève de la responsabilité de chaque canton. </w:t>
      </w:r>
      <w:r w:rsidR="00003F77">
        <w:rPr>
          <w:rFonts w:cs="Arial"/>
          <w:lang w:val="fr-CH"/>
        </w:rPr>
        <w:t>À</w:t>
      </w:r>
      <w:r w:rsidR="00003F77">
        <w:rPr>
          <w:lang w:val="fr-CH"/>
        </w:rPr>
        <w:t xml:space="preserve"> cette protection quantitative s’ajoute, et c’est important, une protection qualitative du sol. Sans </w:t>
      </w:r>
      <w:r w:rsidR="00A851A9">
        <w:rPr>
          <w:lang w:val="fr-CH"/>
        </w:rPr>
        <w:t>celle-ci</w:t>
      </w:r>
      <w:r w:rsidR="00003F77">
        <w:rPr>
          <w:lang w:val="fr-CH"/>
        </w:rPr>
        <w:t>,</w:t>
      </w:r>
      <w:r w:rsidR="00ED2209">
        <w:rPr>
          <w:rFonts w:eastAsia="Arial" w:cs="Arial"/>
          <w:lang w:val="fr-CH"/>
        </w:rPr>
        <w:t xml:space="preserve"> les SDA </w:t>
      </w:r>
      <w:r w:rsidR="00003F77">
        <w:rPr>
          <w:rFonts w:eastAsia="Arial" w:cs="Arial"/>
          <w:lang w:val="fr-CH"/>
        </w:rPr>
        <w:t xml:space="preserve">ne pourraient pas </w:t>
      </w:r>
      <w:r w:rsidR="00ED2209">
        <w:rPr>
          <w:rFonts w:eastAsia="Arial" w:cs="Arial"/>
          <w:lang w:val="fr-CH"/>
        </w:rPr>
        <w:t xml:space="preserve">remplir leur fonction de base </w:t>
      </w:r>
      <w:r w:rsidR="00EF1873">
        <w:rPr>
          <w:rFonts w:eastAsia="Arial" w:cs="Arial"/>
          <w:lang w:val="fr-CH"/>
        </w:rPr>
        <w:t>de</w:t>
      </w:r>
      <w:r w:rsidR="00ED2209">
        <w:rPr>
          <w:rFonts w:eastAsia="Arial" w:cs="Arial"/>
          <w:lang w:val="fr-CH"/>
        </w:rPr>
        <w:t xml:space="preserve"> </w:t>
      </w:r>
      <w:r w:rsidR="00003F77">
        <w:rPr>
          <w:rFonts w:eastAsia="Arial" w:cs="Arial"/>
          <w:lang w:val="fr-CH"/>
        </w:rPr>
        <w:t xml:space="preserve">la </w:t>
      </w:r>
      <w:r w:rsidR="00ED2209">
        <w:rPr>
          <w:rFonts w:eastAsia="Arial" w:cs="Arial"/>
          <w:lang w:val="fr-CH"/>
        </w:rPr>
        <w:t xml:space="preserve">production agricole </w:t>
      </w:r>
      <w:r w:rsidR="00EF1873">
        <w:rPr>
          <w:rFonts w:eastAsia="Arial" w:cs="Arial"/>
          <w:lang w:val="fr-CH"/>
        </w:rPr>
        <w:t>ainsi que d’autres fonctions</w:t>
      </w:r>
      <w:r w:rsidR="00003F77">
        <w:rPr>
          <w:rFonts w:eastAsia="Arial" w:cs="Arial"/>
          <w:lang w:val="fr-CH"/>
        </w:rPr>
        <w:t xml:space="preserve"> pédologiques</w:t>
      </w:r>
      <w:r w:rsidR="157C4677" w:rsidRPr="00572D0C">
        <w:rPr>
          <w:rFonts w:eastAsia="Arial" w:cs="Arial"/>
          <w:lang w:val="fr-CH"/>
        </w:rPr>
        <w:t>.</w:t>
      </w:r>
    </w:p>
    <w:p w14:paraId="70D9E5AA" w14:textId="37EA50E2" w:rsidR="003B7307" w:rsidRPr="00572D0C" w:rsidRDefault="00B231BF" w:rsidP="003B7307">
      <w:pPr>
        <w:pStyle w:val="Listenabsatz"/>
        <w:numPr>
          <w:ilvl w:val="0"/>
          <w:numId w:val="29"/>
        </w:numPr>
        <w:shd w:val="clear" w:color="auto" w:fill="D9D9D9" w:themeFill="background1" w:themeFillShade="D9"/>
        <w:spacing w:before="240"/>
        <w:ind w:left="426" w:hanging="426"/>
        <w:rPr>
          <w:b/>
          <w:bCs/>
          <w:i w:val="0"/>
          <w:lang w:val="fr-CH"/>
        </w:rPr>
      </w:pPr>
      <w:r>
        <w:rPr>
          <w:b/>
          <w:bCs/>
          <w:i w:val="0"/>
          <w:lang w:val="fr-CH"/>
        </w:rPr>
        <w:t xml:space="preserve">Il importe de </w:t>
      </w:r>
      <w:r w:rsidR="00FF1133">
        <w:rPr>
          <w:b/>
          <w:bCs/>
          <w:i w:val="0"/>
          <w:lang w:val="fr-CH"/>
        </w:rPr>
        <w:t xml:space="preserve">minimiser </w:t>
      </w:r>
      <w:r>
        <w:rPr>
          <w:b/>
          <w:bCs/>
          <w:i w:val="0"/>
          <w:lang w:val="fr-CH"/>
        </w:rPr>
        <w:t>la sollicitation de SDA à quelque fin que ce soit</w:t>
      </w:r>
      <w:r w:rsidR="003B7307" w:rsidRPr="00572D0C">
        <w:rPr>
          <w:b/>
          <w:bCs/>
          <w:i w:val="0"/>
          <w:lang w:val="fr-CH"/>
        </w:rPr>
        <w:t>.</w:t>
      </w:r>
    </w:p>
    <w:p w14:paraId="42F21FBD" w14:textId="48B50C53" w:rsidR="005750E6" w:rsidRPr="00572D0C" w:rsidRDefault="00EF1873" w:rsidP="00C2065D">
      <w:pPr>
        <w:rPr>
          <w:lang w:val="fr-CH"/>
        </w:rPr>
      </w:pPr>
      <w:r>
        <w:rPr>
          <w:lang w:val="fr-CH"/>
        </w:rPr>
        <w:t xml:space="preserve">Une utilisation mesurée des SDA </w:t>
      </w:r>
      <w:r w:rsidR="00A851A9">
        <w:rPr>
          <w:lang w:val="fr-CH"/>
        </w:rPr>
        <w:t xml:space="preserve">est dans tous </w:t>
      </w:r>
      <w:r w:rsidR="002313E3">
        <w:rPr>
          <w:lang w:val="fr-CH"/>
        </w:rPr>
        <w:t>les cas impératifs</w:t>
      </w:r>
      <w:r>
        <w:rPr>
          <w:lang w:val="fr-CH"/>
        </w:rPr>
        <w:t xml:space="preserve">, même lorsque </w:t>
      </w:r>
      <w:r w:rsidR="00A851A9">
        <w:rPr>
          <w:lang w:val="fr-CH"/>
        </w:rPr>
        <w:t>les SDA disponibles dans un</w:t>
      </w:r>
      <w:r>
        <w:rPr>
          <w:lang w:val="fr-CH"/>
        </w:rPr>
        <w:t xml:space="preserve"> canton </w:t>
      </w:r>
      <w:r w:rsidR="00A851A9">
        <w:rPr>
          <w:lang w:val="fr-CH"/>
        </w:rPr>
        <w:t>dépassent les chiffres du</w:t>
      </w:r>
      <w:r>
        <w:rPr>
          <w:lang w:val="fr-CH"/>
        </w:rPr>
        <w:t xml:space="preserve"> contingent</w:t>
      </w:r>
      <w:r w:rsidR="147A5F7B" w:rsidRPr="00572D0C">
        <w:rPr>
          <w:lang w:val="fr-CH"/>
        </w:rPr>
        <w:t>.</w:t>
      </w:r>
      <w:r w:rsidR="00C5095A">
        <w:rPr>
          <w:lang w:val="fr-CH"/>
        </w:rPr>
        <w:t xml:space="preserve"> Ce principe a force obligatoire pour toutes les autorités. Les explications relatives aux projets fédéraux sont présentées dans les explications P10 à P12.</w:t>
      </w:r>
    </w:p>
    <w:p w14:paraId="6F3355E6" w14:textId="70F8D9DF" w:rsidR="007A3665" w:rsidRPr="00572D0C" w:rsidRDefault="00067A1A" w:rsidP="00C2065D">
      <w:pPr>
        <w:rPr>
          <w:lang w:val="fr-CH"/>
        </w:rPr>
      </w:pPr>
      <w:r>
        <w:rPr>
          <w:lang w:val="fr-CH"/>
        </w:rPr>
        <w:lastRenderedPageBreak/>
        <w:t>Lorsqu’un classement de SDA en zone à bâtir est autorisé après l’examen de différentes alternatives et au terme d’une pesée complète des intérêts en présence au sens du droit de l’aménagement du territoire, i</w:t>
      </w:r>
      <w:r w:rsidR="00560D9B">
        <w:rPr>
          <w:lang w:val="fr-CH"/>
        </w:rPr>
        <w:t>l</w:t>
      </w:r>
      <w:r>
        <w:rPr>
          <w:lang w:val="fr-CH"/>
        </w:rPr>
        <w:t xml:space="preserve"> </w:t>
      </w:r>
      <w:r w:rsidR="00560D9B">
        <w:rPr>
          <w:lang w:val="fr-CH"/>
        </w:rPr>
        <w:t xml:space="preserve">importe </w:t>
      </w:r>
      <w:r>
        <w:rPr>
          <w:lang w:val="fr-CH"/>
        </w:rPr>
        <w:t xml:space="preserve">de s’assurer que les surfaces sollicitées seront utilisées de manière optimale selon l’état des connaissances </w:t>
      </w:r>
      <w:r w:rsidR="147A5F7B" w:rsidRPr="00572D0C">
        <w:rPr>
          <w:lang w:val="fr-CH"/>
        </w:rPr>
        <w:t>(</w:t>
      </w:r>
      <w:r>
        <w:rPr>
          <w:lang w:val="fr-CH"/>
        </w:rPr>
        <w:t>a</w:t>
      </w:r>
      <w:r w:rsidR="147A5F7B" w:rsidRPr="00572D0C">
        <w:rPr>
          <w:lang w:val="fr-CH"/>
        </w:rPr>
        <w:t>rt. 30</w:t>
      </w:r>
      <w:r w:rsidR="00604033">
        <w:rPr>
          <w:lang w:val="fr-CH"/>
        </w:rPr>
        <w:t>,</w:t>
      </w:r>
      <w:r w:rsidR="147A5F7B" w:rsidRPr="00572D0C">
        <w:rPr>
          <w:lang w:val="fr-CH"/>
        </w:rPr>
        <w:t xml:space="preserve"> </w:t>
      </w:r>
      <w:r>
        <w:rPr>
          <w:lang w:val="fr-CH"/>
        </w:rPr>
        <w:t>al</w:t>
      </w:r>
      <w:r w:rsidR="147A5F7B" w:rsidRPr="00572D0C">
        <w:rPr>
          <w:lang w:val="fr-CH"/>
        </w:rPr>
        <w:t>. 1</w:t>
      </w:r>
      <w:r w:rsidR="00604033" w:rsidRPr="002313E3">
        <w:rPr>
          <w:vertAlign w:val="superscript"/>
          <w:lang w:val="fr-CH"/>
        </w:rPr>
        <w:t>bis</w:t>
      </w:r>
      <w:r w:rsidR="00604033">
        <w:rPr>
          <w:lang w:val="fr-CH"/>
        </w:rPr>
        <w:t>,</w:t>
      </w:r>
      <w:r w:rsidR="147A5F7B" w:rsidRPr="00572D0C">
        <w:rPr>
          <w:lang w:val="fr-CH"/>
        </w:rPr>
        <w:t xml:space="preserve"> </w:t>
      </w:r>
      <w:r>
        <w:rPr>
          <w:lang w:val="fr-CH"/>
        </w:rPr>
        <w:t>le</w:t>
      </w:r>
      <w:r w:rsidR="147A5F7B" w:rsidRPr="00572D0C">
        <w:rPr>
          <w:lang w:val="fr-CH"/>
        </w:rPr>
        <w:t>t. b</w:t>
      </w:r>
      <w:r w:rsidR="00604033">
        <w:rPr>
          <w:lang w:val="fr-CH"/>
        </w:rPr>
        <w:t>,</w:t>
      </w:r>
      <w:r w:rsidR="147A5F7B" w:rsidRPr="00572D0C">
        <w:rPr>
          <w:lang w:val="fr-CH"/>
        </w:rPr>
        <w:t xml:space="preserve"> </w:t>
      </w:r>
      <w:r>
        <w:rPr>
          <w:lang w:val="fr-CH"/>
        </w:rPr>
        <w:t>OAT</w:t>
      </w:r>
      <w:r w:rsidR="147A5F7B" w:rsidRPr="00572D0C">
        <w:rPr>
          <w:lang w:val="fr-CH"/>
        </w:rPr>
        <w:t xml:space="preserve">). </w:t>
      </w:r>
      <w:r>
        <w:rPr>
          <w:lang w:val="fr-CH"/>
        </w:rPr>
        <w:t>Cette disposition vise à freiner la perte de SDA</w:t>
      </w:r>
      <w:r w:rsidR="00604033">
        <w:rPr>
          <w:lang w:val="fr-CH"/>
        </w:rPr>
        <w:t xml:space="preserve"> et à conserver ainsi </w:t>
      </w:r>
      <w:r>
        <w:rPr>
          <w:lang w:val="fr-CH"/>
        </w:rPr>
        <w:t xml:space="preserve">une marge de manœuvre aussi large que possible </w:t>
      </w:r>
      <w:r w:rsidR="00604033">
        <w:rPr>
          <w:lang w:val="fr-CH"/>
        </w:rPr>
        <w:t>dans le futur</w:t>
      </w:r>
      <w:r>
        <w:rPr>
          <w:lang w:val="fr-CH"/>
        </w:rPr>
        <w:t xml:space="preserve">. De même, il importe de limiter la </w:t>
      </w:r>
      <w:r w:rsidR="00604033">
        <w:rPr>
          <w:lang w:val="fr-CH"/>
        </w:rPr>
        <w:t>consommation du</w:t>
      </w:r>
      <w:r>
        <w:rPr>
          <w:lang w:val="fr-CH"/>
        </w:rPr>
        <w:t xml:space="preserve"> </w:t>
      </w:r>
      <w:r w:rsidR="00560D9B">
        <w:rPr>
          <w:lang w:val="fr-CH"/>
        </w:rPr>
        <w:t xml:space="preserve">sol </w:t>
      </w:r>
      <w:r>
        <w:rPr>
          <w:lang w:val="fr-CH"/>
        </w:rPr>
        <w:t>pour des constructions conformes à la zone agricole ou pour d’autres utilisations hors de la zone à bâtir</w:t>
      </w:r>
      <w:r w:rsidR="147A5F7B" w:rsidRPr="00572D0C">
        <w:rPr>
          <w:lang w:val="fr-CH"/>
        </w:rPr>
        <w:t xml:space="preserve"> </w:t>
      </w:r>
      <w:r w:rsidR="00604033">
        <w:rPr>
          <w:lang w:val="fr-CH"/>
        </w:rPr>
        <w:t xml:space="preserve">ayant un impact sur les sols </w:t>
      </w:r>
      <w:r w:rsidR="147A5F7B" w:rsidRPr="00572D0C">
        <w:rPr>
          <w:lang w:val="fr-CH"/>
        </w:rPr>
        <w:t>(</w:t>
      </w:r>
      <w:r>
        <w:rPr>
          <w:lang w:val="fr-CH"/>
        </w:rPr>
        <w:t>par ex</w:t>
      </w:r>
      <w:r w:rsidR="147A5F7B" w:rsidRPr="00572D0C">
        <w:rPr>
          <w:lang w:val="fr-CH"/>
        </w:rPr>
        <w:t xml:space="preserve">. </w:t>
      </w:r>
      <w:r>
        <w:rPr>
          <w:lang w:val="fr-CH"/>
        </w:rPr>
        <w:t>extraction de matériaux, décharges</w:t>
      </w:r>
      <w:r w:rsidR="147A5F7B" w:rsidRPr="00572D0C">
        <w:rPr>
          <w:lang w:val="fr-CH"/>
        </w:rPr>
        <w:t xml:space="preserve">, </w:t>
      </w:r>
      <w:r>
        <w:rPr>
          <w:lang w:val="fr-CH"/>
        </w:rPr>
        <w:t>construction de routes</w:t>
      </w:r>
      <w:r w:rsidR="147A5F7B" w:rsidRPr="00572D0C">
        <w:rPr>
          <w:lang w:val="fr-CH"/>
        </w:rPr>
        <w:t>).</w:t>
      </w:r>
    </w:p>
    <w:p w14:paraId="0790B165" w14:textId="000EFA18" w:rsidR="001D2CE0" w:rsidRDefault="006C064C" w:rsidP="00C2065D">
      <w:pPr>
        <w:rPr>
          <w:lang w:val="fr-CH"/>
        </w:rPr>
      </w:pPr>
      <w:r>
        <w:rPr>
          <w:lang w:val="fr-CH"/>
        </w:rPr>
        <w:t xml:space="preserve">Il est possible de parvenir à une utilisation optimale par </w:t>
      </w:r>
      <w:r w:rsidR="00FB7443">
        <w:rPr>
          <w:lang w:val="fr-CH"/>
        </w:rPr>
        <w:t>une</w:t>
      </w:r>
      <w:r>
        <w:rPr>
          <w:lang w:val="fr-CH"/>
        </w:rPr>
        <w:t xml:space="preserve"> occupation </w:t>
      </w:r>
      <w:r w:rsidR="00FB7443">
        <w:rPr>
          <w:lang w:val="fr-CH"/>
        </w:rPr>
        <w:t>parcimonieuse du</w:t>
      </w:r>
      <w:r>
        <w:rPr>
          <w:lang w:val="fr-CH"/>
        </w:rPr>
        <w:t xml:space="preserve"> sol dans le cadre des </w:t>
      </w:r>
      <w:r w:rsidR="00FB7443">
        <w:rPr>
          <w:lang w:val="fr-CH"/>
        </w:rPr>
        <w:t xml:space="preserve">prescriptions </w:t>
      </w:r>
      <w:r>
        <w:rPr>
          <w:lang w:val="fr-CH"/>
        </w:rPr>
        <w:t>légales. Les mesures envisageables sont : un agencement compact des constructions et installations</w:t>
      </w:r>
      <w:r w:rsidR="00FB7443">
        <w:rPr>
          <w:lang w:val="fr-CH"/>
        </w:rPr>
        <w:t xml:space="preserve"> qui</w:t>
      </w:r>
      <w:r>
        <w:rPr>
          <w:lang w:val="fr-CH"/>
        </w:rPr>
        <w:t xml:space="preserve"> </w:t>
      </w:r>
      <w:r w:rsidR="00FB7443">
        <w:rPr>
          <w:lang w:val="fr-CH"/>
        </w:rPr>
        <w:t xml:space="preserve">évite des </w:t>
      </w:r>
      <w:r>
        <w:rPr>
          <w:lang w:val="fr-CH"/>
        </w:rPr>
        <w:t xml:space="preserve">surfaces </w:t>
      </w:r>
      <w:r w:rsidR="00FB7443">
        <w:rPr>
          <w:lang w:val="fr-CH"/>
        </w:rPr>
        <w:t xml:space="preserve">restantes </w:t>
      </w:r>
      <w:r>
        <w:rPr>
          <w:lang w:val="fr-CH"/>
        </w:rPr>
        <w:t xml:space="preserve">difficiles à utiliser, une </w:t>
      </w:r>
      <w:r w:rsidR="00FB7443">
        <w:rPr>
          <w:lang w:val="fr-CH"/>
        </w:rPr>
        <w:t xml:space="preserve">forte </w:t>
      </w:r>
      <w:r>
        <w:rPr>
          <w:lang w:val="fr-CH"/>
        </w:rPr>
        <w:t xml:space="preserve">densité </w:t>
      </w:r>
      <w:r w:rsidR="00FB7443">
        <w:rPr>
          <w:lang w:val="fr-CH"/>
        </w:rPr>
        <w:t xml:space="preserve">bâtie </w:t>
      </w:r>
      <w:r>
        <w:rPr>
          <w:lang w:val="fr-CH"/>
        </w:rPr>
        <w:t xml:space="preserve">grâce à des bâtiments </w:t>
      </w:r>
      <w:r w:rsidR="00FB7443">
        <w:rPr>
          <w:lang w:val="fr-CH"/>
        </w:rPr>
        <w:t xml:space="preserve">de </w:t>
      </w:r>
      <w:r>
        <w:rPr>
          <w:lang w:val="fr-CH"/>
        </w:rPr>
        <w:t xml:space="preserve">plusieurs étages, des parcs de stationnement souterrains ou des équipements économes en sol. </w:t>
      </w:r>
      <w:r w:rsidR="005F61FD">
        <w:rPr>
          <w:lang w:val="fr-CH"/>
        </w:rPr>
        <w:t>Une réhabilitation</w:t>
      </w:r>
      <w:r>
        <w:rPr>
          <w:lang w:val="fr-CH"/>
        </w:rPr>
        <w:t xml:space="preserve"> dans les règles de l’art de surfaces d’assolement sollicitées temporairement</w:t>
      </w:r>
      <w:r w:rsidR="147A5F7B" w:rsidRPr="00572D0C">
        <w:rPr>
          <w:lang w:val="fr-CH"/>
        </w:rPr>
        <w:t xml:space="preserve"> </w:t>
      </w:r>
      <w:r>
        <w:rPr>
          <w:lang w:val="fr-CH"/>
        </w:rPr>
        <w:t>fait également partie de ces mesures.</w:t>
      </w:r>
    </w:p>
    <w:p w14:paraId="1A9D1B5B" w14:textId="6C5BC163" w:rsidR="00560D9B" w:rsidRPr="00560D9B" w:rsidRDefault="00560D9B" w:rsidP="00C2065D">
      <w:pPr>
        <w:rPr>
          <w:lang w:val="fr-CH"/>
        </w:rPr>
      </w:pPr>
      <w:r>
        <w:rPr>
          <w:lang w:val="fr-CH"/>
        </w:rPr>
        <w:t>Les mesures de r</w:t>
      </w:r>
      <w:r w:rsidR="005458C6">
        <w:rPr>
          <w:lang w:val="fr-CH"/>
        </w:rPr>
        <w:t>econstitu</w:t>
      </w:r>
      <w:r>
        <w:rPr>
          <w:lang w:val="fr-CH"/>
        </w:rPr>
        <w:t>tion ou de remp</w:t>
      </w:r>
      <w:r w:rsidR="005458C6">
        <w:rPr>
          <w:lang w:val="fr-CH"/>
        </w:rPr>
        <w:t>la</w:t>
      </w:r>
      <w:r>
        <w:rPr>
          <w:lang w:val="fr-CH"/>
        </w:rPr>
        <w:t>cemen</w:t>
      </w:r>
      <w:r w:rsidR="005458C6">
        <w:rPr>
          <w:lang w:val="fr-CH"/>
        </w:rPr>
        <w:t>t</w:t>
      </w:r>
      <w:r w:rsidRPr="00501D1D">
        <w:rPr>
          <w:lang w:val="fr-CH"/>
        </w:rPr>
        <w:t xml:space="preserve"> (</w:t>
      </w:r>
      <w:r w:rsidR="005458C6">
        <w:rPr>
          <w:lang w:val="fr-CH"/>
        </w:rPr>
        <w:t xml:space="preserve">au sens de </w:t>
      </w:r>
      <w:r w:rsidR="00FB7443">
        <w:rPr>
          <w:lang w:val="fr-CH"/>
        </w:rPr>
        <w:t>l’art.</w:t>
      </w:r>
      <w:r w:rsidR="00FB7443" w:rsidRPr="00C371B8">
        <w:rPr>
          <w:lang w:val="fr-CH"/>
        </w:rPr>
        <w:t xml:space="preserve"> </w:t>
      </w:r>
      <w:r w:rsidRPr="00C371B8">
        <w:rPr>
          <w:lang w:val="fr-CH"/>
        </w:rPr>
        <w:t>18</w:t>
      </w:r>
      <w:r w:rsidR="005458C6">
        <w:rPr>
          <w:lang w:val="fr-CH"/>
        </w:rPr>
        <w:t xml:space="preserve">, </w:t>
      </w:r>
      <w:r w:rsidR="00FB7443">
        <w:rPr>
          <w:lang w:val="fr-CH"/>
        </w:rPr>
        <w:t xml:space="preserve">al. </w:t>
      </w:r>
      <w:r w:rsidRPr="00C371B8">
        <w:rPr>
          <w:lang w:val="fr-CH"/>
        </w:rPr>
        <w:t>1</w:t>
      </w:r>
      <w:r w:rsidRPr="00C371B8">
        <w:rPr>
          <w:vertAlign w:val="superscript"/>
          <w:lang w:val="fr-CH"/>
        </w:rPr>
        <w:t>ter</w:t>
      </w:r>
      <w:r w:rsidRPr="00C371B8">
        <w:rPr>
          <w:lang w:val="fr-CH"/>
        </w:rPr>
        <w:t xml:space="preserve"> </w:t>
      </w:r>
      <w:r w:rsidR="005458C6">
        <w:rPr>
          <w:lang w:val="fr-CH"/>
        </w:rPr>
        <w:t>LPN</w:t>
      </w:r>
      <w:r w:rsidRPr="00C371B8">
        <w:rPr>
          <w:lang w:val="fr-CH"/>
        </w:rPr>
        <w:t xml:space="preserve">) </w:t>
      </w:r>
      <w:r w:rsidR="005458C6">
        <w:rPr>
          <w:lang w:val="fr-CH"/>
        </w:rPr>
        <w:t xml:space="preserve">qui requièrent une atteinte au sol (décapage du sol), par exemple l’aménagement de mares artificielles ou la création de </w:t>
      </w:r>
      <w:r w:rsidR="00822BC9">
        <w:rPr>
          <w:lang w:val="fr-CH"/>
        </w:rPr>
        <w:t xml:space="preserve">surfaces </w:t>
      </w:r>
      <w:r w:rsidR="005458C6">
        <w:rPr>
          <w:lang w:val="fr-CH"/>
        </w:rPr>
        <w:t xml:space="preserve">maigres par enlèvement de la couche d’humus, ne </w:t>
      </w:r>
      <w:r w:rsidR="00FB7443">
        <w:rPr>
          <w:lang w:val="fr-CH"/>
        </w:rPr>
        <w:t xml:space="preserve">devraient </w:t>
      </w:r>
      <w:r w:rsidR="005458C6">
        <w:rPr>
          <w:lang w:val="fr-CH"/>
        </w:rPr>
        <w:t xml:space="preserve">pas se faire sur des SDA. Elles entraîneraient la perte des SDA. Par contre, il est possible d’envisager des mesures qui </w:t>
      </w:r>
      <w:r w:rsidR="00822BC9">
        <w:rPr>
          <w:lang w:val="fr-CH"/>
        </w:rPr>
        <w:t>n’altèrent pas</w:t>
      </w:r>
      <w:r w:rsidR="005458C6">
        <w:rPr>
          <w:lang w:val="fr-CH"/>
        </w:rPr>
        <w:t xml:space="preserve"> la qualité des sols, par exemple la création de prairies riches en espèces, de jachères florales, etc</w:t>
      </w:r>
      <w:r w:rsidRPr="00C371B8">
        <w:rPr>
          <w:lang w:val="fr-CH"/>
        </w:rPr>
        <w:t xml:space="preserve">. </w:t>
      </w:r>
      <w:r w:rsidR="00C371B8">
        <w:rPr>
          <w:lang w:val="fr-CH"/>
        </w:rPr>
        <w:t xml:space="preserve">De telles utilisations peuvent continuer à être intégrées aux inventaires cantonaux </w:t>
      </w:r>
      <w:r w:rsidRPr="00C371B8">
        <w:rPr>
          <w:lang w:val="fr-CH"/>
        </w:rPr>
        <w:t>(</w:t>
      </w:r>
      <w:r w:rsidR="00C371B8">
        <w:rPr>
          <w:lang w:val="fr-CH"/>
        </w:rPr>
        <w:t>cf. également</w:t>
      </w:r>
      <w:r w:rsidRPr="00C371B8">
        <w:rPr>
          <w:lang w:val="fr-CH"/>
        </w:rPr>
        <w:t xml:space="preserve"> </w:t>
      </w:r>
      <w:r w:rsidR="00C371B8">
        <w:rPr>
          <w:lang w:val="fr-CH"/>
        </w:rPr>
        <w:t>P</w:t>
      </w:r>
      <w:r w:rsidRPr="00C371B8">
        <w:rPr>
          <w:lang w:val="fr-CH"/>
        </w:rPr>
        <w:t xml:space="preserve">16). </w:t>
      </w:r>
      <w:r w:rsidR="00C371B8">
        <w:rPr>
          <w:lang w:val="fr-CH"/>
        </w:rPr>
        <w:t xml:space="preserve">Il en va de même des mesures de compensation écologique au sens de l’article </w:t>
      </w:r>
      <w:r w:rsidRPr="00C371B8">
        <w:rPr>
          <w:lang w:val="fr-CH"/>
        </w:rPr>
        <w:t>18b</w:t>
      </w:r>
      <w:r w:rsidR="00C371B8">
        <w:rPr>
          <w:lang w:val="fr-CH"/>
        </w:rPr>
        <w:t>, alinéa</w:t>
      </w:r>
      <w:r w:rsidRPr="00C371B8">
        <w:rPr>
          <w:lang w:val="fr-CH"/>
        </w:rPr>
        <w:t xml:space="preserve"> 2 </w:t>
      </w:r>
      <w:r w:rsidR="00C371B8">
        <w:rPr>
          <w:lang w:val="fr-CH"/>
        </w:rPr>
        <w:t>LPN</w:t>
      </w:r>
      <w:r w:rsidRPr="00C371B8">
        <w:rPr>
          <w:lang w:val="fr-CH"/>
        </w:rPr>
        <w:t>.</w:t>
      </w:r>
    </w:p>
    <w:p w14:paraId="026BFD40" w14:textId="180F0B04" w:rsidR="003B7307" w:rsidRPr="00572D0C" w:rsidRDefault="00FF1133" w:rsidP="003B7307">
      <w:pPr>
        <w:pStyle w:val="Listenabsatz"/>
        <w:numPr>
          <w:ilvl w:val="0"/>
          <w:numId w:val="29"/>
        </w:numPr>
        <w:shd w:val="clear" w:color="auto" w:fill="D9D9D9" w:themeFill="background1" w:themeFillShade="D9"/>
        <w:spacing w:before="240"/>
        <w:ind w:left="426" w:hanging="426"/>
        <w:rPr>
          <w:b/>
          <w:bCs/>
          <w:i w:val="0"/>
          <w:lang w:val="fr-CH"/>
        </w:rPr>
      </w:pPr>
      <w:r>
        <w:rPr>
          <w:b/>
          <w:bCs/>
          <w:i w:val="0"/>
          <w:lang w:val="fr-CH"/>
        </w:rPr>
        <w:t xml:space="preserve">Il incombe aux </w:t>
      </w:r>
      <w:r w:rsidR="000A3B06">
        <w:rPr>
          <w:b/>
          <w:bCs/>
          <w:i w:val="0"/>
          <w:lang w:val="fr-CH"/>
        </w:rPr>
        <w:t>cantons ont de gara</w:t>
      </w:r>
      <w:r w:rsidR="003B7307" w:rsidRPr="00572D0C">
        <w:rPr>
          <w:b/>
          <w:bCs/>
          <w:i w:val="0"/>
          <w:lang w:val="fr-CH"/>
        </w:rPr>
        <w:t>n</w:t>
      </w:r>
      <w:r w:rsidR="000A3B06">
        <w:rPr>
          <w:b/>
          <w:bCs/>
          <w:i w:val="0"/>
          <w:lang w:val="fr-CH"/>
        </w:rPr>
        <w:t>tir à long terme leur contingent de SDA</w:t>
      </w:r>
      <w:r w:rsidR="003B7307" w:rsidRPr="00572D0C">
        <w:rPr>
          <w:b/>
          <w:bCs/>
          <w:i w:val="0"/>
          <w:lang w:val="fr-CH"/>
        </w:rPr>
        <w:t>.</w:t>
      </w:r>
      <w:r w:rsidR="000A3B06">
        <w:rPr>
          <w:b/>
          <w:bCs/>
          <w:i w:val="0"/>
          <w:lang w:val="fr-CH"/>
        </w:rPr>
        <w:t xml:space="preserve"> Ils prennent à cet effet des mesures contraignantes et les mettent en œuvre. </w:t>
      </w:r>
    </w:p>
    <w:p w14:paraId="40CE1A4E" w14:textId="6717B54E" w:rsidR="00A31078" w:rsidRDefault="000A3B06" w:rsidP="004059C9">
      <w:pPr>
        <w:rPr>
          <w:lang w:val="fr-CH"/>
        </w:rPr>
      </w:pPr>
      <w:r>
        <w:rPr>
          <w:lang w:val="fr-CH"/>
        </w:rPr>
        <w:t>Le plan directeur cantonal est l’instrument</w:t>
      </w:r>
      <w:r w:rsidR="147A5F7B" w:rsidRPr="00572D0C">
        <w:rPr>
          <w:lang w:val="fr-CH"/>
        </w:rPr>
        <w:t xml:space="preserve"> </w:t>
      </w:r>
      <w:r>
        <w:rPr>
          <w:lang w:val="fr-CH"/>
        </w:rPr>
        <w:t xml:space="preserve">qui permet de garantir le contingent et </w:t>
      </w:r>
      <w:r w:rsidR="00997666">
        <w:rPr>
          <w:lang w:val="fr-CH"/>
        </w:rPr>
        <w:t>de préserver les</w:t>
      </w:r>
      <w:r>
        <w:rPr>
          <w:lang w:val="fr-CH"/>
        </w:rPr>
        <w:t xml:space="preserve"> SDA au niveau cantonal de manière contraignante pour les autorités. </w:t>
      </w:r>
      <w:r w:rsidR="00997666">
        <w:rPr>
          <w:lang w:val="fr-CH"/>
        </w:rPr>
        <w:t>Lors de la définition du territoire urbanisé, il convient de veiller à protéger les</w:t>
      </w:r>
      <w:r>
        <w:rPr>
          <w:lang w:val="fr-CH"/>
        </w:rPr>
        <w:t xml:space="preserve"> précieuses terres agricoles, notamment </w:t>
      </w:r>
      <w:r w:rsidR="00997666">
        <w:rPr>
          <w:lang w:val="fr-CH"/>
        </w:rPr>
        <w:t xml:space="preserve">les </w:t>
      </w:r>
      <w:r>
        <w:rPr>
          <w:lang w:val="fr-CH"/>
        </w:rPr>
        <w:t>SDA</w:t>
      </w:r>
      <w:r w:rsidR="147A5F7B" w:rsidRPr="00572D0C">
        <w:rPr>
          <w:lang w:val="fr-CH"/>
        </w:rPr>
        <w:t xml:space="preserve">. </w:t>
      </w:r>
      <w:r>
        <w:rPr>
          <w:lang w:val="fr-CH"/>
        </w:rPr>
        <w:t xml:space="preserve">De plus, chaque canton </w:t>
      </w:r>
      <w:r w:rsidR="0090514A">
        <w:rPr>
          <w:lang w:val="fr-CH"/>
        </w:rPr>
        <w:t xml:space="preserve">doit </w:t>
      </w:r>
      <w:r w:rsidR="00997666">
        <w:rPr>
          <w:lang w:val="fr-CH"/>
        </w:rPr>
        <w:t>s’assurer, par des</w:t>
      </w:r>
      <w:r w:rsidR="0090514A">
        <w:rPr>
          <w:lang w:val="fr-CH"/>
        </w:rPr>
        <w:t xml:space="preserve"> prescriptions</w:t>
      </w:r>
      <w:r w:rsidR="00997666">
        <w:rPr>
          <w:lang w:val="fr-CH"/>
        </w:rPr>
        <w:t xml:space="preserve"> correspondantes,</w:t>
      </w:r>
      <w:r w:rsidR="0090514A">
        <w:rPr>
          <w:lang w:val="fr-CH"/>
        </w:rPr>
        <w:t xml:space="preserve"> que les classements en zone à bâtir, les changements d’affectation et les déclassements </w:t>
      </w:r>
      <w:r w:rsidR="00997666">
        <w:rPr>
          <w:lang w:val="fr-CH"/>
        </w:rPr>
        <w:t>préservent ou ménagent le plus possible</w:t>
      </w:r>
      <w:r w:rsidR="0090514A">
        <w:rPr>
          <w:lang w:val="fr-CH"/>
        </w:rPr>
        <w:t xml:space="preserve"> </w:t>
      </w:r>
      <w:r w:rsidR="00997666">
        <w:rPr>
          <w:lang w:val="fr-CH"/>
        </w:rPr>
        <w:t xml:space="preserve">les </w:t>
      </w:r>
      <w:r w:rsidR="0090514A">
        <w:rPr>
          <w:lang w:val="fr-CH"/>
        </w:rPr>
        <w:t>SDA </w:t>
      </w:r>
      <w:r w:rsidR="00997666">
        <w:rPr>
          <w:lang w:val="fr-CH"/>
        </w:rPr>
        <w:t>et que</w:t>
      </w:r>
      <w:r w:rsidR="0090514A">
        <w:rPr>
          <w:lang w:val="fr-CH"/>
        </w:rPr>
        <w:t xml:space="preserve"> des exigences </w:t>
      </w:r>
      <w:r w:rsidR="00997666">
        <w:rPr>
          <w:lang w:val="fr-CH"/>
        </w:rPr>
        <w:t>accrues d’utilisation</w:t>
      </w:r>
      <w:r w:rsidR="0090514A">
        <w:rPr>
          <w:lang w:val="fr-CH"/>
        </w:rPr>
        <w:t xml:space="preserve"> </w:t>
      </w:r>
      <w:r w:rsidR="00997666">
        <w:rPr>
          <w:lang w:val="fr-CH"/>
        </w:rPr>
        <w:t xml:space="preserve">soient fixées en cas </w:t>
      </w:r>
      <w:r w:rsidR="00654E7B">
        <w:rPr>
          <w:lang w:val="fr-CH"/>
        </w:rPr>
        <w:t>de consommation de</w:t>
      </w:r>
      <w:r w:rsidR="0090514A">
        <w:rPr>
          <w:lang w:val="fr-CH"/>
        </w:rPr>
        <w:t xml:space="preserve"> SDA</w:t>
      </w:r>
      <w:r w:rsidR="147A5F7B" w:rsidRPr="00572D0C">
        <w:rPr>
          <w:lang w:val="fr-CH"/>
        </w:rPr>
        <w:t xml:space="preserve">. </w:t>
      </w:r>
      <w:r w:rsidR="00C371B8">
        <w:rPr>
          <w:lang w:val="fr-CH"/>
        </w:rPr>
        <w:t xml:space="preserve">Aucune réduction du contingent cantonal n’est autorisée. </w:t>
      </w:r>
      <w:r w:rsidR="00654E7B">
        <w:rPr>
          <w:lang w:val="fr-CH"/>
        </w:rPr>
        <w:t xml:space="preserve">Une </w:t>
      </w:r>
      <w:r w:rsidR="00C371B8">
        <w:rPr>
          <w:lang w:val="fr-CH"/>
        </w:rPr>
        <w:t xml:space="preserve">perte de SDA doit être obligatoirement compensée </w:t>
      </w:r>
      <w:r w:rsidR="00654E7B">
        <w:rPr>
          <w:lang w:val="fr-CH"/>
        </w:rPr>
        <w:t xml:space="preserve">au cas où </w:t>
      </w:r>
      <w:r w:rsidR="00C371B8">
        <w:rPr>
          <w:lang w:val="fr-CH"/>
        </w:rPr>
        <w:t xml:space="preserve">le contingent cantonal </w:t>
      </w:r>
      <w:r w:rsidR="00654E7B">
        <w:rPr>
          <w:lang w:val="fr-CH"/>
        </w:rPr>
        <w:t xml:space="preserve">ne serait </w:t>
      </w:r>
      <w:r w:rsidR="00C371B8">
        <w:rPr>
          <w:lang w:val="fr-CH"/>
        </w:rPr>
        <w:t xml:space="preserve">plus respecté. Même lorsque le contingent cantonal est encore garanti, il est recommandé de compenser à titre </w:t>
      </w:r>
      <w:r w:rsidR="00654E7B">
        <w:rPr>
          <w:lang w:val="fr-CH"/>
        </w:rPr>
        <w:t>de précaution</w:t>
      </w:r>
      <w:r w:rsidR="00C371B8">
        <w:rPr>
          <w:lang w:val="fr-CH"/>
        </w:rPr>
        <w:t xml:space="preserve"> toutes les SDA inventoriées</w:t>
      </w:r>
      <w:r w:rsidR="00654E7B">
        <w:rPr>
          <w:lang w:val="fr-CH"/>
        </w:rPr>
        <w:t xml:space="preserve"> qui sont consommées</w:t>
      </w:r>
      <w:r w:rsidR="00C371B8">
        <w:rPr>
          <w:lang w:val="fr-CH"/>
        </w:rPr>
        <w:t xml:space="preserve"> (cf. P8).</w:t>
      </w:r>
    </w:p>
    <w:p w14:paraId="1973126C" w14:textId="1284BB95" w:rsidR="00C371B8" w:rsidRDefault="00502E28" w:rsidP="004059C9">
      <w:pPr>
        <w:rPr>
          <w:lang w:val="fr-CH"/>
        </w:rPr>
      </w:pPr>
      <w:r>
        <w:rPr>
          <w:lang w:val="fr-CH"/>
        </w:rPr>
        <w:t>Les chapitres P8 et P6 expliquent comment procéder pour la compensation de SDA et quels aspects doivent être pris en compte.</w:t>
      </w:r>
    </w:p>
    <w:p w14:paraId="191952FA" w14:textId="1BC03EBC" w:rsidR="008B78D0" w:rsidRPr="00572D0C" w:rsidRDefault="00502E28" w:rsidP="00C2065D">
      <w:pPr>
        <w:rPr>
          <w:lang w:val="fr-CH"/>
        </w:rPr>
      </w:pPr>
      <w:r>
        <w:rPr>
          <w:lang w:val="fr-CH"/>
        </w:rPr>
        <w:t xml:space="preserve">Les explications relatives aux procédés et modalités de compensation sont indépendantes de la question de savoir si le canton risque de ne plus respecter son contingent ou s’il compense toutes les SDA qu’il avait inventoriées. </w:t>
      </w:r>
      <w:r w:rsidR="00533076">
        <w:rPr>
          <w:lang w:val="fr-CH"/>
        </w:rPr>
        <w:t xml:space="preserve">En édictant des dispositions cantonales sur </w:t>
      </w:r>
      <w:r w:rsidR="00654E7B">
        <w:rPr>
          <w:lang w:val="fr-CH"/>
        </w:rPr>
        <w:t xml:space="preserve">la gestion des </w:t>
      </w:r>
      <w:r w:rsidR="00533076">
        <w:rPr>
          <w:lang w:val="fr-CH"/>
        </w:rPr>
        <w:t xml:space="preserve">SDA, chaque canton a la possibilité de prendre des mesures </w:t>
      </w:r>
      <w:r w:rsidR="0008682B">
        <w:rPr>
          <w:lang w:val="fr-CH"/>
        </w:rPr>
        <w:t xml:space="preserve">de garantie </w:t>
      </w:r>
      <w:r w:rsidR="00654E7B">
        <w:rPr>
          <w:lang w:val="fr-CH"/>
        </w:rPr>
        <w:t>du</w:t>
      </w:r>
      <w:r w:rsidR="0008682B">
        <w:rPr>
          <w:lang w:val="fr-CH"/>
        </w:rPr>
        <w:t xml:space="preserve"> contingent contraignantes </w:t>
      </w:r>
      <w:r w:rsidR="00654E7B">
        <w:rPr>
          <w:lang w:val="fr-CH"/>
        </w:rPr>
        <w:t xml:space="preserve">aussi </w:t>
      </w:r>
      <w:r w:rsidR="0008682B">
        <w:rPr>
          <w:lang w:val="fr-CH"/>
        </w:rPr>
        <w:t>pour les acteurs privés</w:t>
      </w:r>
      <w:r w:rsidR="147A5F7B" w:rsidRPr="00572D0C">
        <w:rPr>
          <w:lang w:val="fr-CH"/>
        </w:rPr>
        <w:t xml:space="preserve">. </w:t>
      </w:r>
      <w:r w:rsidR="0008682B">
        <w:rPr>
          <w:lang w:val="fr-CH"/>
        </w:rPr>
        <w:t xml:space="preserve">Il peut s’agir par exemple d’une </w:t>
      </w:r>
      <w:r w:rsidR="00654E7B">
        <w:rPr>
          <w:lang w:val="fr-CH"/>
        </w:rPr>
        <w:t>règle légale obligeant à</w:t>
      </w:r>
      <w:r w:rsidR="0008682B">
        <w:rPr>
          <w:lang w:val="fr-CH"/>
        </w:rPr>
        <w:t xml:space="preserve"> </w:t>
      </w:r>
      <w:r w:rsidR="00654E7B">
        <w:rPr>
          <w:lang w:val="fr-CH"/>
        </w:rPr>
        <w:t xml:space="preserve">compenser la consommation </w:t>
      </w:r>
      <w:r w:rsidR="0008682B">
        <w:rPr>
          <w:lang w:val="fr-CH"/>
        </w:rPr>
        <w:t>de</w:t>
      </w:r>
      <w:r w:rsidR="001D66CF">
        <w:rPr>
          <w:lang w:val="fr-CH"/>
        </w:rPr>
        <w:t xml:space="preserve"> SDA </w:t>
      </w:r>
      <w:r w:rsidR="147A5F7B" w:rsidRPr="00572D0C">
        <w:rPr>
          <w:lang w:val="fr-CH"/>
        </w:rPr>
        <w:t>(</w:t>
      </w:r>
      <w:r w:rsidR="001D66CF">
        <w:rPr>
          <w:lang w:val="fr-CH"/>
        </w:rPr>
        <w:t>P</w:t>
      </w:r>
      <w:r>
        <w:rPr>
          <w:lang w:val="fr-CH"/>
        </w:rPr>
        <w:t>8</w:t>
      </w:r>
      <w:r w:rsidR="147A5F7B" w:rsidRPr="00572D0C">
        <w:rPr>
          <w:lang w:val="fr-CH"/>
        </w:rPr>
        <w:t xml:space="preserve">). </w:t>
      </w:r>
    </w:p>
    <w:p w14:paraId="34A8D73E" w14:textId="29CCF7C3" w:rsidR="002D19D5" w:rsidRDefault="001D66CF" w:rsidP="00A14463">
      <w:pPr>
        <w:rPr>
          <w:lang w:val="fr-CH"/>
        </w:rPr>
      </w:pPr>
      <w:r>
        <w:rPr>
          <w:lang w:val="fr-CH"/>
        </w:rPr>
        <w:t>Dans l’idéal, la carte du plan directeur indiquera toutes les SDA répertoriées dans l’inventaire</w:t>
      </w:r>
      <w:r w:rsidR="009C5506">
        <w:rPr>
          <w:lang w:val="fr-CH"/>
        </w:rPr>
        <w:t xml:space="preserve"> cantonal des surfaces d’assolement</w:t>
      </w:r>
      <w:r w:rsidR="49F97252" w:rsidRPr="00572D0C">
        <w:rPr>
          <w:lang w:val="fr-CH"/>
        </w:rPr>
        <w:t>.</w:t>
      </w:r>
      <w:r w:rsidR="002D19D5">
        <w:rPr>
          <w:lang w:val="fr-CH"/>
        </w:rPr>
        <w:t xml:space="preserve"> Il importe d’indiquer au moins autant de SDA que ne le nécessite le respect du contingent cantonal. Les SDA non indiquées dans la carte du plan directeur cantonal</w:t>
      </w:r>
      <w:r w:rsidR="49F97252" w:rsidRPr="00572D0C">
        <w:rPr>
          <w:lang w:val="fr-CH"/>
        </w:rPr>
        <w:t xml:space="preserve"> </w:t>
      </w:r>
      <w:r w:rsidR="002D19D5">
        <w:rPr>
          <w:lang w:val="fr-CH"/>
        </w:rPr>
        <w:t>doivent rester répertoriées dans l’inventaire des SDA et être assujetties aux dispositions juridiques.</w:t>
      </w:r>
    </w:p>
    <w:p w14:paraId="7983D40F" w14:textId="22546291" w:rsidR="004D0E07" w:rsidRPr="00572D0C" w:rsidRDefault="00493F61" w:rsidP="00A14463">
      <w:pPr>
        <w:rPr>
          <w:lang w:val="fr-CH"/>
        </w:rPr>
      </w:pPr>
      <w:r>
        <w:rPr>
          <w:rFonts w:cs="Arial"/>
          <w:lang w:val="fr-CH"/>
        </w:rPr>
        <w:t>À</w:t>
      </w:r>
      <w:r w:rsidR="001D66CF">
        <w:rPr>
          <w:lang w:val="fr-CH"/>
        </w:rPr>
        <w:t xml:space="preserve"> l’intérieur du </w:t>
      </w:r>
      <w:r w:rsidR="0002761B">
        <w:rPr>
          <w:lang w:val="fr-CH"/>
        </w:rPr>
        <w:t>territoire d’urbanisation</w:t>
      </w:r>
      <w:r w:rsidR="001D66CF">
        <w:rPr>
          <w:lang w:val="fr-CH"/>
        </w:rPr>
        <w:t xml:space="preserve"> ou des zones de développement et pour des projets cantonaux, il est possible de renoncer à </w:t>
      </w:r>
      <w:r>
        <w:rPr>
          <w:lang w:val="fr-CH"/>
        </w:rPr>
        <w:t>faire figurer tous les sols répertoriés dans l’inventaire SDA sur</w:t>
      </w:r>
      <w:r w:rsidR="001D66CF">
        <w:rPr>
          <w:lang w:val="fr-CH"/>
        </w:rPr>
        <w:t xml:space="preserve"> la carte du plan directeur </w:t>
      </w:r>
      <w:r>
        <w:rPr>
          <w:lang w:val="fr-CH"/>
        </w:rPr>
        <w:t>aux conditions ci-après</w:t>
      </w:r>
      <w:r w:rsidR="001D66CF">
        <w:rPr>
          <w:lang w:val="fr-CH"/>
        </w:rPr>
        <w:t xml:space="preserve"> : </w:t>
      </w:r>
    </w:p>
    <w:p w14:paraId="4A0C6826" w14:textId="62474307" w:rsidR="004D0E07" w:rsidRPr="00572D0C" w:rsidRDefault="001D66CF" w:rsidP="49F97252">
      <w:pPr>
        <w:pStyle w:val="Listenabsatz"/>
        <w:numPr>
          <w:ilvl w:val="0"/>
          <w:numId w:val="25"/>
        </w:numPr>
        <w:ind w:left="851" w:hanging="426"/>
        <w:rPr>
          <w:i w:val="0"/>
          <w:lang w:val="fr-CH"/>
        </w:rPr>
      </w:pPr>
      <w:r>
        <w:rPr>
          <w:i w:val="0"/>
          <w:lang w:val="fr-CH"/>
        </w:rPr>
        <w:t>Une pesée des intérêts en présence a été effectuée à chaque niveau</w:t>
      </w:r>
      <w:r w:rsidR="49F97252" w:rsidRPr="00572D0C">
        <w:rPr>
          <w:i w:val="0"/>
          <w:lang w:val="fr-CH"/>
        </w:rPr>
        <w:t xml:space="preserve">. </w:t>
      </w:r>
    </w:p>
    <w:p w14:paraId="36F77C52" w14:textId="2288AFB9" w:rsidR="002D19D5" w:rsidRDefault="0002761B" w:rsidP="49F97252">
      <w:pPr>
        <w:pStyle w:val="Listenabsatz"/>
        <w:ind w:left="851"/>
        <w:rPr>
          <w:i w:val="0"/>
          <w:lang w:val="fr-CH"/>
        </w:rPr>
      </w:pPr>
      <w:r>
        <w:rPr>
          <w:i w:val="0"/>
          <w:lang w:val="fr-CH"/>
        </w:rPr>
        <w:lastRenderedPageBreak/>
        <w:t xml:space="preserve">Pour soustraire ou renoncer à indiquer une surface, il est nécessaire </w:t>
      </w:r>
      <w:r w:rsidR="49F97252" w:rsidRPr="00572D0C">
        <w:rPr>
          <w:i w:val="0"/>
          <w:lang w:val="fr-CH"/>
        </w:rPr>
        <w:t xml:space="preserve">– </w:t>
      </w:r>
      <w:r>
        <w:rPr>
          <w:i w:val="0"/>
          <w:lang w:val="fr-CH"/>
        </w:rPr>
        <w:t>au terme de la pesée des intérêts en présence</w:t>
      </w:r>
      <w:r w:rsidR="49F97252" w:rsidRPr="00572D0C">
        <w:rPr>
          <w:i w:val="0"/>
          <w:lang w:val="fr-CH"/>
        </w:rPr>
        <w:t xml:space="preserve"> – </w:t>
      </w:r>
      <w:r w:rsidR="003B55F9">
        <w:rPr>
          <w:i w:val="0"/>
          <w:lang w:val="fr-CH"/>
        </w:rPr>
        <w:t>d’indiquer simultanément dans le plan directeur cantonal le projet ou le territoire d’urbanisation ou de développement des constructions</w:t>
      </w:r>
      <w:r w:rsidR="49F97252" w:rsidRPr="00572D0C">
        <w:rPr>
          <w:i w:val="0"/>
          <w:lang w:val="fr-CH"/>
        </w:rPr>
        <w:t>.</w:t>
      </w:r>
      <w:r w:rsidR="003B55F9">
        <w:rPr>
          <w:i w:val="0"/>
          <w:lang w:val="fr-CH"/>
        </w:rPr>
        <w:t xml:space="preserve"> Dans de tels cas, une information transparente sur le déroulement de la procédure de coordination et de la pesée des intérêts en présence à tous les niveaux sera présentée sous la forme d’un rapport explicatif à </w:t>
      </w:r>
      <w:r w:rsidR="00493F61">
        <w:rPr>
          <w:i w:val="0"/>
          <w:lang w:val="fr-CH"/>
        </w:rPr>
        <w:t xml:space="preserve">l’intention </w:t>
      </w:r>
      <w:r w:rsidR="003B55F9">
        <w:rPr>
          <w:i w:val="0"/>
          <w:lang w:val="fr-CH"/>
        </w:rPr>
        <w:t>des autorités fédérales chargées de l’examen et de l’approbation du plan directeur cantonal.</w:t>
      </w:r>
      <w:r w:rsidR="49F97252" w:rsidRPr="00572D0C">
        <w:rPr>
          <w:i w:val="0"/>
          <w:lang w:val="fr-CH"/>
        </w:rPr>
        <w:t xml:space="preserve"> </w:t>
      </w:r>
    </w:p>
    <w:p w14:paraId="6C24E8F3" w14:textId="7A603EFD" w:rsidR="004D0E07" w:rsidRPr="00572D0C" w:rsidRDefault="002C0C2B" w:rsidP="49F97252">
      <w:pPr>
        <w:pStyle w:val="Listenabsatz"/>
        <w:ind w:left="851"/>
        <w:rPr>
          <w:i w:val="0"/>
          <w:lang w:val="fr-CH"/>
        </w:rPr>
      </w:pPr>
      <w:r>
        <w:rPr>
          <w:i w:val="0"/>
          <w:lang w:val="fr-CH"/>
        </w:rPr>
        <w:t>Po</w:t>
      </w:r>
      <w:r w:rsidR="002D19D5">
        <w:rPr>
          <w:i w:val="0"/>
          <w:lang w:val="fr-CH"/>
        </w:rPr>
        <w:t xml:space="preserve">ur les sites de développement de l’urbanisation, il est possible de renoncer à indiquer une surface </w:t>
      </w:r>
      <w:r w:rsidR="00493F61">
        <w:rPr>
          <w:i w:val="0"/>
          <w:lang w:val="fr-CH"/>
        </w:rPr>
        <w:t>qu’à la condition supplémentaire suivante</w:t>
      </w:r>
      <w:r w:rsidR="002D19D5">
        <w:rPr>
          <w:i w:val="0"/>
          <w:lang w:val="fr-CH"/>
        </w:rPr>
        <w:t xml:space="preserve"> : la carte du plan directeur doit indiquer </w:t>
      </w:r>
      <w:r>
        <w:rPr>
          <w:i w:val="0"/>
          <w:lang w:val="fr-CH"/>
        </w:rPr>
        <w:t>le</w:t>
      </w:r>
      <w:r w:rsidR="002D19D5">
        <w:rPr>
          <w:i w:val="0"/>
          <w:lang w:val="fr-CH"/>
        </w:rPr>
        <w:t xml:space="preserve"> périmètre stricte</w:t>
      </w:r>
      <w:r>
        <w:rPr>
          <w:i w:val="0"/>
          <w:lang w:val="fr-CH"/>
        </w:rPr>
        <w:t>m</w:t>
      </w:r>
      <w:r w:rsidR="002D19D5">
        <w:rPr>
          <w:i w:val="0"/>
          <w:lang w:val="fr-CH"/>
        </w:rPr>
        <w:t xml:space="preserve">ent délimité </w:t>
      </w:r>
      <w:r>
        <w:rPr>
          <w:i w:val="0"/>
          <w:lang w:val="fr-CH"/>
        </w:rPr>
        <w:t>du développement des constructions (variante A du Complément au guide de la planification directrice de mars 2014).</w:t>
      </w:r>
      <w:r w:rsidR="49F97252" w:rsidRPr="00572D0C">
        <w:rPr>
          <w:i w:val="0"/>
          <w:lang w:val="fr-CH"/>
        </w:rPr>
        <w:t xml:space="preserve"> </w:t>
      </w:r>
    </w:p>
    <w:p w14:paraId="452F16E7" w14:textId="064AED64" w:rsidR="003D6A3B" w:rsidRPr="00572D0C" w:rsidRDefault="003B55F9" w:rsidP="49F97252">
      <w:pPr>
        <w:pStyle w:val="Listenabsatz"/>
        <w:numPr>
          <w:ilvl w:val="0"/>
          <w:numId w:val="25"/>
        </w:numPr>
        <w:ind w:left="851" w:hanging="426"/>
        <w:rPr>
          <w:i w:val="0"/>
          <w:lang w:val="fr-CH"/>
        </w:rPr>
      </w:pPr>
      <w:r>
        <w:rPr>
          <w:i w:val="0"/>
          <w:lang w:val="fr-CH"/>
        </w:rPr>
        <w:t xml:space="preserve">Le plan directeur contient des </w:t>
      </w:r>
      <w:r w:rsidR="007D24C1">
        <w:rPr>
          <w:i w:val="0"/>
          <w:lang w:val="fr-CH"/>
        </w:rPr>
        <w:t>prescriptions pour</w:t>
      </w:r>
      <w:r>
        <w:rPr>
          <w:i w:val="0"/>
          <w:lang w:val="fr-CH"/>
        </w:rPr>
        <w:t xml:space="preserve"> la protection d</w:t>
      </w:r>
      <w:r w:rsidR="002C0C2B">
        <w:rPr>
          <w:i w:val="0"/>
          <w:lang w:val="fr-CH"/>
        </w:rPr>
        <w:t xml:space="preserve">u contingent cantonal et l’utilisation parcimonieuse </w:t>
      </w:r>
      <w:r w:rsidR="00411F05">
        <w:rPr>
          <w:i w:val="0"/>
          <w:lang w:val="fr-CH"/>
        </w:rPr>
        <w:t xml:space="preserve">des autres </w:t>
      </w:r>
      <w:r>
        <w:rPr>
          <w:i w:val="0"/>
          <w:lang w:val="fr-CH"/>
        </w:rPr>
        <w:t>SDA</w:t>
      </w:r>
      <w:r w:rsidR="002C0C2B">
        <w:rPr>
          <w:i w:val="0"/>
          <w:lang w:val="fr-CH"/>
        </w:rPr>
        <w:t xml:space="preserve"> inventoriées</w:t>
      </w:r>
      <w:r>
        <w:rPr>
          <w:i w:val="0"/>
          <w:lang w:val="fr-CH"/>
        </w:rPr>
        <w:t>.</w:t>
      </w:r>
      <w:r w:rsidR="49F97252" w:rsidRPr="00572D0C">
        <w:rPr>
          <w:i w:val="0"/>
          <w:lang w:val="fr-CH"/>
        </w:rPr>
        <w:t xml:space="preserve"> </w:t>
      </w:r>
    </w:p>
    <w:p w14:paraId="30870ACB" w14:textId="7C00D844" w:rsidR="001159DD" w:rsidRPr="003F1EDB" w:rsidRDefault="002C0C2B" w:rsidP="00C2065D">
      <w:pPr>
        <w:pStyle w:val="Listenabsatz"/>
        <w:numPr>
          <w:ilvl w:val="0"/>
          <w:numId w:val="25"/>
        </w:numPr>
        <w:ind w:left="851" w:hanging="426"/>
        <w:rPr>
          <w:i w:val="0"/>
          <w:lang w:val="fr-CH"/>
        </w:rPr>
      </w:pPr>
      <w:r>
        <w:rPr>
          <w:i w:val="0"/>
          <w:lang w:val="fr-CH"/>
        </w:rPr>
        <w:t>L’i</w:t>
      </w:r>
      <w:r w:rsidR="003B55F9">
        <w:rPr>
          <w:i w:val="0"/>
          <w:lang w:val="fr-CH"/>
        </w:rPr>
        <w:t xml:space="preserve">nventaire réactualisé et </w:t>
      </w:r>
      <w:r>
        <w:rPr>
          <w:i w:val="0"/>
          <w:lang w:val="fr-CH"/>
        </w:rPr>
        <w:t xml:space="preserve">exhaustif </w:t>
      </w:r>
      <w:r w:rsidR="003B55F9">
        <w:rPr>
          <w:i w:val="0"/>
          <w:lang w:val="fr-CH"/>
        </w:rPr>
        <w:t xml:space="preserve">des SDA </w:t>
      </w:r>
      <w:r>
        <w:rPr>
          <w:i w:val="0"/>
          <w:lang w:val="fr-CH"/>
        </w:rPr>
        <w:t>(</w:t>
      </w:r>
      <w:r w:rsidR="003B55F9">
        <w:rPr>
          <w:i w:val="0"/>
          <w:lang w:val="fr-CH"/>
        </w:rPr>
        <w:t>géodonnées</w:t>
      </w:r>
      <w:r w:rsidR="147A5F7B" w:rsidRPr="00572D0C">
        <w:rPr>
          <w:i w:val="0"/>
          <w:lang w:val="fr-CH"/>
        </w:rPr>
        <w:t xml:space="preserve"> </w:t>
      </w:r>
      <w:r w:rsidR="00411F05">
        <w:rPr>
          <w:i w:val="0"/>
          <w:lang w:val="fr-CH"/>
        </w:rPr>
        <w:t>selon le</w:t>
      </w:r>
      <w:r w:rsidR="003B55F9">
        <w:rPr>
          <w:i w:val="0"/>
          <w:lang w:val="fr-CH"/>
        </w:rPr>
        <w:t xml:space="preserve"> modèle minimal de géodonnées</w:t>
      </w:r>
      <w:r w:rsidR="157C4677" w:rsidRPr="00572D0C">
        <w:rPr>
          <w:i w:val="0"/>
          <w:lang w:val="fr-CH"/>
        </w:rPr>
        <w:t xml:space="preserve">) </w:t>
      </w:r>
      <w:r>
        <w:rPr>
          <w:i w:val="0"/>
          <w:lang w:val="fr-CH"/>
        </w:rPr>
        <w:t>est publié sur l’infrastructure d’agrégation et les caract</w:t>
      </w:r>
      <w:r w:rsidR="00D03353">
        <w:rPr>
          <w:i w:val="0"/>
          <w:lang w:val="fr-CH"/>
        </w:rPr>
        <w:t>é</w:t>
      </w:r>
      <w:r>
        <w:rPr>
          <w:i w:val="0"/>
          <w:lang w:val="fr-CH"/>
        </w:rPr>
        <w:t>ristiques qualitatives des SDA de l’inventaire ont été</w:t>
      </w:r>
      <w:r w:rsidR="00D03353">
        <w:rPr>
          <w:i w:val="0"/>
          <w:lang w:val="fr-CH"/>
        </w:rPr>
        <w:t xml:space="preserve"> transmis</w:t>
      </w:r>
      <w:r>
        <w:rPr>
          <w:i w:val="0"/>
          <w:lang w:val="fr-CH"/>
        </w:rPr>
        <w:t xml:space="preserve">es à l’ARE qui les a </w:t>
      </w:r>
      <w:r w:rsidR="00D03353">
        <w:rPr>
          <w:i w:val="0"/>
          <w:lang w:val="fr-CH"/>
        </w:rPr>
        <w:t>accepté</w:t>
      </w:r>
      <w:r>
        <w:rPr>
          <w:i w:val="0"/>
          <w:lang w:val="fr-CH"/>
        </w:rPr>
        <w:t>es</w:t>
      </w:r>
      <w:r w:rsidR="147A5F7B" w:rsidRPr="00572D0C">
        <w:rPr>
          <w:i w:val="0"/>
          <w:lang w:val="fr-CH"/>
        </w:rPr>
        <w:t xml:space="preserve">. </w:t>
      </w:r>
    </w:p>
    <w:p w14:paraId="62EDC0A6" w14:textId="1F6002C6" w:rsidR="003B7307" w:rsidRPr="00572D0C" w:rsidRDefault="00FF1133" w:rsidP="003B7307">
      <w:pPr>
        <w:pStyle w:val="Listenabsatz"/>
        <w:numPr>
          <w:ilvl w:val="0"/>
          <w:numId w:val="29"/>
        </w:numPr>
        <w:shd w:val="clear" w:color="auto" w:fill="D9D9D9" w:themeFill="background1" w:themeFillShade="D9"/>
        <w:spacing w:before="240"/>
        <w:ind w:left="426" w:hanging="426"/>
        <w:rPr>
          <w:b/>
          <w:bCs/>
          <w:i w:val="0"/>
          <w:lang w:val="fr-CH"/>
        </w:rPr>
      </w:pPr>
      <w:bookmarkStart w:id="93" w:name="_Ref527035245"/>
      <w:r>
        <w:rPr>
          <w:b/>
          <w:bCs/>
          <w:i w:val="0"/>
          <w:lang w:val="fr-CH"/>
        </w:rPr>
        <w:t>Les</w:t>
      </w:r>
      <w:r w:rsidR="00D03353">
        <w:rPr>
          <w:b/>
          <w:bCs/>
          <w:i w:val="0"/>
          <w:lang w:val="fr-CH"/>
        </w:rPr>
        <w:t xml:space="preserve"> SDA </w:t>
      </w:r>
      <w:r>
        <w:rPr>
          <w:b/>
          <w:bCs/>
          <w:i w:val="0"/>
          <w:lang w:val="fr-CH"/>
        </w:rPr>
        <w:t xml:space="preserve">doivent être exploitées </w:t>
      </w:r>
      <w:r w:rsidR="00D03353">
        <w:rPr>
          <w:b/>
          <w:bCs/>
          <w:i w:val="0"/>
          <w:lang w:val="fr-CH"/>
        </w:rPr>
        <w:t>de</w:t>
      </w:r>
      <w:r>
        <w:rPr>
          <w:b/>
          <w:bCs/>
          <w:i w:val="0"/>
          <w:lang w:val="fr-CH"/>
        </w:rPr>
        <w:t xml:space="preserve"> manière à</w:t>
      </w:r>
      <w:r w:rsidR="00D03353">
        <w:rPr>
          <w:b/>
          <w:bCs/>
          <w:i w:val="0"/>
          <w:lang w:val="fr-CH"/>
        </w:rPr>
        <w:t xml:space="preserve"> préserver durablement la qualité des sols</w:t>
      </w:r>
      <w:r w:rsidR="003B7307" w:rsidRPr="00572D0C">
        <w:rPr>
          <w:b/>
          <w:bCs/>
          <w:i w:val="0"/>
          <w:lang w:val="fr-CH"/>
        </w:rPr>
        <w:t>.</w:t>
      </w:r>
      <w:bookmarkEnd w:id="93"/>
      <w:r w:rsidR="003B7307" w:rsidRPr="00572D0C">
        <w:rPr>
          <w:b/>
          <w:bCs/>
          <w:i w:val="0"/>
          <w:lang w:val="fr-CH"/>
        </w:rPr>
        <w:t xml:space="preserve"> </w:t>
      </w:r>
    </w:p>
    <w:p w14:paraId="6668CE6F" w14:textId="7B0DC62A" w:rsidR="008C45F5" w:rsidRPr="00572D0C" w:rsidRDefault="006E6B3C" w:rsidP="00507407">
      <w:pPr>
        <w:rPr>
          <w:lang w:val="fr-CH"/>
        </w:rPr>
      </w:pPr>
      <w:r>
        <w:rPr>
          <w:lang w:val="fr-CH"/>
        </w:rPr>
        <w:t xml:space="preserve">Les SDA ne </w:t>
      </w:r>
      <w:r w:rsidR="002C0C2B">
        <w:rPr>
          <w:lang w:val="fr-CH"/>
        </w:rPr>
        <w:t>permettront d’</w:t>
      </w:r>
      <w:r w:rsidR="00D84FC2">
        <w:rPr>
          <w:lang w:val="fr-CH"/>
        </w:rPr>
        <w:t xml:space="preserve">atteindre le but visé </w:t>
      </w:r>
      <w:r>
        <w:rPr>
          <w:lang w:val="fr-CH"/>
        </w:rPr>
        <w:t xml:space="preserve">que si leur potentiel de production agricole est garanti à long terme. </w:t>
      </w:r>
      <w:r w:rsidR="00D84FC2">
        <w:rPr>
          <w:lang w:val="fr-CH"/>
        </w:rPr>
        <w:t>Cela nécessite l</w:t>
      </w:r>
      <w:r>
        <w:rPr>
          <w:lang w:val="fr-CH"/>
        </w:rPr>
        <w:t>a préservation de la qualité des sols</w:t>
      </w:r>
      <w:r w:rsidR="147A5F7B" w:rsidRPr="00572D0C">
        <w:rPr>
          <w:lang w:val="fr-CH"/>
        </w:rPr>
        <w:t xml:space="preserve">. </w:t>
      </w:r>
      <w:r w:rsidR="00A76C6A">
        <w:rPr>
          <w:lang w:val="fr-CH"/>
        </w:rPr>
        <w:t xml:space="preserve">Chaque utilisation </w:t>
      </w:r>
      <w:r w:rsidR="00D84FC2">
        <w:rPr>
          <w:lang w:val="fr-CH"/>
        </w:rPr>
        <w:t>de SDA doit</w:t>
      </w:r>
      <w:r w:rsidR="00A76C6A">
        <w:rPr>
          <w:lang w:val="fr-CH"/>
        </w:rPr>
        <w:t xml:space="preserve"> se faire</w:t>
      </w:r>
      <w:r w:rsidR="00D84FC2">
        <w:rPr>
          <w:lang w:val="fr-CH"/>
        </w:rPr>
        <w:t xml:space="preserve"> </w:t>
      </w:r>
      <w:r w:rsidR="00A76C6A">
        <w:rPr>
          <w:lang w:val="fr-CH"/>
        </w:rPr>
        <w:t>de façon à maintenir</w:t>
      </w:r>
      <w:r w:rsidR="00D84FC2">
        <w:rPr>
          <w:lang w:val="fr-CH"/>
        </w:rPr>
        <w:t xml:space="preserve"> la fertilité des sols. Cette </w:t>
      </w:r>
      <w:r w:rsidR="00A76C6A">
        <w:rPr>
          <w:lang w:val="fr-CH"/>
        </w:rPr>
        <w:t xml:space="preserve">condition s’applique </w:t>
      </w:r>
      <w:r w:rsidR="00D84FC2">
        <w:rPr>
          <w:lang w:val="fr-CH"/>
        </w:rPr>
        <w:t xml:space="preserve">également </w:t>
      </w:r>
      <w:r w:rsidR="00A76C6A">
        <w:rPr>
          <w:lang w:val="fr-CH"/>
        </w:rPr>
        <w:t>à des</w:t>
      </w:r>
      <w:r w:rsidR="00D84FC2">
        <w:rPr>
          <w:lang w:val="fr-CH"/>
        </w:rPr>
        <w:t xml:space="preserve"> utilisations spéciales, en principe possibles, </w:t>
      </w:r>
      <w:r w:rsidR="00A76C6A">
        <w:rPr>
          <w:lang w:val="fr-CH"/>
        </w:rPr>
        <w:t xml:space="preserve">sur </w:t>
      </w:r>
      <w:r w:rsidR="00D84FC2">
        <w:rPr>
          <w:lang w:val="fr-CH"/>
        </w:rPr>
        <w:t>des SDA, notamment les terrains de golf, les cultures pérennes</w:t>
      </w:r>
      <w:r w:rsidR="147A5F7B" w:rsidRPr="00572D0C">
        <w:rPr>
          <w:lang w:val="fr-CH"/>
        </w:rPr>
        <w:t xml:space="preserve"> (</w:t>
      </w:r>
      <w:r w:rsidR="00D84FC2">
        <w:rPr>
          <w:lang w:val="fr-CH"/>
        </w:rPr>
        <w:t xml:space="preserve">cf. explications relatives à </w:t>
      </w:r>
      <w:r w:rsidR="008A6E1C" w:rsidRPr="00572D0C">
        <w:rPr>
          <w:lang w:val="fr-CH"/>
        </w:rPr>
        <w:fldChar w:fldCharType="begin"/>
      </w:r>
      <w:r w:rsidR="008A6E1C" w:rsidRPr="00572D0C">
        <w:rPr>
          <w:lang w:val="fr-CH"/>
        </w:rPr>
        <w:instrText xml:space="preserve"> REF _Ref527034993 \r \h </w:instrText>
      </w:r>
      <w:r w:rsidR="008A6E1C" w:rsidRPr="00572D0C">
        <w:rPr>
          <w:lang w:val="fr-CH"/>
        </w:rPr>
      </w:r>
      <w:r w:rsidR="008A6E1C" w:rsidRPr="00572D0C">
        <w:rPr>
          <w:lang w:val="fr-CH"/>
        </w:rPr>
        <w:fldChar w:fldCharType="separate"/>
      </w:r>
      <w:r w:rsidR="00A65A9C">
        <w:rPr>
          <w:lang w:val="fr-CH"/>
        </w:rPr>
        <w:t>P16</w:t>
      </w:r>
      <w:r w:rsidR="008A6E1C" w:rsidRPr="00572D0C">
        <w:rPr>
          <w:lang w:val="fr-CH"/>
        </w:rPr>
        <w:fldChar w:fldCharType="end"/>
      </w:r>
      <w:r w:rsidR="147A5F7B" w:rsidRPr="00572D0C">
        <w:rPr>
          <w:lang w:val="fr-CH"/>
        </w:rPr>
        <w:t>)</w:t>
      </w:r>
      <w:r w:rsidR="00D84FC2">
        <w:rPr>
          <w:lang w:val="fr-CH"/>
        </w:rPr>
        <w:t>.</w:t>
      </w:r>
    </w:p>
    <w:p w14:paraId="5698240C" w14:textId="45B73445" w:rsidR="007C648F" w:rsidRPr="00572D0C" w:rsidRDefault="00D84FC2" w:rsidP="007C648F">
      <w:pPr>
        <w:rPr>
          <w:lang w:val="fr-CH"/>
        </w:rPr>
      </w:pPr>
      <w:r>
        <w:rPr>
          <w:lang w:val="fr-CH"/>
        </w:rPr>
        <w:t xml:space="preserve">Selon une étude mandatée par l’OFEV, </w:t>
      </w:r>
      <w:r w:rsidR="007F11D8">
        <w:rPr>
          <w:lang w:val="fr-CH"/>
        </w:rPr>
        <w:t>la protection des sols souffre d’un déficit de mise en œuvre considérable</w:t>
      </w:r>
      <w:r w:rsidR="002E3E2B" w:rsidRPr="00572D0C">
        <w:rPr>
          <w:rStyle w:val="Funotenzeichen"/>
          <w:lang w:val="fr-CH"/>
        </w:rPr>
        <w:footnoteReference w:id="21"/>
      </w:r>
      <w:r w:rsidR="00207C9B" w:rsidRPr="00572D0C">
        <w:rPr>
          <w:lang w:val="fr-CH"/>
        </w:rPr>
        <w:t xml:space="preserve">. </w:t>
      </w:r>
      <w:r w:rsidR="007F11D8">
        <w:rPr>
          <w:lang w:val="fr-CH"/>
        </w:rPr>
        <w:t xml:space="preserve">Pour préserver la qualité des SDA, il faudrait appliquer et </w:t>
      </w:r>
      <w:r w:rsidR="00A76C6A">
        <w:rPr>
          <w:lang w:val="fr-CH"/>
        </w:rPr>
        <w:t>exécuter</w:t>
      </w:r>
      <w:r w:rsidR="007F11D8">
        <w:rPr>
          <w:lang w:val="fr-CH"/>
        </w:rPr>
        <w:t xml:space="preserve"> de manière conséquente les prescriptions </w:t>
      </w:r>
      <w:r w:rsidR="00A76C6A">
        <w:rPr>
          <w:lang w:val="fr-CH"/>
        </w:rPr>
        <w:t xml:space="preserve">légales </w:t>
      </w:r>
      <w:r w:rsidR="007F11D8">
        <w:rPr>
          <w:lang w:val="fr-CH"/>
        </w:rPr>
        <w:t>en matière de protection des sols. Sont explicitement mentionnées dans le plan sectoriel l’ordonnance du 1</w:t>
      </w:r>
      <w:r w:rsidR="007F11D8" w:rsidRPr="007F11D8">
        <w:rPr>
          <w:vertAlign w:val="superscript"/>
          <w:lang w:val="fr-CH"/>
        </w:rPr>
        <w:t>er</w:t>
      </w:r>
      <w:r w:rsidR="007F11D8">
        <w:rPr>
          <w:lang w:val="fr-CH"/>
        </w:rPr>
        <w:t xml:space="preserve"> juillet 1998 sur les atteintes portées au sol </w:t>
      </w:r>
      <w:r w:rsidR="00A84E53" w:rsidRPr="00572D0C">
        <w:rPr>
          <w:lang w:val="fr-CH"/>
        </w:rPr>
        <w:t>(</w:t>
      </w:r>
      <w:r w:rsidR="007F11D8">
        <w:rPr>
          <w:lang w:val="fr-CH"/>
        </w:rPr>
        <w:t>OSol</w:t>
      </w:r>
      <w:r w:rsidR="00760F70">
        <w:rPr>
          <w:lang w:val="fr-CH"/>
        </w:rPr>
        <w:t> ; RS 814.12</w:t>
      </w:r>
      <w:r w:rsidR="00A84E53" w:rsidRPr="00572D0C">
        <w:rPr>
          <w:lang w:val="fr-CH"/>
        </w:rPr>
        <w:t>) (</w:t>
      </w:r>
      <w:r w:rsidR="007F11D8">
        <w:rPr>
          <w:lang w:val="fr-CH"/>
        </w:rPr>
        <w:t xml:space="preserve">état </w:t>
      </w:r>
      <w:r w:rsidR="001D41B5">
        <w:rPr>
          <w:lang w:val="fr-CH"/>
        </w:rPr>
        <w:t xml:space="preserve">le </w:t>
      </w:r>
      <w:r w:rsidR="007F11D8">
        <w:rPr>
          <w:lang w:val="fr-CH"/>
        </w:rPr>
        <w:t>12 avril</w:t>
      </w:r>
      <w:r w:rsidR="00760F70">
        <w:rPr>
          <w:lang w:val="fr-CH"/>
        </w:rPr>
        <w:t xml:space="preserve"> 2016) et l’ordonnance du 23 octobre 2013 sur les paiements directs versés dans l’agriculture (OPD ; RS 910.13).</w:t>
      </w:r>
      <w:r w:rsidR="00A84E53" w:rsidRPr="00572D0C">
        <w:rPr>
          <w:lang w:val="fr-CH"/>
        </w:rPr>
        <w:t xml:space="preserve"> </w:t>
      </w:r>
      <w:r w:rsidR="007F11D8">
        <w:rPr>
          <w:lang w:val="fr-CH"/>
        </w:rPr>
        <w:t xml:space="preserve">L’OSol </w:t>
      </w:r>
      <w:r w:rsidR="00137599">
        <w:rPr>
          <w:lang w:val="fr-CH"/>
        </w:rPr>
        <w:t xml:space="preserve">règle notamment la prévention des compactions et de l‘érosion du sol </w:t>
      </w:r>
      <w:r w:rsidR="008C45F5" w:rsidRPr="00572D0C">
        <w:rPr>
          <w:lang w:val="fr-CH"/>
        </w:rPr>
        <w:t>(</w:t>
      </w:r>
      <w:r w:rsidR="00137599">
        <w:rPr>
          <w:lang w:val="fr-CH"/>
        </w:rPr>
        <w:t>a</w:t>
      </w:r>
      <w:r w:rsidR="008C45F5" w:rsidRPr="00572D0C">
        <w:rPr>
          <w:lang w:val="fr-CH"/>
        </w:rPr>
        <w:t>rt. 6)</w:t>
      </w:r>
      <w:r w:rsidR="00137599">
        <w:rPr>
          <w:lang w:val="fr-CH"/>
        </w:rPr>
        <w:t>, le maniement des matériaux terreux issus du décapage du sol</w:t>
      </w:r>
      <w:r w:rsidR="008C45F5" w:rsidRPr="00572D0C">
        <w:rPr>
          <w:lang w:val="fr-CH"/>
        </w:rPr>
        <w:t xml:space="preserve"> (</w:t>
      </w:r>
      <w:r w:rsidR="00137599">
        <w:rPr>
          <w:lang w:val="fr-CH"/>
        </w:rPr>
        <w:t>a</w:t>
      </w:r>
      <w:r w:rsidR="008C45F5" w:rsidRPr="00572D0C">
        <w:rPr>
          <w:lang w:val="fr-CH"/>
        </w:rPr>
        <w:t>rt. 7)</w:t>
      </w:r>
      <w:r w:rsidR="00603127" w:rsidRPr="00572D0C">
        <w:rPr>
          <w:lang w:val="fr-CH"/>
        </w:rPr>
        <w:t xml:space="preserve"> </w:t>
      </w:r>
      <w:r w:rsidR="00137599">
        <w:rPr>
          <w:lang w:val="fr-CH"/>
        </w:rPr>
        <w:t>et la p</w:t>
      </w:r>
      <w:r w:rsidR="00603127" w:rsidRPr="00572D0C">
        <w:rPr>
          <w:lang w:val="fr-CH"/>
        </w:rPr>
        <w:t>r</w:t>
      </w:r>
      <w:r w:rsidR="00137599">
        <w:rPr>
          <w:lang w:val="fr-CH"/>
        </w:rPr>
        <w:t xml:space="preserve">otection des sols </w:t>
      </w:r>
      <w:r w:rsidR="007644D7">
        <w:rPr>
          <w:lang w:val="fr-CH"/>
        </w:rPr>
        <w:t>contre les émissions de polluants</w:t>
      </w:r>
      <w:r w:rsidR="00137599">
        <w:rPr>
          <w:lang w:val="fr-CH"/>
        </w:rPr>
        <w:t xml:space="preserve"> </w:t>
      </w:r>
      <w:r w:rsidR="00603127" w:rsidRPr="00572D0C">
        <w:rPr>
          <w:lang w:val="fr-CH"/>
        </w:rPr>
        <w:t>(</w:t>
      </w:r>
      <w:r w:rsidR="00137599">
        <w:rPr>
          <w:lang w:val="fr-CH"/>
        </w:rPr>
        <w:t>a</w:t>
      </w:r>
      <w:r w:rsidR="00603127" w:rsidRPr="00572D0C">
        <w:rPr>
          <w:lang w:val="fr-CH"/>
        </w:rPr>
        <w:t>rt</w:t>
      </w:r>
      <w:r w:rsidR="00137599">
        <w:rPr>
          <w:lang w:val="fr-CH"/>
        </w:rPr>
        <w:t>.</w:t>
      </w:r>
      <w:r w:rsidR="00603127" w:rsidRPr="00572D0C">
        <w:rPr>
          <w:lang w:val="fr-CH"/>
        </w:rPr>
        <w:t xml:space="preserve"> 8</w:t>
      </w:r>
      <w:r w:rsidR="00137599">
        <w:rPr>
          <w:lang w:val="fr-CH"/>
        </w:rPr>
        <w:t xml:space="preserve"> à </w:t>
      </w:r>
      <w:r w:rsidR="00603127" w:rsidRPr="00572D0C">
        <w:rPr>
          <w:lang w:val="fr-CH"/>
        </w:rPr>
        <w:t>10)</w:t>
      </w:r>
      <w:r w:rsidR="008C45F5" w:rsidRPr="00572D0C">
        <w:rPr>
          <w:lang w:val="fr-CH"/>
        </w:rPr>
        <w:t>.</w:t>
      </w:r>
      <w:r w:rsidR="00A84E53" w:rsidRPr="00572D0C">
        <w:rPr>
          <w:lang w:val="fr-CH"/>
        </w:rPr>
        <w:t xml:space="preserve"> </w:t>
      </w:r>
      <w:r w:rsidR="00137599">
        <w:rPr>
          <w:lang w:val="fr-CH"/>
        </w:rPr>
        <w:t>L’OPD énonce les exigences</w:t>
      </w:r>
      <w:r w:rsidR="008C45F5" w:rsidRPr="00572D0C">
        <w:rPr>
          <w:lang w:val="fr-CH"/>
        </w:rPr>
        <w:t xml:space="preserve"> </w:t>
      </w:r>
      <w:r w:rsidR="00137599">
        <w:rPr>
          <w:lang w:val="fr-CH"/>
        </w:rPr>
        <w:t xml:space="preserve">relatives aux prestations écologiques requises et notamment les mesures de protection du sol </w:t>
      </w:r>
      <w:r w:rsidR="008C45F5" w:rsidRPr="00572D0C">
        <w:rPr>
          <w:lang w:val="fr-CH"/>
        </w:rPr>
        <w:t>(</w:t>
      </w:r>
      <w:r w:rsidR="00137599">
        <w:rPr>
          <w:lang w:val="fr-CH"/>
        </w:rPr>
        <w:t>a</w:t>
      </w:r>
      <w:r w:rsidR="008C45F5" w:rsidRPr="00572D0C">
        <w:rPr>
          <w:lang w:val="fr-CH"/>
        </w:rPr>
        <w:t>rt.17)</w:t>
      </w:r>
      <w:r w:rsidR="007644D7">
        <w:rPr>
          <w:lang w:val="fr-CH"/>
        </w:rPr>
        <w:t>, qui conditionnent</w:t>
      </w:r>
      <w:r w:rsidR="00137599">
        <w:rPr>
          <w:lang w:val="fr-CH"/>
        </w:rPr>
        <w:t xml:space="preserve"> le versement de paiements directs</w:t>
      </w:r>
      <w:r w:rsidR="007644D7">
        <w:rPr>
          <w:lang w:val="fr-CH"/>
        </w:rPr>
        <w:t xml:space="preserve"> aux agriculteurs</w:t>
      </w:r>
      <w:r w:rsidR="008C45F5" w:rsidRPr="00572D0C">
        <w:rPr>
          <w:lang w:val="fr-CH"/>
        </w:rPr>
        <w:t>.</w:t>
      </w:r>
      <w:r w:rsidR="002A0AC3" w:rsidRPr="00572D0C">
        <w:rPr>
          <w:lang w:val="fr-CH"/>
        </w:rPr>
        <w:t xml:space="preserve"> </w:t>
      </w:r>
      <w:r w:rsidR="00137599">
        <w:rPr>
          <w:lang w:val="fr-CH"/>
        </w:rPr>
        <w:t xml:space="preserve">Des </w:t>
      </w:r>
      <w:r w:rsidR="0065365D">
        <w:rPr>
          <w:lang w:val="fr-CH"/>
        </w:rPr>
        <w:t>dispositions</w:t>
      </w:r>
      <w:r w:rsidR="00137599">
        <w:rPr>
          <w:lang w:val="fr-CH"/>
        </w:rPr>
        <w:t xml:space="preserve"> sur la protection qualitative du sol sont également prévues dans la loi </w:t>
      </w:r>
      <w:r w:rsidR="00760F70">
        <w:rPr>
          <w:lang w:val="fr-CH"/>
        </w:rPr>
        <w:t xml:space="preserve">du 24 janvier 1991 </w:t>
      </w:r>
      <w:r w:rsidR="00137599">
        <w:rPr>
          <w:lang w:val="fr-CH"/>
        </w:rPr>
        <w:t xml:space="preserve">sur la protection des eaux </w:t>
      </w:r>
      <w:r w:rsidR="00760F70">
        <w:rPr>
          <w:lang w:val="fr-CH"/>
        </w:rPr>
        <w:t>(LEaux ; RS</w:t>
      </w:r>
      <w:r w:rsidR="007644D7">
        <w:rPr>
          <w:lang w:val="fr-CH"/>
        </w:rPr>
        <w:t xml:space="preserve"> </w:t>
      </w:r>
      <w:r w:rsidR="00760F70">
        <w:rPr>
          <w:lang w:val="fr-CH"/>
        </w:rPr>
        <w:t xml:space="preserve">814.2) </w:t>
      </w:r>
      <w:r w:rsidR="00137599">
        <w:rPr>
          <w:lang w:val="fr-CH"/>
        </w:rPr>
        <w:t xml:space="preserve">et la loi </w:t>
      </w:r>
      <w:r w:rsidR="00760F70">
        <w:rPr>
          <w:lang w:val="fr-CH"/>
        </w:rPr>
        <w:t xml:space="preserve">du 29 avril 1998 </w:t>
      </w:r>
      <w:r w:rsidR="00137599">
        <w:rPr>
          <w:lang w:val="fr-CH"/>
        </w:rPr>
        <w:t>sur l’agriculture</w:t>
      </w:r>
      <w:r w:rsidR="00760F70">
        <w:rPr>
          <w:lang w:val="fr-CH"/>
        </w:rPr>
        <w:t xml:space="preserve"> (LAgr ; RS 910.1)</w:t>
      </w:r>
      <w:r w:rsidR="00137599">
        <w:rPr>
          <w:lang w:val="fr-CH"/>
        </w:rPr>
        <w:t xml:space="preserve">. Cette dernière </w:t>
      </w:r>
      <w:r w:rsidR="0065365D">
        <w:rPr>
          <w:lang w:val="fr-CH"/>
        </w:rPr>
        <w:t xml:space="preserve">contient la base légale nécessaire à la promotion de modes de production ménageant les sols et de mesures de protection des sols par des instruments de politique </w:t>
      </w:r>
      <w:r w:rsidR="007644D7">
        <w:rPr>
          <w:lang w:val="fr-CH"/>
        </w:rPr>
        <w:t>agricole</w:t>
      </w:r>
      <w:r w:rsidR="0065365D">
        <w:rPr>
          <w:lang w:val="fr-CH"/>
        </w:rPr>
        <w:t>.</w:t>
      </w:r>
    </w:p>
    <w:p w14:paraId="7288C064" w14:textId="3053AA19" w:rsidR="00507407" w:rsidRDefault="00F4795A" w:rsidP="00C2065D">
      <w:pPr>
        <w:rPr>
          <w:lang w:val="fr-CH"/>
        </w:rPr>
      </w:pPr>
      <w:r>
        <w:rPr>
          <w:lang w:val="fr-CH"/>
        </w:rPr>
        <w:t>Des</w:t>
      </w:r>
      <w:r w:rsidR="0065365D">
        <w:rPr>
          <w:lang w:val="fr-CH"/>
        </w:rPr>
        <w:t xml:space="preserve"> fiches techniques pratiques</w:t>
      </w:r>
      <w:r w:rsidR="147A5F7B" w:rsidRPr="00572D0C">
        <w:rPr>
          <w:lang w:val="fr-CH"/>
        </w:rPr>
        <w:t xml:space="preserve">, </w:t>
      </w:r>
      <w:r>
        <w:rPr>
          <w:lang w:val="fr-CH"/>
        </w:rPr>
        <w:t>des guides de planification</w:t>
      </w:r>
      <w:r w:rsidR="008A0D8C">
        <w:rPr>
          <w:lang w:val="fr-CH"/>
        </w:rPr>
        <w:t xml:space="preserve"> spécifiques</w:t>
      </w:r>
      <w:r>
        <w:rPr>
          <w:lang w:val="fr-CH"/>
        </w:rPr>
        <w:t xml:space="preserve"> </w:t>
      </w:r>
      <w:r w:rsidR="008A0D8C">
        <w:rPr>
          <w:lang w:val="fr-CH"/>
        </w:rPr>
        <w:t>à l’installation à l’intention des responsables</w:t>
      </w:r>
      <w:r>
        <w:rPr>
          <w:lang w:val="fr-CH"/>
        </w:rPr>
        <w:t xml:space="preserve"> de projet</w:t>
      </w:r>
      <w:r w:rsidR="008A0D8C">
        <w:rPr>
          <w:lang w:val="fr-CH"/>
        </w:rPr>
        <w:t>s</w:t>
      </w:r>
      <w:r>
        <w:rPr>
          <w:lang w:val="fr-CH"/>
        </w:rPr>
        <w:t xml:space="preserve">, </w:t>
      </w:r>
      <w:r w:rsidR="147A5F7B" w:rsidRPr="00572D0C">
        <w:rPr>
          <w:lang w:val="fr-CH"/>
        </w:rPr>
        <w:t>etc.</w:t>
      </w:r>
      <w:r>
        <w:rPr>
          <w:lang w:val="fr-CH"/>
        </w:rPr>
        <w:t xml:space="preserve"> apportent une contribution importante à la bonne application des bases juridiques existantes</w:t>
      </w:r>
      <w:r w:rsidR="147A5F7B" w:rsidRPr="00572D0C">
        <w:rPr>
          <w:lang w:val="fr-CH"/>
        </w:rPr>
        <w:t xml:space="preserve">. </w:t>
      </w:r>
      <w:r>
        <w:rPr>
          <w:lang w:val="fr-CH"/>
        </w:rPr>
        <w:t>L’OFEV met à disposition des aides à l’exécution, par exemple pour la protection des sols dans le domaine de l’agriculture</w:t>
      </w:r>
      <w:r w:rsidR="147A5F7B" w:rsidRPr="00572D0C">
        <w:rPr>
          <w:lang w:val="fr-CH"/>
        </w:rPr>
        <w:t xml:space="preserve">. </w:t>
      </w:r>
      <w:r w:rsidR="157C4677" w:rsidRPr="00572D0C">
        <w:rPr>
          <w:lang w:val="fr-CH"/>
        </w:rPr>
        <w:t xml:space="preserve"> </w:t>
      </w:r>
    </w:p>
    <w:p w14:paraId="14B14951" w14:textId="77777777" w:rsidR="00C23D4D" w:rsidRPr="00572D0C" w:rsidRDefault="00C23D4D" w:rsidP="00C2065D">
      <w:pPr>
        <w:rPr>
          <w:lang w:val="fr-CH"/>
        </w:rPr>
      </w:pPr>
    </w:p>
    <w:p w14:paraId="235D91DC" w14:textId="17B1D1F2" w:rsidR="009F039E" w:rsidRPr="002313E3" w:rsidRDefault="009F039E" w:rsidP="00501D1D">
      <w:pPr>
        <w:pStyle w:val="berschrift2"/>
        <w:rPr>
          <w:lang w:val="fr-CH"/>
        </w:rPr>
      </w:pPr>
      <w:bookmarkStart w:id="94" w:name="_Toc531102184"/>
      <w:bookmarkStart w:id="95" w:name="_Toc531103702"/>
      <w:bookmarkStart w:id="96" w:name="_Toc523813322"/>
      <w:bookmarkStart w:id="97" w:name="_Toc525022622"/>
      <w:bookmarkStart w:id="98" w:name="_Toc526946712"/>
      <w:bookmarkStart w:id="99" w:name="_Toc531193004"/>
      <w:bookmarkStart w:id="100" w:name="_Toc532996286"/>
      <w:r w:rsidRPr="002313E3">
        <w:rPr>
          <w:lang w:val="fr-CH"/>
        </w:rPr>
        <w:lastRenderedPageBreak/>
        <w:t xml:space="preserve">Inventaires des SDA, </w:t>
      </w:r>
      <w:bookmarkEnd w:id="94"/>
      <w:bookmarkEnd w:id="95"/>
      <w:r w:rsidRPr="002313E3">
        <w:rPr>
          <w:lang w:val="fr-CH"/>
        </w:rPr>
        <w:t>relevés et critères de qualité des SDA</w:t>
      </w:r>
      <w:bookmarkEnd w:id="100"/>
    </w:p>
    <w:bookmarkEnd w:id="96"/>
    <w:bookmarkEnd w:id="97"/>
    <w:bookmarkEnd w:id="98"/>
    <w:bookmarkEnd w:id="99"/>
    <w:p w14:paraId="08B39B58" w14:textId="29543C56" w:rsidR="003B7307" w:rsidRPr="00572D0C" w:rsidRDefault="00F4795A" w:rsidP="003B7307">
      <w:pPr>
        <w:pStyle w:val="Listenabsatz"/>
        <w:numPr>
          <w:ilvl w:val="0"/>
          <w:numId w:val="29"/>
        </w:numPr>
        <w:shd w:val="clear" w:color="auto" w:fill="D9D9D9" w:themeFill="background1" w:themeFillShade="D9"/>
        <w:spacing w:before="240"/>
        <w:ind w:left="426" w:hanging="426"/>
        <w:rPr>
          <w:b/>
          <w:bCs/>
          <w:i w:val="0"/>
          <w:lang w:val="fr-CH"/>
        </w:rPr>
      </w:pPr>
      <w:r>
        <w:rPr>
          <w:b/>
          <w:bCs/>
          <w:i w:val="0"/>
          <w:lang w:val="fr-CH"/>
        </w:rPr>
        <w:t>Les ca</w:t>
      </w:r>
      <w:r w:rsidR="003B7307" w:rsidRPr="00572D0C">
        <w:rPr>
          <w:b/>
          <w:bCs/>
          <w:i w:val="0"/>
          <w:lang w:val="fr-CH"/>
        </w:rPr>
        <w:t>n</w:t>
      </w:r>
      <w:r>
        <w:rPr>
          <w:b/>
          <w:bCs/>
          <w:i w:val="0"/>
          <w:lang w:val="fr-CH"/>
        </w:rPr>
        <w:t>tons sont tenus de répertorier dans leur inventaire des SDA tous les sols de qualité SDA</w:t>
      </w:r>
      <w:r w:rsidR="003B7307" w:rsidRPr="00572D0C">
        <w:rPr>
          <w:b/>
          <w:bCs/>
          <w:i w:val="0"/>
          <w:lang w:val="fr-CH"/>
        </w:rPr>
        <w:t xml:space="preserve">. </w:t>
      </w:r>
    </w:p>
    <w:p w14:paraId="1FD1C420" w14:textId="234B7D68" w:rsidR="001C39E9" w:rsidRPr="00572D0C" w:rsidRDefault="004B278D" w:rsidP="009B66FE">
      <w:pPr>
        <w:rPr>
          <w:lang w:val="fr-CH"/>
        </w:rPr>
      </w:pPr>
      <w:r>
        <w:rPr>
          <w:lang w:val="fr-CH"/>
        </w:rPr>
        <w:t xml:space="preserve">L’intégration de tous les sols de qualité SDA dans </w:t>
      </w:r>
      <w:r w:rsidR="00253528">
        <w:rPr>
          <w:lang w:val="fr-CH"/>
        </w:rPr>
        <w:t>les inventaires cantonau</w:t>
      </w:r>
      <w:r w:rsidR="00212063">
        <w:rPr>
          <w:lang w:val="fr-CH"/>
        </w:rPr>
        <w:t>x</w:t>
      </w:r>
      <w:r>
        <w:rPr>
          <w:lang w:val="fr-CH"/>
        </w:rPr>
        <w:t xml:space="preserve"> garantit leur préservation dans le domaine de l’aménagement du territoire et accroît leur protection par rapport aux autres surfaces agricoles</w:t>
      </w:r>
      <w:r w:rsidR="157C4677" w:rsidRPr="00572D0C">
        <w:rPr>
          <w:lang w:val="fr-CH"/>
        </w:rPr>
        <w:t xml:space="preserve"> (</w:t>
      </w:r>
      <w:r>
        <w:rPr>
          <w:lang w:val="fr-CH"/>
        </w:rPr>
        <w:t xml:space="preserve">cf. notamment </w:t>
      </w:r>
      <w:r w:rsidR="008A0D8C">
        <w:rPr>
          <w:lang w:val="fr-CH"/>
        </w:rPr>
        <w:t>a</w:t>
      </w:r>
      <w:r w:rsidR="008A0D8C" w:rsidRPr="00572D0C">
        <w:rPr>
          <w:rFonts w:eastAsia="Arial" w:cs="Arial"/>
          <w:lang w:val="fr-CH"/>
        </w:rPr>
        <w:t>rt</w:t>
      </w:r>
      <w:r w:rsidR="008A0D8C">
        <w:rPr>
          <w:rFonts w:eastAsia="Arial" w:cs="Arial"/>
          <w:lang w:val="fr-CH"/>
        </w:rPr>
        <w:t>.</w:t>
      </w:r>
      <w:r w:rsidR="008A0D8C" w:rsidRPr="00572D0C">
        <w:rPr>
          <w:rFonts w:eastAsia="Arial" w:cs="Arial"/>
          <w:lang w:val="fr-CH"/>
        </w:rPr>
        <w:t xml:space="preserve"> </w:t>
      </w:r>
      <w:r w:rsidR="157C4677" w:rsidRPr="00572D0C">
        <w:rPr>
          <w:rFonts w:eastAsia="Arial" w:cs="Arial"/>
          <w:lang w:val="fr-CH"/>
        </w:rPr>
        <w:t>3</w:t>
      </w:r>
      <w:r w:rsidR="00760F70">
        <w:rPr>
          <w:rFonts w:eastAsia="Arial" w:cs="Arial"/>
          <w:lang w:val="fr-CH"/>
        </w:rPr>
        <w:t>,</w:t>
      </w:r>
      <w:r w:rsidR="157C4677" w:rsidRPr="00572D0C">
        <w:rPr>
          <w:rFonts w:eastAsia="Arial" w:cs="Arial"/>
          <w:lang w:val="fr-CH"/>
        </w:rPr>
        <w:t xml:space="preserve"> </w:t>
      </w:r>
      <w:r w:rsidR="008A0D8C">
        <w:rPr>
          <w:rFonts w:eastAsia="Arial" w:cs="Arial"/>
          <w:lang w:val="fr-CH"/>
        </w:rPr>
        <w:t>al.</w:t>
      </w:r>
      <w:r w:rsidR="008A0D8C" w:rsidRPr="00572D0C">
        <w:rPr>
          <w:rFonts w:eastAsia="Arial" w:cs="Arial"/>
          <w:lang w:val="fr-CH"/>
        </w:rPr>
        <w:t xml:space="preserve"> </w:t>
      </w:r>
      <w:r w:rsidR="157C4677" w:rsidRPr="00572D0C">
        <w:rPr>
          <w:rFonts w:eastAsia="Arial" w:cs="Arial"/>
          <w:lang w:val="fr-CH"/>
        </w:rPr>
        <w:t>2</w:t>
      </w:r>
      <w:r w:rsidR="008A0D8C">
        <w:rPr>
          <w:rFonts w:eastAsia="Arial" w:cs="Arial"/>
          <w:lang w:val="fr-CH"/>
        </w:rPr>
        <w:t>,</w:t>
      </w:r>
      <w:r w:rsidR="157C4677" w:rsidRPr="00572D0C">
        <w:rPr>
          <w:rFonts w:eastAsia="Arial" w:cs="Arial"/>
          <w:lang w:val="fr-CH"/>
        </w:rPr>
        <w:t xml:space="preserve"> </w:t>
      </w:r>
      <w:r w:rsidR="008A0D8C">
        <w:rPr>
          <w:rFonts w:eastAsia="Arial" w:cs="Arial"/>
          <w:lang w:val="fr-CH"/>
        </w:rPr>
        <w:t>le</w:t>
      </w:r>
      <w:r w:rsidR="008A0D8C" w:rsidRPr="00572D0C">
        <w:rPr>
          <w:rFonts w:eastAsia="Arial" w:cs="Arial"/>
          <w:lang w:val="fr-CH"/>
        </w:rPr>
        <w:t>t</w:t>
      </w:r>
      <w:r w:rsidR="008A0D8C">
        <w:rPr>
          <w:rFonts w:eastAsia="Arial" w:cs="Arial"/>
          <w:lang w:val="fr-CH"/>
        </w:rPr>
        <w:t>.</w:t>
      </w:r>
      <w:r w:rsidR="008A0D8C" w:rsidRPr="00572D0C">
        <w:rPr>
          <w:rFonts w:eastAsia="Arial" w:cs="Arial"/>
          <w:lang w:val="fr-CH"/>
        </w:rPr>
        <w:t xml:space="preserve"> </w:t>
      </w:r>
      <w:r w:rsidR="157C4677" w:rsidRPr="00572D0C">
        <w:rPr>
          <w:rFonts w:eastAsia="Arial" w:cs="Arial"/>
          <w:lang w:val="fr-CH"/>
        </w:rPr>
        <w:t xml:space="preserve">a </w:t>
      </w:r>
      <w:r>
        <w:rPr>
          <w:rFonts w:eastAsia="Arial" w:cs="Arial"/>
          <w:lang w:val="fr-CH"/>
        </w:rPr>
        <w:t xml:space="preserve">et </w:t>
      </w:r>
      <w:r w:rsidR="008A0D8C">
        <w:rPr>
          <w:rFonts w:eastAsia="Arial" w:cs="Arial"/>
          <w:lang w:val="fr-CH"/>
        </w:rPr>
        <w:t>a</w:t>
      </w:r>
      <w:r w:rsidR="008A0D8C" w:rsidRPr="00572D0C">
        <w:rPr>
          <w:rFonts w:eastAsia="Arial" w:cs="Arial"/>
          <w:lang w:val="fr-CH"/>
        </w:rPr>
        <w:t>rt</w:t>
      </w:r>
      <w:r w:rsidR="008A0D8C">
        <w:rPr>
          <w:rFonts w:eastAsia="Arial" w:cs="Arial"/>
          <w:lang w:val="fr-CH"/>
        </w:rPr>
        <w:t>.</w:t>
      </w:r>
      <w:r w:rsidR="008A0D8C" w:rsidRPr="00572D0C">
        <w:rPr>
          <w:rFonts w:eastAsia="Arial" w:cs="Arial"/>
          <w:lang w:val="fr-CH"/>
        </w:rPr>
        <w:t xml:space="preserve"> </w:t>
      </w:r>
      <w:r w:rsidR="157C4677" w:rsidRPr="00572D0C">
        <w:rPr>
          <w:rFonts w:eastAsia="Arial" w:cs="Arial"/>
          <w:lang w:val="fr-CH"/>
        </w:rPr>
        <w:t>15</w:t>
      </w:r>
      <w:r w:rsidR="00760F70">
        <w:rPr>
          <w:rFonts w:eastAsia="Arial" w:cs="Arial"/>
          <w:lang w:val="fr-CH"/>
        </w:rPr>
        <w:t>,</w:t>
      </w:r>
      <w:r w:rsidR="157C4677" w:rsidRPr="00572D0C">
        <w:rPr>
          <w:rFonts w:eastAsia="Arial" w:cs="Arial"/>
          <w:lang w:val="fr-CH"/>
        </w:rPr>
        <w:t xml:space="preserve"> </w:t>
      </w:r>
      <w:r w:rsidR="008A0D8C">
        <w:rPr>
          <w:rFonts w:eastAsia="Arial" w:cs="Arial"/>
          <w:lang w:val="fr-CH"/>
        </w:rPr>
        <w:t>al.</w:t>
      </w:r>
      <w:r w:rsidR="008A0D8C" w:rsidRPr="00572D0C">
        <w:rPr>
          <w:rFonts w:eastAsia="Arial" w:cs="Arial"/>
          <w:lang w:val="fr-CH"/>
        </w:rPr>
        <w:t xml:space="preserve"> </w:t>
      </w:r>
      <w:r w:rsidR="157C4677" w:rsidRPr="00572D0C">
        <w:rPr>
          <w:rFonts w:eastAsia="Arial" w:cs="Arial"/>
          <w:lang w:val="fr-CH"/>
        </w:rPr>
        <w:t>3</w:t>
      </w:r>
      <w:r w:rsidR="008A0D8C">
        <w:rPr>
          <w:rFonts w:eastAsia="Arial" w:cs="Arial"/>
          <w:lang w:val="fr-CH"/>
        </w:rPr>
        <w:t>,</w:t>
      </w:r>
      <w:r w:rsidR="157C4677" w:rsidRPr="00572D0C">
        <w:rPr>
          <w:rFonts w:eastAsia="Arial" w:cs="Arial"/>
          <w:lang w:val="fr-CH"/>
        </w:rPr>
        <w:t xml:space="preserve"> </w:t>
      </w:r>
      <w:r w:rsidR="00212063">
        <w:rPr>
          <w:rFonts w:eastAsia="Arial" w:cs="Arial"/>
          <w:lang w:val="fr-CH"/>
        </w:rPr>
        <w:t>L</w:t>
      </w:r>
      <w:r>
        <w:rPr>
          <w:rFonts w:eastAsia="Arial" w:cs="Arial"/>
          <w:lang w:val="fr-CH"/>
        </w:rPr>
        <w:t>AT</w:t>
      </w:r>
      <w:r w:rsidR="00212063">
        <w:rPr>
          <w:rFonts w:eastAsia="Arial" w:cs="Arial"/>
          <w:lang w:val="fr-CH"/>
        </w:rPr>
        <w:t xml:space="preserve">, </w:t>
      </w:r>
      <w:r w:rsidR="00A8304D">
        <w:rPr>
          <w:rFonts w:eastAsia="Arial" w:cs="Arial"/>
          <w:lang w:val="fr-CH"/>
        </w:rPr>
        <w:t>a</w:t>
      </w:r>
      <w:r w:rsidR="00A8304D" w:rsidRPr="00572D0C">
        <w:rPr>
          <w:rFonts w:eastAsia="Arial" w:cs="Arial"/>
          <w:lang w:val="fr-CH"/>
        </w:rPr>
        <w:t>rt</w:t>
      </w:r>
      <w:r w:rsidR="00A8304D">
        <w:rPr>
          <w:rFonts w:eastAsia="Arial" w:cs="Arial"/>
          <w:lang w:val="fr-CH"/>
        </w:rPr>
        <w:t>.</w:t>
      </w:r>
      <w:r w:rsidR="00A8304D" w:rsidRPr="00572D0C">
        <w:rPr>
          <w:rFonts w:eastAsia="Arial" w:cs="Arial"/>
          <w:lang w:val="fr-CH"/>
        </w:rPr>
        <w:t xml:space="preserve"> </w:t>
      </w:r>
      <w:r w:rsidR="157C4677" w:rsidRPr="00572D0C">
        <w:rPr>
          <w:rFonts w:eastAsia="Arial" w:cs="Arial"/>
          <w:lang w:val="fr-CH"/>
        </w:rPr>
        <w:t>26</w:t>
      </w:r>
      <w:r w:rsidR="00677484">
        <w:rPr>
          <w:rFonts w:eastAsia="Arial" w:cs="Arial"/>
          <w:lang w:val="fr-CH"/>
        </w:rPr>
        <w:t xml:space="preserve"> et</w:t>
      </w:r>
      <w:r w:rsidR="157C4677" w:rsidRPr="00572D0C">
        <w:rPr>
          <w:rFonts w:eastAsia="Arial" w:cs="Arial"/>
          <w:lang w:val="fr-CH"/>
        </w:rPr>
        <w:t xml:space="preserve"> </w:t>
      </w:r>
      <w:r w:rsidR="00A8304D">
        <w:rPr>
          <w:rFonts w:eastAsia="Arial" w:cs="Arial"/>
          <w:lang w:val="fr-CH"/>
        </w:rPr>
        <w:t>s</w:t>
      </w:r>
      <w:r>
        <w:rPr>
          <w:rFonts w:eastAsia="Arial" w:cs="Arial"/>
          <w:lang w:val="fr-CH"/>
        </w:rPr>
        <w:t>s OAT</w:t>
      </w:r>
      <w:r w:rsidR="157C4677" w:rsidRPr="00572D0C">
        <w:rPr>
          <w:rFonts w:eastAsia="Arial" w:cs="Arial"/>
          <w:lang w:val="fr-CH"/>
        </w:rPr>
        <w:t xml:space="preserve"> </w:t>
      </w:r>
      <w:r w:rsidR="00212063">
        <w:rPr>
          <w:rFonts w:eastAsia="Arial" w:cs="Arial"/>
          <w:lang w:val="fr-CH"/>
        </w:rPr>
        <w:t xml:space="preserve">et </w:t>
      </w:r>
      <w:r w:rsidR="00A8304D">
        <w:rPr>
          <w:rFonts w:eastAsia="Arial" w:cs="Arial"/>
          <w:lang w:val="fr-CH"/>
        </w:rPr>
        <w:t>a</w:t>
      </w:r>
      <w:r w:rsidR="00A8304D" w:rsidRPr="00572D0C">
        <w:rPr>
          <w:rFonts w:eastAsia="Arial" w:cs="Arial"/>
          <w:lang w:val="fr-CH"/>
        </w:rPr>
        <w:t>rt</w:t>
      </w:r>
      <w:r w:rsidR="00A8304D">
        <w:rPr>
          <w:rFonts w:eastAsia="Arial" w:cs="Arial"/>
          <w:lang w:val="fr-CH"/>
        </w:rPr>
        <w:t>.</w:t>
      </w:r>
      <w:r w:rsidR="00A8304D" w:rsidRPr="00572D0C">
        <w:rPr>
          <w:rFonts w:eastAsia="Arial" w:cs="Arial"/>
          <w:lang w:val="fr-CH"/>
        </w:rPr>
        <w:t xml:space="preserve"> </w:t>
      </w:r>
      <w:r w:rsidR="157C4677" w:rsidRPr="00572D0C">
        <w:rPr>
          <w:rFonts w:eastAsia="Arial" w:cs="Arial"/>
          <w:lang w:val="fr-CH"/>
        </w:rPr>
        <w:t>30 L</w:t>
      </w:r>
      <w:r>
        <w:rPr>
          <w:rFonts w:eastAsia="Arial" w:cs="Arial"/>
          <w:lang w:val="fr-CH"/>
        </w:rPr>
        <w:t>AP</w:t>
      </w:r>
      <w:r w:rsidR="157C4677" w:rsidRPr="00572D0C">
        <w:rPr>
          <w:rFonts w:eastAsia="Arial" w:cs="Arial"/>
          <w:lang w:val="fr-CH"/>
        </w:rPr>
        <w:t>)</w:t>
      </w:r>
      <w:r w:rsidR="157C4677" w:rsidRPr="00572D0C">
        <w:rPr>
          <w:lang w:val="fr-CH"/>
        </w:rPr>
        <w:t xml:space="preserve">. </w:t>
      </w:r>
      <w:r w:rsidR="00212063">
        <w:rPr>
          <w:lang w:val="fr-CH"/>
        </w:rPr>
        <w:t>Le recours à des sols de qualité SDA n’est possible qu’au terme d’une pesée des intérêts en présence</w:t>
      </w:r>
      <w:r w:rsidR="00A8304D">
        <w:rPr>
          <w:lang w:val="fr-CH"/>
        </w:rPr>
        <w:t>,</w:t>
      </w:r>
      <w:r w:rsidR="00212063">
        <w:rPr>
          <w:lang w:val="fr-CH"/>
        </w:rPr>
        <w:t xml:space="preserve"> </w:t>
      </w:r>
      <w:r w:rsidR="00A8304D">
        <w:rPr>
          <w:lang w:val="fr-CH"/>
        </w:rPr>
        <w:t xml:space="preserve">tenant compte en particulier de </w:t>
      </w:r>
      <w:r w:rsidR="00212063">
        <w:rPr>
          <w:lang w:val="fr-CH"/>
        </w:rPr>
        <w:t>l’a</w:t>
      </w:r>
      <w:r w:rsidR="147A5F7B" w:rsidRPr="00572D0C">
        <w:rPr>
          <w:lang w:val="fr-CH"/>
        </w:rPr>
        <w:t>rt</w:t>
      </w:r>
      <w:r w:rsidR="00760F70">
        <w:rPr>
          <w:lang w:val="fr-CH"/>
        </w:rPr>
        <w:t>icle</w:t>
      </w:r>
      <w:r w:rsidR="147A5F7B" w:rsidRPr="00572D0C">
        <w:rPr>
          <w:lang w:val="fr-CH"/>
        </w:rPr>
        <w:t xml:space="preserve"> 30 </w:t>
      </w:r>
      <w:r w:rsidR="00212063">
        <w:rPr>
          <w:lang w:val="fr-CH"/>
        </w:rPr>
        <w:t>OAT</w:t>
      </w:r>
      <w:r w:rsidR="147A5F7B" w:rsidRPr="00572D0C">
        <w:rPr>
          <w:lang w:val="fr-CH"/>
        </w:rPr>
        <w:t xml:space="preserve">. </w:t>
      </w:r>
    </w:p>
    <w:p w14:paraId="1844ADD0" w14:textId="7A4E9C70" w:rsidR="00615BEC" w:rsidRDefault="00212063" w:rsidP="009B66FE">
      <w:pPr>
        <w:rPr>
          <w:lang w:val="fr-CH"/>
        </w:rPr>
      </w:pPr>
      <w:r>
        <w:rPr>
          <w:lang w:val="fr-CH"/>
        </w:rPr>
        <w:t>Les SDA situées en zone à bâtir ont déjà fait l’objet d’une pesée des intérêts</w:t>
      </w:r>
      <w:r w:rsidR="147A5F7B" w:rsidRPr="00572D0C">
        <w:rPr>
          <w:lang w:val="fr-CH"/>
        </w:rPr>
        <w:t xml:space="preserve"> – </w:t>
      </w:r>
      <w:r>
        <w:rPr>
          <w:lang w:val="fr-CH"/>
        </w:rPr>
        <w:t>au terme de laquelle une décision a été prise quant à l’autorisation de les utiliser</w:t>
      </w:r>
      <w:r w:rsidR="147A5F7B" w:rsidRPr="00572D0C">
        <w:rPr>
          <w:lang w:val="fr-CH"/>
        </w:rPr>
        <w:t>.</w:t>
      </w:r>
      <w:r w:rsidR="00760F70">
        <w:rPr>
          <w:lang w:val="fr-CH"/>
        </w:rPr>
        <w:t xml:space="preserve"> Elles doivent néanmoins</w:t>
      </w:r>
      <w:r w:rsidR="00276454">
        <w:rPr>
          <w:lang w:val="fr-CH"/>
        </w:rPr>
        <w:t xml:space="preserve"> </w:t>
      </w:r>
      <w:r w:rsidR="00206A74">
        <w:rPr>
          <w:lang w:val="fr-CH"/>
        </w:rPr>
        <w:t>continuer à figurer</w:t>
      </w:r>
      <w:r w:rsidR="00276454">
        <w:rPr>
          <w:lang w:val="fr-CH"/>
        </w:rPr>
        <w:t xml:space="preserve"> dans l’inventaire jusqu’à leur utilisation définitive</w:t>
      </w:r>
      <w:r w:rsidR="00206A74">
        <w:rPr>
          <w:lang w:val="fr-CH"/>
        </w:rPr>
        <w:t>.</w:t>
      </w:r>
      <w:r w:rsidR="00276454">
        <w:rPr>
          <w:lang w:val="fr-CH"/>
        </w:rPr>
        <w:t xml:space="preserve"> </w:t>
      </w:r>
      <w:r w:rsidR="00206A74">
        <w:rPr>
          <w:lang w:val="fr-CH"/>
        </w:rPr>
        <w:t>Elles doivent cependant être</w:t>
      </w:r>
      <w:r w:rsidR="00276454">
        <w:rPr>
          <w:lang w:val="fr-CH"/>
        </w:rPr>
        <w:t xml:space="preserve"> désignées de manière spécifique </w:t>
      </w:r>
      <w:r w:rsidR="00206A74">
        <w:rPr>
          <w:lang w:val="fr-CH"/>
        </w:rPr>
        <w:t>et ne peuvent être comptabilisées</w:t>
      </w:r>
      <w:r w:rsidR="00276454">
        <w:rPr>
          <w:lang w:val="fr-CH"/>
        </w:rPr>
        <w:t xml:space="preserve"> dans l’inventaire cantonal</w:t>
      </w:r>
      <w:r w:rsidR="147A5F7B" w:rsidRPr="00572D0C">
        <w:rPr>
          <w:lang w:val="fr-CH"/>
        </w:rPr>
        <w:t>.</w:t>
      </w:r>
    </w:p>
    <w:p w14:paraId="4B91DCCC" w14:textId="1BB2DBC6" w:rsidR="004A271A" w:rsidRPr="00572D0C" w:rsidRDefault="00206A74" w:rsidP="009B66FE">
      <w:pPr>
        <w:rPr>
          <w:lang w:val="fr-CH"/>
        </w:rPr>
      </w:pPr>
      <w:r>
        <w:rPr>
          <w:lang w:val="fr-CH"/>
        </w:rPr>
        <w:t>Jusqu’à ce que des données pédologiques fiables soient disponibles</w:t>
      </w:r>
      <w:r w:rsidR="00F907E7">
        <w:rPr>
          <w:lang w:val="fr-CH"/>
        </w:rPr>
        <w:t>,</w:t>
      </w:r>
      <w:r w:rsidR="00F907E7" w:rsidRPr="00572D0C">
        <w:rPr>
          <w:lang w:val="fr-CH"/>
        </w:rPr>
        <w:t xml:space="preserve"> </w:t>
      </w:r>
      <w:r w:rsidR="00F907E7">
        <w:rPr>
          <w:lang w:val="fr-CH"/>
        </w:rPr>
        <w:t>les relevés achevés en</w:t>
      </w:r>
      <w:r w:rsidR="00F907E7" w:rsidRPr="00572D0C">
        <w:rPr>
          <w:lang w:val="fr-CH"/>
        </w:rPr>
        <w:t xml:space="preserve"> 1988 </w:t>
      </w:r>
      <w:r w:rsidR="00F907E7">
        <w:rPr>
          <w:lang w:val="fr-CH"/>
        </w:rPr>
        <w:t>ne sont pas remis en question et les surfaces qualifiées de SDA en</w:t>
      </w:r>
      <w:r w:rsidR="00F907E7" w:rsidRPr="00572D0C">
        <w:rPr>
          <w:lang w:val="fr-CH"/>
        </w:rPr>
        <w:t xml:space="preserve"> 1988 </w:t>
      </w:r>
      <w:r w:rsidR="00F907E7">
        <w:rPr>
          <w:lang w:val="fr-CH"/>
        </w:rPr>
        <w:t>et répertoriées dans les inventaires continuent d’être considérées comme des SDA</w:t>
      </w:r>
      <w:r w:rsidR="00F907E7" w:rsidRPr="00572D0C">
        <w:rPr>
          <w:lang w:val="fr-CH"/>
        </w:rPr>
        <w:t xml:space="preserve">. </w:t>
      </w:r>
      <w:r w:rsidR="00F907E7">
        <w:rPr>
          <w:lang w:val="fr-CH"/>
        </w:rPr>
        <w:t xml:space="preserve">Les cantons sont toutefois tenus de fonder leurs inventaires sur des informations du sol fiables, c’est-à-dire de cartographier leurs sols selon l’état actuel de la technique, soit selon la méthode </w:t>
      </w:r>
      <w:r w:rsidR="00F907E7" w:rsidRPr="00572D0C">
        <w:rPr>
          <w:lang w:val="fr-CH"/>
        </w:rPr>
        <w:t>FAL 24+</w:t>
      </w:r>
      <w:r w:rsidR="00F907E7">
        <w:rPr>
          <w:lang w:val="fr-CH"/>
        </w:rPr>
        <w:t xml:space="preserve"> et de délimiter leurs SDA en se conformant aux critères de qualité définis dans le </w:t>
      </w:r>
      <w:r w:rsidR="005A3CAA">
        <w:rPr>
          <w:lang w:val="fr-CH"/>
        </w:rPr>
        <w:t>P</w:t>
      </w:r>
      <w:r w:rsidR="00F907E7">
        <w:rPr>
          <w:lang w:val="fr-CH"/>
        </w:rPr>
        <w:t>lan sectoriel.</w:t>
      </w:r>
      <w:r w:rsidR="00F907E7" w:rsidRPr="00572D0C">
        <w:rPr>
          <w:lang w:val="fr-CH"/>
        </w:rPr>
        <w:t xml:space="preserve"> </w:t>
      </w:r>
      <w:r w:rsidR="00F907E7">
        <w:rPr>
          <w:lang w:val="fr-CH"/>
        </w:rPr>
        <w:t xml:space="preserve">Les nouvelles cartographies et les relevés de SDA </w:t>
      </w:r>
      <w:r>
        <w:rPr>
          <w:lang w:val="fr-CH"/>
        </w:rPr>
        <w:t>à partir de celles-ci</w:t>
      </w:r>
      <w:r w:rsidR="00F907E7">
        <w:rPr>
          <w:lang w:val="fr-CH"/>
        </w:rPr>
        <w:t xml:space="preserve"> ont montré qu’il est en principe possible de respecter les contingents</w:t>
      </w:r>
      <w:r>
        <w:rPr>
          <w:lang w:val="fr-CH"/>
        </w:rPr>
        <w:t>,</w:t>
      </w:r>
      <w:r w:rsidR="00F907E7">
        <w:rPr>
          <w:lang w:val="fr-CH"/>
        </w:rPr>
        <w:t xml:space="preserve"> mais que les surfaces </w:t>
      </w:r>
      <w:r>
        <w:rPr>
          <w:lang w:val="fr-CH"/>
        </w:rPr>
        <w:t>se situent en partie à</w:t>
      </w:r>
      <w:r w:rsidR="00F907E7">
        <w:rPr>
          <w:lang w:val="fr-CH"/>
        </w:rPr>
        <w:t xml:space="preserve"> des endroits différents. Des explications complémentaires sur l’état actuel des inventaires sont présentées au chapitre 2.1.</w:t>
      </w:r>
    </w:p>
    <w:p w14:paraId="3044C95F" w14:textId="73179AF7" w:rsidR="00A52EE2" w:rsidRPr="00572D0C" w:rsidRDefault="00F4795A" w:rsidP="003B7307">
      <w:pPr>
        <w:pStyle w:val="Listenabsatz"/>
        <w:numPr>
          <w:ilvl w:val="0"/>
          <w:numId w:val="29"/>
        </w:numPr>
        <w:shd w:val="clear" w:color="auto" w:fill="D9D9D9" w:themeFill="background1" w:themeFillShade="D9"/>
        <w:spacing w:before="240"/>
        <w:ind w:left="426" w:hanging="426"/>
        <w:rPr>
          <w:b/>
          <w:i w:val="0"/>
          <w:lang w:val="fr-CH"/>
        </w:rPr>
      </w:pPr>
      <w:bookmarkStart w:id="101" w:name="_Ref532995786"/>
      <w:r>
        <w:rPr>
          <w:b/>
          <w:bCs/>
          <w:i w:val="0"/>
          <w:lang w:val="fr-CH"/>
        </w:rPr>
        <w:t xml:space="preserve">Les </w:t>
      </w:r>
      <w:r w:rsidR="00F907E7">
        <w:rPr>
          <w:b/>
          <w:bCs/>
          <w:i w:val="0"/>
          <w:lang w:val="fr-CH"/>
        </w:rPr>
        <w:t xml:space="preserve">inventaires des </w:t>
      </w:r>
      <w:r>
        <w:rPr>
          <w:b/>
          <w:bCs/>
          <w:i w:val="0"/>
          <w:lang w:val="fr-CH"/>
        </w:rPr>
        <w:t xml:space="preserve">SDA doivent être </w:t>
      </w:r>
      <w:r w:rsidR="00206A74">
        <w:rPr>
          <w:b/>
          <w:bCs/>
          <w:i w:val="0"/>
          <w:lang w:val="fr-CH"/>
        </w:rPr>
        <w:t xml:space="preserve">établis </w:t>
      </w:r>
      <w:r w:rsidR="00F907E7">
        <w:rPr>
          <w:b/>
          <w:bCs/>
          <w:i w:val="0"/>
          <w:lang w:val="fr-CH"/>
        </w:rPr>
        <w:t xml:space="preserve">et épurés </w:t>
      </w:r>
      <w:r>
        <w:rPr>
          <w:b/>
          <w:bCs/>
          <w:i w:val="0"/>
          <w:lang w:val="fr-CH"/>
        </w:rPr>
        <w:t>sur la base de données pédologiques fiables</w:t>
      </w:r>
      <w:r w:rsidR="003B7307" w:rsidRPr="00572D0C">
        <w:rPr>
          <w:b/>
          <w:bCs/>
          <w:i w:val="0"/>
          <w:lang w:val="fr-CH"/>
        </w:rPr>
        <w:t>.</w:t>
      </w:r>
      <w:bookmarkEnd w:id="101"/>
      <w:r w:rsidR="003B7307" w:rsidRPr="00572D0C">
        <w:rPr>
          <w:b/>
          <w:bCs/>
          <w:i w:val="0"/>
          <w:lang w:val="fr-CH"/>
        </w:rPr>
        <w:t xml:space="preserve"> </w:t>
      </w:r>
    </w:p>
    <w:p w14:paraId="575AA2FD" w14:textId="72436752" w:rsidR="003A01DF" w:rsidRPr="00572D0C" w:rsidRDefault="008B63BA" w:rsidP="003A01DF">
      <w:pPr>
        <w:rPr>
          <w:lang w:val="fr-CH"/>
        </w:rPr>
      </w:pPr>
      <w:r>
        <w:rPr>
          <w:lang w:val="fr-CH"/>
        </w:rPr>
        <w:t>P</w:t>
      </w:r>
      <w:r w:rsidR="008C6324">
        <w:rPr>
          <w:lang w:val="fr-CH"/>
        </w:rPr>
        <w:t xml:space="preserve">our </w:t>
      </w:r>
      <w:r>
        <w:rPr>
          <w:lang w:val="fr-CH"/>
        </w:rPr>
        <w:t xml:space="preserve">garantir efficacement la préservation des </w:t>
      </w:r>
      <w:r w:rsidR="00F907E7">
        <w:rPr>
          <w:lang w:val="fr-CH"/>
        </w:rPr>
        <w:t>meilleures terres</w:t>
      </w:r>
      <w:r>
        <w:rPr>
          <w:lang w:val="fr-CH"/>
        </w:rPr>
        <w:t xml:space="preserve">, il est indispensable de disposer de données pédologiques fiables. </w:t>
      </w:r>
      <w:r w:rsidR="147A5F7B" w:rsidRPr="00572D0C">
        <w:rPr>
          <w:lang w:val="fr-CH"/>
        </w:rPr>
        <w:t xml:space="preserve"> </w:t>
      </w:r>
      <w:r>
        <w:rPr>
          <w:lang w:val="fr-CH"/>
        </w:rPr>
        <w:t>Actuellement toutefois, la cartographie des sols</w:t>
      </w:r>
      <w:r w:rsidR="00206A74">
        <w:rPr>
          <w:lang w:val="fr-CH"/>
        </w:rPr>
        <w:t xml:space="preserve"> en</w:t>
      </w:r>
      <w:r>
        <w:rPr>
          <w:lang w:val="fr-CH"/>
        </w:rPr>
        <w:t xml:space="preserve"> </w:t>
      </w:r>
      <w:r w:rsidR="00206A74">
        <w:rPr>
          <w:lang w:val="fr-CH"/>
        </w:rPr>
        <w:t xml:space="preserve">Suisse </w:t>
      </w:r>
      <w:r>
        <w:rPr>
          <w:lang w:val="fr-CH"/>
        </w:rPr>
        <w:t>est hétérogène</w:t>
      </w:r>
      <w:r w:rsidR="147A5F7B" w:rsidRPr="00572D0C">
        <w:rPr>
          <w:lang w:val="fr-CH"/>
        </w:rPr>
        <w:t xml:space="preserve">. </w:t>
      </w:r>
      <w:r>
        <w:rPr>
          <w:lang w:val="fr-CH"/>
        </w:rPr>
        <w:t xml:space="preserve">De nombreuses données existent, mais sous des formes très disparates. </w:t>
      </w:r>
      <w:r w:rsidR="001111DA">
        <w:rPr>
          <w:lang w:val="fr-CH"/>
        </w:rPr>
        <w:t>Des cartes de sols actuels, couvrant tout le territoire et à l’échelle nécessaire pour</w:t>
      </w:r>
      <w:r>
        <w:rPr>
          <w:lang w:val="fr-CH"/>
        </w:rPr>
        <w:t xml:space="preserve"> </w:t>
      </w:r>
      <w:r w:rsidR="001111DA">
        <w:rPr>
          <w:lang w:val="fr-CH"/>
        </w:rPr>
        <w:t xml:space="preserve">déterminer </w:t>
      </w:r>
      <w:r>
        <w:rPr>
          <w:lang w:val="fr-CH"/>
        </w:rPr>
        <w:t xml:space="preserve">ou réexaminer les </w:t>
      </w:r>
      <w:r w:rsidR="00F907E7">
        <w:rPr>
          <w:lang w:val="fr-CH"/>
        </w:rPr>
        <w:t xml:space="preserve">inventaires de </w:t>
      </w:r>
      <w:r>
        <w:rPr>
          <w:lang w:val="fr-CH"/>
        </w:rPr>
        <w:t>SDA</w:t>
      </w:r>
      <w:r w:rsidR="001111DA">
        <w:rPr>
          <w:lang w:val="fr-CH"/>
        </w:rPr>
        <w:t xml:space="preserve"> ne sont pas disponibles au niveau suisse</w:t>
      </w:r>
      <w:r w:rsidR="147A5F7B" w:rsidRPr="00572D0C">
        <w:rPr>
          <w:lang w:val="fr-CH"/>
        </w:rPr>
        <w:t xml:space="preserve">. </w:t>
      </w:r>
      <w:r>
        <w:rPr>
          <w:lang w:val="fr-CH"/>
        </w:rPr>
        <w:t>Il est donc nécessaire de préciser la méthode de cartographie et les critères de désignation des SDA</w:t>
      </w:r>
      <w:r w:rsidR="00F907E7">
        <w:rPr>
          <w:lang w:val="fr-CH"/>
        </w:rPr>
        <w:t xml:space="preserve"> (critères de qualité)</w:t>
      </w:r>
      <w:r>
        <w:rPr>
          <w:lang w:val="fr-CH"/>
        </w:rPr>
        <w:t xml:space="preserve"> pour pouvoir assurer un standard uniforme à l’avenir. Ces dernières années, quelques cantons </w:t>
      </w:r>
      <w:r w:rsidR="147A5F7B" w:rsidRPr="00572D0C">
        <w:rPr>
          <w:lang w:val="fr-CH"/>
        </w:rPr>
        <w:t>(</w:t>
      </w:r>
      <w:r>
        <w:rPr>
          <w:lang w:val="fr-CH"/>
        </w:rPr>
        <w:t>par ex.</w:t>
      </w:r>
      <w:r w:rsidR="147A5F7B" w:rsidRPr="00572D0C">
        <w:rPr>
          <w:lang w:val="fr-CH"/>
        </w:rPr>
        <w:t xml:space="preserve"> Z</w:t>
      </w:r>
      <w:r>
        <w:rPr>
          <w:lang w:val="fr-CH"/>
        </w:rPr>
        <w:t>u</w:t>
      </w:r>
      <w:r w:rsidR="147A5F7B" w:rsidRPr="00572D0C">
        <w:rPr>
          <w:lang w:val="fr-CH"/>
        </w:rPr>
        <w:t>rich, Sol</w:t>
      </w:r>
      <w:r>
        <w:rPr>
          <w:lang w:val="fr-CH"/>
        </w:rPr>
        <w:t>eure</w:t>
      </w:r>
      <w:r w:rsidR="147A5F7B" w:rsidRPr="00572D0C">
        <w:rPr>
          <w:lang w:val="fr-CH"/>
        </w:rPr>
        <w:t>, B</w:t>
      </w:r>
      <w:r>
        <w:rPr>
          <w:lang w:val="fr-CH"/>
        </w:rPr>
        <w:t>âle-Campag</w:t>
      </w:r>
      <w:r w:rsidR="00E71F4F">
        <w:rPr>
          <w:lang w:val="fr-CH"/>
        </w:rPr>
        <w:t>ne</w:t>
      </w:r>
      <w:r w:rsidR="147A5F7B" w:rsidRPr="00572D0C">
        <w:rPr>
          <w:lang w:val="fr-CH"/>
        </w:rPr>
        <w:t>, Lu</w:t>
      </w:r>
      <w:r w:rsidR="00E71F4F">
        <w:rPr>
          <w:lang w:val="fr-CH"/>
        </w:rPr>
        <w:t>c</w:t>
      </w:r>
      <w:r w:rsidR="147A5F7B" w:rsidRPr="00572D0C">
        <w:rPr>
          <w:lang w:val="fr-CH"/>
        </w:rPr>
        <w:t>ern</w:t>
      </w:r>
      <w:r w:rsidR="00E71F4F">
        <w:rPr>
          <w:lang w:val="fr-CH"/>
        </w:rPr>
        <w:t>e</w:t>
      </w:r>
      <w:r w:rsidR="147A5F7B" w:rsidRPr="00572D0C">
        <w:rPr>
          <w:lang w:val="fr-CH"/>
        </w:rPr>
        <w:t xml:space="preserve"> </w:t>
      </w:r>
      <w:r w:rsidR="00E71F4F">
        <w:rPr>
          <w:lang w:val="fr-CH"/>
        </w:rPr>
        <w:t>et</w:t>
      </w:r>
      <w:r w:rsidR="147A5F7B" w:rsidRPr="00572D0C">
        <w:rPr>
          <w:lang w:val="fr-CH"/>
        </w:rPr>
        <w:t xml:space="preserve"> Glar</w:t>
      </w:r>
      <w:r w:rsidR="00E71F4F">
        <w:rPr>
          <w:lang w:val="fr-CH"/>
        </w:rPr>
        <w:t>i</w:t>
      </w:r>
      <w:r w:rsidR="147A5F7B" w:rsidRPr="00572D0C">
        <w:rPr>
          <w:lang w:val="fr-CH"/>
        </w:rPr>
        <w:t xml:space="preserve">s) </w:t>
      </w:r>
      <w:r w:rsidR="00E71F4F">
        <w:rPr>
          <w:lang w:val="fr-CH"/>
        </w:rPr>
        <w:t>ont établi une cartographie des sols selon le standard actuel et corrigé leurs inventaires, ou ont commencé à le faire</w:t>
      </w:r>
      <w:r w:rsidR="001111DA">
        <w:rPr>
          <w:lang w:val="fr-CH"/>
        </w:rPr>
        <w:t>,</w:t>
      </w:r>
      <w:r w:rsidR="00064769">
        <w:rPr>
          <w:lang w:val="fr-CH"/>
        </w:rPr>
        <w:t xml:space="preserve"> et réactualisé leurs inventaires cantonaux.</w:t>
      </w:r>
      <w:r w:rsidR="147A5F7B" w:rsidRPr="00572D0C">
        <w:rPr>
          <w:lang w:val="fr-CH"/>
        </w:rPr>
        <w:t xml:space="preserve"> </w:t>
      </w:r>
    </w:p>
    <w:p w14:paraId="66747C35" w14:textId="1AF57A0C" w:rsidR="003A01DF" w:rsidRPr="00572D0C" w:rsidRDefault="00E71F4F" w:rsidP="003A01DF">
      <w:pPr>
        <w:rPr>
          <w:lang w:val="fr-CH"/>
        </w:rPr>
      </w:pPr>
      <w:r>
        <w:rPr>
          <w:lang w:val="fr-CH"/>
        </w:rPr>
        <w:t xml:space="preserve">La méthode de cartographie de la Station fédérale de recherches en agroécologie et agriculture de Reckenholz </w:t>
      </w:r>
      <w:r w:rsidR="003A01DF" w:rsidRPr="00572D0C">
        <w:rPr>
          <w:lang w:val="fr-CH"/>
        </w:rPr>
        <w:t>(FAL 24)</w:t>
      </w:r>
      <w:r w:rsidR="003A01DF" w:rsidRPr="00572D0C">
        <w:rPr>
          <w:rStyle w:val="Funotenzeichen"/>
          <w:lang w:val="fr-CH"/>
        </w:rPr>
        <w:footnoteReference w:id="22"/>
      </w:r>
      <w:r>
        <w:rPr>
          <w:lang w:val="fr-CH"/>
        </w:rPr>
        <w:t xml:space="preserve"> qui a déjà été développée depuis sa création pour devenir la méthode</w:t>
      </w:r>
      <w:r w:rsidR="003A01DF" w:rsidRPr="00572D0C">
        <w:rPr>
          <w:lang w:val="fr-CH"/>
        </w:rPr>
        <w:t xml:space="preserve"> FAL</w:t>
      </w:r>
      <w:r w:rsidR="004E1B68" w:rsidRPr="00572D0C">
        <w:rPr>
          <w:lang w:val="fr-CH"/>
        </w:rPr>
        <w:t> </w:t>
      </w:r>
      <w:r w:rsidR="003A01DF" w:rsidRPr="00572D0C">
        <w:rPr>
          <w:lang w:val="fr-CH"/>
        </w:rPr>
        <w:t>24+</w:t>
      </w:r>
      <w:bookmarkStart w:id="102" w:name="_Ref524948962"/>
      <w:r w:rsidR="003A01DF" w:rsidRPr="00572D0C">
        <w:rPr>
          <w:rStyle w:val="Funotenzeichen"/>
          <w:lang w:val="fr-CH"/>
        </w:rPr>
        <w:footnoteReference w:id="23"/>
      </w:r>
      <w:bookmarkEnd w:id="102"/>
      <w:r w:rsidR="003A01DF" w:rsidRPr="00572D0C">
        <w:rPr>
          <w:lang w:val="fr-CH"/>
        </w:rPr>
        <w:t xml:space="preserve"> </w:t>
      </w:r>
      <w:r>
        <w:rPr>
          <w:lang w:val="fr-CH"/>
        </w:rPr>
        <w:t>est la méthode la plus probante.</w:t>
      </w:r>
      <w:r w:rsidR="00E63C18">
        <w:rPr>
          <w:lang w:val="fr-CH"/>
        </w:rPr>
        <w:t xml:space="preserve"> Il importera néanmoins de tenir compte de manière appropriée des avancées dans le domaine de la cartographie classique ou numérique des caractéristiques pédologiques</w:t>
      </w:r>
      <w:r w:rsidR="147A5F7B" w:rsidRPr="00572D0C">
        <w:rPr>
          <w:lang w:val="fr-CH"/>
        </w:rPr>
        <w:t xml:space="preserve"> (Digital Soil Mapping [DSM]). </w:t>
      </w:r>
    </w:p>
    <w:p w14:paraId="01FD0921" w14:textId="20FBF199" w:rsidR="003A01DF" w:rsidRPr="00572D0C" w:rsidRDefault="00E63C18">
      <w:pPr>
        <w:rPr>
          <w:lang w:val="fr-CH"/>
        </w:rPr>
      </w:pPr>
      <w:r>
        <w:rPr>
          <w:lang w:val="fr-CH"/>
        </w:rPr>
        <w:t>Selon le manuel pratique du canton de Soleure</w:t>
      </w:r>
      <w:r w:rsidR="003A01DF" w:rsidRPr="00572D0C">
        <w:rPr>
          <w:lang w:val="fr-CH"/>
        </w:rPr>
        <w:t xml:space="preserve"> </w:t>
      </w:r>
      <w:r w:rsidR="197BA8C9" w:rsidRPr="00572D0C">
        <w:rPr>
          <w:lang w:val="fr-CH"/>
        </w:rPr>
        <w:t>(</w:t>
      </w:r>
      <w:r>
        <w:rPr>
          <w:lang w:val="fr-CH"/>
        </w:rPr>
        <w:t>cf.</w:t>
      </w:r>
      <w:r w:rsidR="197BA8C9" w:rsidRPr="00572D0C">
        <w:rPr>
          <w:lang w:val="fr-CH"/>
        </w:rPr>
        <w:t xml:space="preserve"> </w:t>
      </w:r>
      <w:r>
        <w:rPr>
          <w:lang w:val="fr-CH"/>
        </w:rPr>
        <w:t xml:space="preserve">note de bas de page </w:t>
      </w:r>
      <w:r w:rsidR="00DE5243">
        <w:rPr>
          <w:lang w:val="fr-CH"/>
        </w:rPr>
        <w:t>16</w:t>
      </w:r>
      <w:r w:rsidR="197BA8C9" w:rsidRPr="00572D0C">
        <w:rPr>
          <w:lang w:val="fr-CH"/>
        </w:rPr>
        <w:t>)</w:t>
      </w:r>
      <w:r>
        <w:rPr>
          <w:lang w:val="fr-CH"/>
        </w:rPr>
        <w:t>, les cartes pédologiques doivent être dressées à l’échelle</w:t>
      </w:r>
      <w:r w:rsidR="003A01DF" w:rsidRPr="00572D0C">
        <w:rPr>
          <w:lang w:val="fr-CH"/>
        </w:rPr>
        <w:t xml:space="preserve"> 1</w:t>
      </w:r>
      <w:r w:rsidR="00693550">
        <w:rPr>
          <w:lang w:val="fr-CH"/>
        </w:rPr>
        <w:t xml:space="preserve"> </w:t>
      </w:r>
      <w:r w:rsidR="003A01DF" w:rsidRPr="00572D0C">
        <w:rPr>
          <w:lang w:val="fr-CH"/>
        </w:rPr>
        <w:t>:</w:t>
      </w:r>
      <w:r>
        <w:rPr>
          <w:lang w:val="fr-CH"/>
        </w:rPr>
        <w:t xml:space="preserve"> </w:t>
      </w:r>
      <w:r w:rsidR="003A01DF" w:rsidRPr="00572D0C">
        <w:rPr>
          <w:lang w:val="fr-CH"/>
        </w:rPr>
        <w:t xml:space="preserve">5’000 </w:t>
      </w:r>
      <w:r>
        <w:rPr>
          <w:lang w:val="fr-CH"/>
        </w:rPr>
        <w:t>et</w:t>
      </w:r>
      <w:r w:rsidR="003A01DF" w:rsidRPr="00572D0C">
        <w:rPr>
          <w:lang w:val="fr-CH"/>
        </w:rPr>
        <w:t xml:space="preserve"> </w:t>
      </w:r>
      <w:r>
        <w:rPr>
          <w:lang w:val="fr-CH"/>
        </w:rPr>
        <w:t>le recours à des experts est indispensable pour assurer la qualité voulue</w:t>
      </w:r>
      <w:r w:rsidR="00E574B9" w:rsidRPr="00572D0C">
        <w:rPr>
          <w:lang w:val="fr-CH"/>
        </w:rPr>
        <w:t>.</w:t>
      </w:r>
    </w:p>
    <w:p w14:paraId="67D8E819" w14:textId="35B3A974" w:rsidR="003B7307" w:rsidRPr="00572D0C" w:rsidRDefault="00FF1133" w:rsidP="003B7307">
      <w:pPr>
        <w:pStyle w:val="Listenabsatz"/>
        <w:numPr>
          <w:ilvl w:val="0"/>
          <w:numId w:val="29"/>
        </w:numPr>
        <w:shd w:val="clear" w:color="auto" w:fill="D9D9D9" w:themeFill="background1" w:themeFillShade="D9"/>
        <w:spacing w:before="240"/>
        <w:ind w:left="426" w:hanging="426"/>
        <w:rPr>
          <w:b/>
          <w:bCs/>
          <w:i w:val="0"/>
          <w:lang w:val="fr-CH"/>
        </w:rPr>
      </w:pPr>
      <w:bookmarkStart w:id="103" w:name="_Ref527035211"/>
      <w:r>
        <w:rPr>
          <w:b/>
          <w:bCs/>
          <w:i w:val="0"/>
          <w:lang w:val="fr-CH"/>
        </w:rPr>
        <w:lastRenderedPageBreak/>
        <w:t>Les</w:t>
      </w:r>
      <w:r w:rsidR="00F4795A">
        <w:rPr>
          <w:b/>
          <w:bCs/>
          <w:i w:val="0"/>
          <w:lang w:val="fr-CH"/>
        </w:rPr>
        <w:t xml:space="preserve"> </w:t>
      </w:r>
      <w:r w:rsidR="00064769">
        <w:rPr>
          <w:b/>
          <w:bCs/>
          <w:i w:val="0"/>
          <w:lang w:val="fr-CH"/>
        </w:rPr>
        <w:t xml:space="preserve">sols qui seront intégrés à l’inventaire après de </w:t>
      </w:r>
      <w:r w:rsidR="00F4795A">
        <w:rPr>
          <w:b/>
          <w:bCs/>
          <w:i w:val="0"/>
          <w:lang w:val="fr-CH"/>
        </w:rPr>
        <w:t>nouveaux relevés</w:t>
      </w:r>
      <w:r w:rsidR="00064769">
        <w:rPr>
          <w:b/>
          <w:bCs/>
          <w:i w:val="0"/>
          <w:lang w:val="fr-CH"/>
        </w:rPr>
        <w:t xml:space="preserve">, </w:t>
      </w:r>
      <w:r>
        <w:rPr>
          <w:b/>
          <w:bCs/>
          <w:i w:val="0"/>
          <w:lang w:val="fr-CH"/>
        </w:rPr>
        <w:t xml:space="preserve">une </w:t>
      </w:r>
      <w:r w:rsidR="00F4795A">
        <w:rPr>
          <w:b/>
          <w:bCs/>
          <w:i w:val="0"/>
          <w:lang w:val="fr-CH"/>
        </w:rPr>
        <w:t xml:space="preserve">revalorisation </w:t>
      </w:r>
      <w:r w:rsidR="00064769">
        <w:rPr>
          <w:b/>
          <w:bCs/>
          <w:i w:val="0"/>
          <w:lang w:val="fr-CH"/>
        </w:rPr>
        <w:t xml:space="preserve">ou </w:t>
      </w:r>
      <w:r>
        <w:rPr>
          <w:b/>
          <w:bCs/>
          <w:i w:val="0"/>
          <w:lang w:val="fr-CH"/>
        </w:rPr>
        <w:t xml:space="preserve">une </w:t>
      </w:r>
      <w:r w:rsidR="00F4795A">
        <w:rPr>
          <w:b/>
          <w:bCs/>
          <w:i w:val="0"/>
          <w:lang w:val="fr-CH"/>
        </w:rPr>
        <w:t>réhabilitation</w:t>
      </w:r>
      <w:r w:rsidRPr="00FF1133">
        <w:rPr>
          <w:b/>
          <w:bCs/>
          <w:i w:val="0"/>
          <w:lang w:val="fr-CH"/>
        </w:rPr>
        <w:t xml:space="preserve"> </w:t>
      </w:r>
      <w:r w:rsidRPr="007411D3">
        <w:rPr>
          <w:b/>
          <w:bCs/>
          <w:i w:val="0"/>
          <w:lang w:val="fr-CH"/>
        </w:rPr>
        <w:t>doivent remplir les critères de qualité prescrits par la Confédération</w:t>
      </w:r>
      <w:r w:rsidR="003B7307" w:rsidRPr="00572D0C">
        <w:rPr>
          <w:b/>
          <w:bCs/>
          <w:i w:val="0"/>
          <w:lang w:val="fr-CH"/>
        </w:rPr>
        <w:t>.</w:t>
      </w:r>
      <w:bookmarkEnd w:id="103"/>
    </w:p>
    <w:p w14:paraId="739634F1" w14:textId="32B2077C" w:rsidR="002A14E7" w:rsidRPr="00572D0C" w:rsidRDefault="00064769" w:rsidP="002A14E7">
      <w:pPr>
        <w:rPr>
          <w:lang w:val="fr-CH"/>
        </w:rPr>
      </w:pPr>
      <w:r>
        <w:rPr>
          <w:lang w:val="fr-CH"/>
        </w:rPr>
        <w:t>Les</w:t>
      </w:r>
      <w:r w:rsidR="00B67BE0">
        <w:rPr>
          <w:lang w:val="fr-CH"/>
        </w:rPr>
        <w:t xml:space="preserve"> SDA</w:t>
      </w:r>
      <w:r>
        <w:rPr>
          <w:lang w:val="fr-CH"/>
        </w:rPr>
        <w:t xml:space="preserve"> inventoriées à l’heure actuelle </w:t>
      </w:r>
      <w:r w:rsidR="00B67BE0">
        <w:rPr>
          <w:lang w:val="fr-CH"/>
        </w:rPr>
        <w:t>comprennent des surfaces de qualité</w:t>
      </w:r>
      <w:r w:rsidR="008A2E7C">
        <w:rPr>
          <w:lang w:val="fr-CH"/>
        </w:rPr>
        <w:t>s</w:t>
      </w:r>
      <w:r w:rsidR="00B67BE0">
        <w:rPr>
          <w:lang w:val="fr-CH"/>
        </w:rPr>
        <w:t xml:space="preserve"> différente</w:t>
      </w:r>
      <w:r w:rsidR="008A2E7C">
        <w:rPr>
          <w:lang w:val="fr-CH"/>
        </w:rPr>
        <w:t>s</w:t>
      </w:r>
      <w:r w:rsidR="00B67BE0">
        <w:rPr>
          <w:lang w:val="fr-CH"/>
        </w:rPr>
        <w:t>. Leur hétérogénéité s’explique principalement par la grande diversité de sols d’un canton à l’autre, notamment en raison de la géologie et de l’altitude, et par le fait qu</w:t>
      </w:r>
      <w:r w:rsidR="147A5F7B" w:rsidRPr="00572D0C">
        <w:rPr>
          <w:lang w:val="fr-CH"/>
        </w:rPr>
        <w:t xml:space="preserve">e </w:t>
      </w:r>
      <w:r w:rsidR="00B67BE0">
        <w:rPr>
          <w:lang w:val="fr-CH"/>
        </w:rPr>
        <w:t xml:space="preserve">les terres </w:t>
      </w:r>
      <w:r w:rsidR="00FF21B3">
        <w:rPr>
          <w:lang w:val="fr-CH"/>
        </w:rPr>
        <w:t>les mieux adaptées régionalement</w:t>
      </w:r>
      <w:r w:rsidR="00072812">
        <w:rPr>
          <w:lang w:val="fr-CH"/>
        </w:rPr>
        <w:t xml:space="preserve"> </w:t>
      </w:r>
      <w:r w:rsidR="00FF21B3">
        <w:rPr>
          <w:lang w:val="fr-CH"/>
        </w:rPr>
        <w:t>ont</w:t>
      </w:r>
      <w:r>
        <w:rPr>
          <w:lang w:val="fr-CH"/>
        </w:rPr>
        <w:t xml:space="preserve"> répertoriées dans les inventaires </w:t>
      </w:r>
      <w:r w:rsidR="00072812">
        <w:rPr>
          <w:lang w:val="fr-CH"/>
        </w:rPr>
        <w:t xml:space="preserve">des SDA. </w:t>
      </w:r>
      <w:r w:rsidR="00FF21B3">
        <w:rPr>
          <w:lang w:val="fr-CH"/>
        </w:rPr>
        <w:t>Pour ajouter à la difficulté</w:t>
      </w:r>
      <w:r w:rsidR="00072812">
        <w:rPr>
          <w:lang w:val="fr-CH"/>
        </w:rPr>
        <w:t xml:space="preserve">, aucune méthode uniforme de relevé des SDA </w:t>
      </w:r>
      <w:r w:rsidR="00FF21B3">
        <w:rPr>
          <w:lang w:val="fr-CH"/>
        </w:rPr>
        <w:t xml:space="preserve">n’avait </w:t>
      </w:r>
      <w:r w:rsidR="00072812">
        <w:rPr>
          <w:lang w:val="fr-CH"/>
        </w:rPr>
        <w:t xml:space="preserve">été définie. </w:t>
      </w:r>
      <w:r w:rsidR="00237F63">
        <w:rPr>
          <w:lang w:val="fr-CH"/>
        </w:rPr>
        <w:t xml:space="preserve">En raison de </w:t>
      </w:r>
      <w:r w:rsidR="008A2E7C">
        <w:rPr>
          <w:lang w:val="fr-CH"/>
        </w:rPr>
        <w:t>la marge de manœuvre considérable dont ils disposaient, l</w:t>
      </w:r>
      <w:r w:rsidR="00072812">
        <w:rPr>
          <w:lang w:val="fr-CH"/>
        </w:rPr>
        <w:t>e</w:t>
      </w:r>
      <w:r w:rsidR="008A2E7C">
        <w:rPr>
          <w:lang w:val="fr-CH"/>
        </w:rPr>
        <w:t>s</w:t>
      </w:r>
      <w:r w:rsidR="00072812">
        <w:rPr>
          <w:lang w:val="fr-CH"/>
        </w:rPr>
        <w:t xml:space="preserve"> cantons ont appliqué de manière différente l’aide à la mise en œuvre publiée par la Confédération en </w:t>
      </w:r>
      <w:r w:rsidR="147A5F7B" w:rsidRPr="00572D0C">
        <w:rPr>
          <w:lang w:val="fr-CH"/>
        </w:rPr>
        <w:t>1983</w:t>
      </w:r>
      <w:r w:rsidR="008A2E7C">
        <w:rPr>
          <w:lang w:val="fr-CH"/>
        </w:rPr>
        <w:t xml:space="preserve">. Ils ont utilisé différentes approches méthodologiques pour délimiter leurs SDA avant </w:t>
      </w:r>
      <w:r w:rsidR="00FF21B3">
        <w:rPr>
          <w:lang w:val="fr-CH"/>
        </w:rPr>
        <w:t xml:space="preserve">l’adoption </w:t>
      </w:r>
      <w:r w:rsidR="005A3CAA">
        <w:rPr>
          <w:lang w:val="fr-CH"/>
        </w:rPr>
        <w:t>du P</w:t>
      </w:r>
      <w:r w:rsidR="008A2E7C">
        <w:rPr>
          <w:lang w:val="fr-CH"/>
        </w:rPr>
        <w:t>lan sectoriel de</w:t>
      </w:r>
      <w:r w:rsidR="147A5F7B" w:rsidRPr="00572D0C">
        <w:rPr>
          <w:lang w:val="fr-CH"/>
        </w:rPr>
        <w:t xml:space="preserve"> 1992</w:t>
      </w:r>
      <w:r w:rsidR="008A2E7C">
        <w:rPr>
          <w:lang w:val="fr-CH"/>
        </w:rPr>
        <w:t xml:space="preserve"> et défini des exigences minimales différentes concernant la qualité </w:t>
      </w:r>
      <w:r>
        <w:rPr>
          <w:lang w:val="fr-CH"/>
        </w:rPr>
        <w:t>qu’un sol doit présenter pour être considéré comme une surface d’assolement</w:t>
      </w:r>
      <w:r w:rsidR="147A5F7B" w:rsidRPr="00572D0C">
        <w:rPr>
          <w:lang w:val="fr-CH"/>
        </w:rPr>
        <w:t xml:space="preserve">. </w:t>
      </w:r>
      <w:r>
        <w:rPr>
          <w:lang w:val="fr-CH"/>
        </w:rPr>
        <w:t xml:space="preserve">Le chapitre 2.1 donne d’autres explications sur l’état actuel des inventaires. Compte tenu de l’hétérogénéité des inventaires actuels, il </w:t>
      </w:r>
      <w:r w:rsidR="008A2E7C">
        <w:rPr>
          <w:lang w:val="fr-CH"/>
        </w:rPr>
        <w:t>est nécessaire aujourd’hui de préciser les exigences relatives à la qualité des sols afin d’assurer un standard uniforme pour procéder au relevé des nouvelles SDA non encore inventoriées</w:t>
      </w:r>
      <w:r w:rsidR="00D222E8">
        <w:rPr>
          <w:lang w:val="fr-CH"/>
        </w:rPr>
        <w:t xml:space="preserve">, </w:t>
      </w:r>
      <w:r w:rsidR="008A2E7C">
        <w:rPr>
          <w:lang w:val="fr-CH"/>
        </w:rPr>
        <w:t xml:space="preserve">pour revaloriser ou </w:t>
      </w:r>
      <w:r w:rsidR="005F61FD">
        <w:rPr>
          <w:lang w:val="fr-CH"/>
        </w:rPr>
        <w:t>réhabiliter</w:t>
      </w:r>
      <w:r w:rsidR="008A2E7C">
        <w:rPr>
          <w:lang w:val="fr-CH"/>
        </w:rPr>
        <w:t xml:space="preserve"> </w:t>
      </w:r>
      <w:r w:rsidR="00D222E8">
        <w:rPr>
          <w:lang w:val="fr-CH"/>
        </w:rPr>
        <w:t xml:space="preserve">les </w:t>
      </w:r>
      <w:r>
        <w:rPr>
          <w:lang w:val="fr-CH"/>
        </w:rPr>
        <w:t>sols dégradés par l’activité humaine</w:t>
      </w:r>
      <w:r w:rsidR="00D222E8">
        <w:rPr>
          <w:lang w:val="fr-CH"/>
        </w:rPr>
        <w:t xml:space="preserve"> et pour </w:t>
      </w:r>
      <w:r w:rsidR="00FF21B3">
        <w:rPr>
          <w:lang w:val="fr-CH"/>
        </w:rPr>
        <w:t xml:space="preserve">corriger </w:t>
      </w:r>
      <w:r w:rsidR="00D222E8">
        <w:rPr>
          <w:lang w:val="fr-CH"/>
        </w:rPr>
        <w:t xml:space="preserve">les inventaires des </w:t>
      </w:r>
      <w:r w:rsidR="008A2E7C">
        <w:rPr>
          <w:lang w:val="fr-CH"/>
        </w:rPr>
        <w:t>SDA</w:t>
      </w:r>
      <w:r w:rsidR="00D222E8">
        <w:rPr>
          <w:lang w:val="fr-CH"/>
        </w:rPr>
        <w:t xml:space="preserve"> sur la base </w:t>
      </w:r>
      <w:r w:rsidR="00FF21B3">
        <w:rPr>
          <w:lang w:val="fr-CH"/>
        </w:rPr>
        <w:t xml:space="preserve">de </w:t>
      </w:r>
      <w:r w:rsidR="00D222E8">
        <w:rPr>
          <w:lang w:val="fr-CH"/>
        </w:rPr>
        <w:t>nouvelle</w:t>
      </w:r>
      <w:r w:rsidR="00FF21B3">
        <w:rPr>
          <w:lang w:val="fr-CH"/>
        </w:rPr>
        <w:t>s</w:t>
      </w:r>
      <w:r w:rsidR="00D222E8">
        <w:rPr>
          <w:lang w:val="fr-CH"/>
        </w:rPr>
        <w:t xml:space="preserve"> cartographie</w:t>
      </w:r>
      <w:r w:rsidR="00FF21B3">
        <w:rPr>
          <w:lang w:val="fr-CH"/>
        </w:rPr>
        <w:t>s</w:t>
      </w:r>
      <w:r w:rsidR="008A2E7C">
        <w:rPr>
          <w:lang w:val="fr-CH"/>
        </w:rPr>
        <w:t>.</w:t>
      </w:r>
      <w:r w:rsidR="006E7F76" w:rsidRPr="00572D0C">
        <w:rPr>
          <w:lang w:val="fr-CH"/>
        </w:rPr>
        <w:t xml:space="preserve"> </w:t>
      </w:r>
    </w:p>
    <w:p w14:paraId="3332ADDF" w14:textId="7508D5FC" w:rsidR="002A14E7" w:rsidRPr="00572D0C" w:rsidRDefault="002A14E7" w:rsidP="002A14E7">
      <w:pPr>
        <w:rPr>
          <w:lang w:val="fr-CH"/>
        </w:rPr>
      </w:pPr>
      <w:r w:rsidRPr="00572D0C">
        <w:rPr>
          <w:lang w:val="fr-CH"/>
        </w:rPr>
        <w:t>Da</w:t>
      </w:r>
      <w:r w:rsidR="00B83395">
        <w:rPr>
          <w:lang w:val="fr-CH"/>
        </w:rPr>
        <w:t xml:space="preserve">ns le but d’assurer un standard uniforme de qualité pour les </w:t>
      </w:r>
      <w:r w:rsidR="00D222E8">
        <w:rPr>
          <w:lang w:val="fr-CH"/>
        </w:rPr>
        <w:t xml:space="preserve">sols </w:t>
      </w:r>
      <w:r w:rsidR="00B83395">
        <w:rPr>
          <w:lang w:val="fr-CH"/>
        </w:rPr>
        <w:t>nouvellement répertoriés dans les inventaires, la Confédération fixe des critères de qualité en application de l’a</w:t>
      </w:r>
      <w:r w:rsidRPr="00572D0C">
        <w:rPr>
          <w:lang w:val="fr-CH"/>
        </w:rPr>
        <w:t>rt</w:t>
      </w:r>
      <w:r w:rsidR="00D222E8">
        <w:rPr>
          <w:lang w:val="fr-CH"/>
        </w:rPr>
        <w:t>icle</w:t>
      </w:r>
      <w:r w:rsidRPr="00572D0C">
        <w:rPr>
          <w:lang w:val="fr-CH"/>
        </w:rPr>
        <w:t xml:space="preserve"> 26</w:t>
      </w:r>
      <w:r w:rsidR="00D222E8">
        <w:rPr>
          <w:lang w:val="fr-CH"/>
        </w:rPr>
        <w:t>,</w:t>
      </w:r>
      <w:r w:rsidRPr="00572D0C">
        <w:rPr>
          <w:lang w:val="fr-CH"/>
        </w:rPr>
        <w:t xml:space="preserve"> </w:t>
      </w:r>
      <w:r w:rsidR="00B83395">
        <w:rPr>
          <w:lang w:val="fr-CH"/>
        </w:rPr>
        <w:t>al</w:t>
      </w:r>
      <w:r w:rsidR="00D222E8">
        <w:rPr>
          <w:lang w:val="fr-CH"/>
        </w:rPr>
        <w:t>inéa</w:t>
      </w:r>
      <w:r w:rsidRPr="00572D0C">
        <w:rPr>
          <w:lang w:val="fr-CH"/>
        </w:rPr>
        <w:t xml:space="preserve"> 1 </w:t>
      </w:r>
      <w:r w:rsidR="00B83395">
        <w:rPr>
          <w:lang w:val="fr-CH"/>
        </w:rPr>
        <w:t>OAT</w:t>
      </w:r>
      <w:r w:rsidRPr="00572D0C">
        <w:rPr>
          <w:lang w:val="fr-CH"/>
        </w:rPr>
        <w:t xml:space="preserve">. </w:t>
      </w:r>
      <w:r w:rsidR="00B83395">
        <w:rPr>
          <w:lang w:val="fr-CH"/>
        </w:rPr>
        <w:t>En</w:t>
      </w:r>
      <w:r w:rsidRPr="00572D0C">
        <w:rPr>
          <w:lang w:val="fr-CH"/>
        </w:rPr>
        <w:t xml:space="preserve"> 2016</w:t>
      </w:r>
      <w:r w:rsidR="00B83395">
        <w:rPr>
          <w:lang w:val="fr-CH"/>
        </w:rPr>
        <w:t xml:space="preserve">, </w:t>
      </w:r>
      <w:r w:rsidR="000220ED">
        <w:rPr>
          <w:lang w:val="fr-CH"/>
        </w:rPr>
        <w:t>sur mandat de l’ARE, l</w:t>
      </w:r>
      <w:r w:rsidR="00B83395">
        <w:rPr>
          <w:lang w:val="fr-CH"/>
        </w:rPr>
        <w:t xml:space="preserve">es différentes méthodes de </w:t>
      </w:r>
      <w:r w:rsidR="00D222E8">
        <w:rPr>
          <w:lang w:val="fr-CH"/>
        </w:rPr>
        <w:t xml:space="preserve">délimitation </w:t>
      </w:r>
      <w:r w:rsidR="00B83395">
        <w:rPr>
          <w:lang w:val="fr-CH"/>
        </w:rPr>
        <w:t xml:space="preserve">des SDA utilisées jusqu’à présent par les cantons ont été analysées et comparées </w:t>
      </w:r>
      <w:r w:rsidR="000220ED">
        <w:rPr>
          <w:lang w:val="fr-CH"/>
        </w:rPr>
        <w:t>entre elles</w:t>
      </w:r>
      <w:r w:rsidR="00B83395">
        <w:rPr>
          <w:lang w:val="fr-CH"/>
        </w:rPr>
        <w:t xml:space="preserve">. Cette étude </w:t>
      </w:r>
      <w:r w:rsidR="000220ED">
        <w:rPr>
          <w:lang w:val="fr-CH"/>
        </w:rPr>
        <w:t>conclut</w:t>
      </w:r>
      <w:r w:rsidR="00B83395">
        <w:rPr>
          <w:lang w:val="fr-CH"/>
        </w:rPr>
        <w:t xml:space="preserve"> que l’utilisation de la méthode de cartographie</w:t>
      </w:r>
      <w:r w:rsidRPr="00572D0C">
        <w:rPr>
          <w:lang w:val="fr-CH"/>
        </w:rPr>
        <w:t xml:space="preserve"> FAL 24</w:t>
      </w:r>
      <w:r w:rsidR="000220ED">
        <w:rPr>
          <w:lang w:val="fr-CH"/>
        </w:rPr>
        <w:t xml:space="preserve"> qui a déjà été développée depuis sa création</w:t>
      </w:r>
      <w:r w:rsidR="00D222E8">
        <w:rPr>
          <w:lang w:val="fr-CH"/>
        </w:rPr>
        <w:t xml:space="preserve"> (cf. P5)</w:t>
      </w:r>
      <w:r w:rsidR="000220ED">
        <w:rPr>
          <w:lang w:val="fr-CH"/>
        </w:rPr>
        <w:t xml:space="preserve">, associée aux critères de l’aide à la mise en œuvre de </w:t>
      </w:r>
      <w:r w:rsidRPr="00572D0C">
        <w:rPr>
          <w:lang w:val="fr-CH"/>
        </w:rPr>
        <w:t>2006</w:t>
      </w:r>
      <w:r w:rsidR="000220ED">
        <w:rPr>
          <w:lang w:val="fr-CH"/>
        </w:rPr>
        <w:t>,</w:t>
      </w:r>
      <w:r w:rsidRPr="00572D0C">
        <w:rPr>
          <w:lang w:val="fr-CH"/>
        </w:rPr>
        <w:t xml:space="preserve"> </w:t>
      </w:r>
      <w:r w:rsidR="000220ED">
        <w:rPr>
          <w:lang w:val="fr-CH"/>
        </w:rPr>
        <w:t xml:space="preserve">est la méthode la plus probante pour </w:t>
      </w:r>
      <w:r w:rsidR="00D222E8">
        <w:rPr>
          <w:lang w:val="fr-CH"/>
        </w:rPr>
        <w:t>délimiter</w:t>
      </w:r>
      <w:r w:rsidR="00D222E8" w:rsidRPr="00572D0C">
        <w:rPr>
          <w:lang w:val="fr-CH"/>
        </w:rPr>
        <w:t xml:space="preserve"> </w:t>
      </w:r>
      <w:r w:rsidR="000220ED">
        <w:rPr>
          <w:lang w:val="fr-CH"/>
        </w:rPr>
        <w:t>les SDA de la façon la plus objective et la plus claire possible</w:t>
      </w:r>
      <w:r w:rsidRPr="00572D0C">
        <w:rPr>
          <w:lang w:val="fr-CH"/>
        </w:rPr>
        <w:t xml:space="preserve">. </w:t>
      </w:r>
      <w:r w:rsidR="000220ED">
        <w:rPr>
          <w:lang w:val="fr-CH"/>
        </w:rPr>
        <w:t>D</w:t>
      </w:r>
      <w:r w:rsidRPr="00572D0C">
        <w:rPr>
          <w:lang w:val="fr-CH"/>
        </w:rPr>
        <w:t>e</w:t>
      </w:r>
      <w:r w:rsidR="000220ED">
        <w:rPr>
          <w:lang w:val="fr-CH"/>
        </w:rPr>
        <w:t>s exemples pratiques montrent qu’elle permet d’atteindre de bons résultats</w:t>
      </w:r>
      <w:r w:rsidRPr="00572D0C">
        <w:rPr>
          <w:rStyle w:val="Funotenzeichen"/>
          <w:lang w:val="fr-CH"/>
        </w:rPr>
        <w:footnoteReference w:id="24"/>
      </w:r>
      <w:r w:rsidR="00FF21B3">
        <w:rPr>
          <w:lang w:val="fr-CH"/>
        </w:rPr>
        <w:t>.</w:t>
      </w:r>
      <w:r w:rsidRPr="00572D0C">
        <w:rPr>
          <w:lang w:val="fr-CH"/>
        </w:rPr>
        <w:t xml:space="preserve"> </w:t>
      </w:r>
      <w:r w:rsidR="00D222E8">
        <w:rPr>
          <w:lang w:val="fr-CH"/>
        </w:rPr>
        <w:t xml:space="preserve">Les critères présentés ci-après se basent sur cette étude. </w:t>
      </w:r>
      <w:r w:rsidR="003E38A3">
        <w:rPr>
          <w:lang w:val="fr-CH"/>
        </w:rPr>
        <w:t>Il importe également de continuer de tenir compte des différences naturelles et climatiques régionales entre les sols des cantons</w:t>
      </w:r>
      <w:r w:rsidR="0003622A" w:rsidRPr="00572D0C">
        <w:rPr>
          <w:lang w:val="fr-CH"/>
        </w:rPr>
        <w:t xml:space="preserve">. </w:t>
      </w:r>
    </w:p>
    <w:p w14:paraId="31953B55" w14:textId="398E8455" w:rsidR="002A14E7" w:rsidRPr="00572D0C" w:rsidRDefault="008A2E7C" w:rsidP="295F27C4">
      <w:pPr>
        <w:rPr>
          <w:b/>
          <w:bCs/>
          <w:lang w:val="fr-CH"/>
        </w:rPr>
      </w:pPr>
      <w:r>
        <w:rPr>
          <w:b/>
          <w:bCs/>
          <w:lang w:val="fr-CH"/>
        </w:rPr>
        <w:t>Critères de qualité</w:t>
      </w:r>
    </w:p>
    <w:p w14:paraId="3E5FEB78" w14:textId="6728A053" w:rsidR="00E30EDB" w:rsidRPr="00572D0C" w:rsidRDefault="00E30EDB" w:rsidP="295F27C4">
      <w:pPr>
        <w:rPr>
          <w:lang w:val="fr-CH"/>
        </w:rPr>
      </w:pPr>
      <w:r w:rsidRPr="00572D0C">
        <w:rPr>
          <w:lang w:val="fr-CH"/>
        </w:rPr>
        <w:t>Tab</w:t>
      </w:r>
      <w:r w:rsidR="003E38A3">
        <w:rPr>
          <w:lang w:val="fr-CH"/>
        </w:rPr>
        <w:t>leau</w:t>
      </w:r>
      <w:r w:rsidRPr="00572D0C">
        <w:rPr>
          <w:lang w:val="fr-CH"/>
        </w:rPr>
        <w:t xml:space="preserve"> </w:t>
      </w:r>
      <w:r w:rsidRPr="00572D0C">
        <w:rPr>
          <w:lang w:val="fr-CH"/>
        </w:rPr>
        <w:fldChar w:fldCharType="begin"/>
      </w:r>
      <w:r w:rsidRPr="00572D0C">
        <w:rPr>
          <w:lang w:val="fr-CH"/>
        </w:rPr>
        <w:instrText xml:space="preserve"> SEQ Tabelle \* ARABIC </w:instrText>
      </w:r>
      <w:r w:rsidRPr="00572D0C">
        <w:rPr>
          <w:lang w:val="fr-CH"/>
        </w:rPr>
        <w:fldChar w:fldCharType="separate"/>
      </w:r>
      <w:r w:rsidR="00A65A9C">
        <w:rPr>
          <w:noProof/>
          <w:lang w:val="fr-CH"/>
        </w:rPr>
        <w:t>1</w:t>
      </w:r>
      <w:r w:rsidRPr="00572D0C">
        <w:rPr>
          <w:lang w:val="fr-CH"/>
        </w:rPr>
        <w:fldChar w:fldCharType="end"/>
      </w:r>
      <w:r w:rsidRPr="00572D0C">
        <w:rPr>
          <w:lang w:val="fr-CH"/>
        </w:rPr>
        <w:t xml:space="preserve">: </w:t>
      </w:r>
      <w:r w:rsidR="003E38A3">
        <w:rPr>
          <w:lang w:val="fr-CH"/>
        </w:rPr>
        <w:t xml:space="preserve">Critères de qualité (au sens d’exigences minimales) </w:t>
      </w:r>
      <w:r w:rsidR="008E5EF5">
        <w:rPr>
          <w:lang w:val="fr-CH"/>
        </w:rPr>
        <w:t xml:space="preserve">à remplir par </w:t>
      </w:r>
      <w:r w:rsidR="003E38A3">
        <w:rPr>
          <w:lang w:val="fr-CH"/>
        </w:rPr>
        <w:t xml:space="preserve">les nouvelles </w:t>
      </w:r>
      <w:r w:rsidR="00D222E8">
        <w:rPr>
          <w:lang w:val="fr-CH"/>
        </w:rPr>
        <w:t xml:space="preserve">terres qui seront inventoriées </w:t>
      </w:r>
      <w:r w:rsidR="008E5EF5">
        <w:rPr>
          <w:lang w:val="fr-CH"/>
        </w:rPr>
        <w:t>dans les</w:t>
      </w:r>
      <w:r w:rsidR="00D222E8">
        <w:rPr>
          <w:lang w:val="fr-CH"/>
        </w:rPr>
        <w:t xml:space="preserve"> inventaires de </w:t>
      </w:r>
      <w:r w:rsidR="003E38A3">
        <w:rPr>
          <w:lang w:val="fr-CH"/>
        </w:rPr>
        <w:t>SDA</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2694"/>
        <w:gridCol w:w="4536"/>
      </w:tblGrid>
      <w:tr w:rsidR="006E7F76" w:rsidRPr="00572D0C" w14:paraId="2FEBFB4F" w14:textId="77777777" w:rsidTr="00C23D4D">
        <w:trPr>
          <w:trHeight w:val="399"/>
        </w:trPr>
        <w:tc>
          <w:tcPr>
            <w:tcW w:w="2263" w:type="dxa"/>
          </w:tcPr>
          <w:p w14:paraId="58B58DB9" w14:textId="727E8035" w:rsidR="006E7F76" w:rsidRPr="00572D0C" w:rsidRDefault="003E38A3" w:rsidP="00C23D4D">
            <w:pPr>
              <w:spacing w:before="60" w:after="60"/>
              <w:rPr>
                <w:b/>
                <w:bCs/>
                <w:lang w:val="fr-CH"/>
              </w:rPr>
            </w:pPr>
            <w:r>
              <w:rPr>
                <w:b/>
                <w:bCs/>
                <w:lang w:val="fr-CH"/>
              </w:rPr>
              <w:t>Critère</w:t>
            </w:r>
            <w:r w:rsidR="006E7F76" w:rsidRPr="00572D0C">
              <w:rPr>
                <w:b/>
                <w:bCs/>
                <w:lang w:val="fr-CH"/>
              </w:rPr>
              <w:t xml:space="preserve"> </w:t>
            </w:r>
          </w:p>
        </w:tc>
        <w:tc>
          <w:tcPr>
            <w:tcW w:w="2694" w:type="dxa"/>
          </w:tcPr>
          <w:p w14:paraId="480AE406" w14:textId="629F0886" w:rsidR="006E7F76" w:rsidRPr="00572D0C" w:rsidRDefault="006E7F76" w:rsidP="00C23D4D">
            <w:pPr>
              <w:spacing w:before="60" w:after="60"/>
              <w:rPr>
                <w:b/>
                <w:bCs/>
                <w:lang w:val="fr-CH"/>
              </w:rPr>
            </w:pPr>
            <w:r w:rsidRPr="00572D0C">
              <w:rPr>
                <w:b/>
                <w:bCs/>
                <w:lang w:val="fr-CH"/>
              </w:rPr>
              <w:t>S</w:t>
            </w:r>
            <w:r w:rsidR="003E38A3">
              <w:rPr>
                <w:b/>
                <w:bCs/>
                <w:lang w:val="fr-CH"/>
              </w:rPr>
              <w:t>euil</w:t>
            </w:r>
          </w:p>
        </w:tc>
        <w:tc>
          <w:tcPr>
            <w:tcW w:w="4536" w:type="dxa"/>
          </w:tcPr>
          <w:p w14:paraId="64DA90A5" w14:textId="1EE1E2C6" w:rsidR="006E7F76" w:rsidRPr="00572D0C" w:rsidRDefault="003E38A3" w:rsidP="00C23D4D">
            <w:pPr>
              <w:spacing w:before="60" w:after="60"/>
              <w:rPr>
                <w:b/>
                <w:bCs/>
                <w:lang w:val="fr-CH"/>
              </w:rPr>
            </w:pPr>
            <w:r>
              <w:rPr>
                <w:b/>
                <w:bCs/>
                <w:lang w:val="fr-CH"/>
              </w:rPr>
              <w:t>Remarques</w:t>
            </w:r>
          </w:p>
        </w:tc>
      </w:tr>
      <w:tr w:rsidR="006E7F76" w:rsidRPr="003F1EDB" w14:paraId="66D6E6D7" w14:textId="77777777" w:rsidTr="00C23D4D">
        <w:trPr>
          <w:trHeight w:val="399"/>
        </w:trPr>
        <w:tc>
          <w:tcPr>
            <w:tcW w:w="2263" w:type="dxa"/>
          </w:tcPr>
          <w:p w14:paraId="0B14D8B9" w14:textId="62134B6A" w:rsidR="006E7F76" w:rsidRPr="00572D0C" w:rsidRDefault="003E38A3" w:rsidP="00C23D4D">
            <w:pPr>
              <w:spacing w:before="60" w:after="60"/>
              <w:rPr>
                <w:lang w:val="fr-CH"/>
              </w:rPr>
            </w:pPr>
            <w:r>
              <w:rPr>
                <w:lang w:val="fr-CH"/>
              </w:rPr>
              <w:t>Z</w:t>
            </w:r>
            <w:r w:rsidR="006E7F76" w:rsidRPr="00572D0C">
              <w:rPr>
                <w:lang w:val="fr-CH"/>
              </w:rPr>
              <w:t>one</w:t>
            </w:r>
            <w:r>
              <w:rPr>
                <w:lang w:val="fr-CH"/>
              </w:rPr>
              <w:t xml:space="preserve"> climatique</w:t>
            </w:r>
          </w:p>
        </w:tc>
        <w:tc>
          <w:tcPr>
            <w:tcW w:w="2694" w:type="dxa"/>
          </w:tcPr>
          <w:p w14:paraId="39CAEE93" w14:textId="77777777" w:rsidR="006E7F76" w:rsidRPr="00572D0C" w:rsidRDefault="006E7F76" w:rsidP="00C23D4D">
            <w:pPr>
              <w:spacing w:before="60" w:after="60"/>
              <w:rPr>
                <w:lang w:val="fr-CH"/>
              </w:rPr>
            </w:pPr>
            <w:r w:rsidRPr="00572D0C">
              <w:rPr>
                <w:lang w:val="fr-CH"/>
              </w:rPr>
              <w:t>A / B / C / D1–4</w:t>
            </w:r>
          </w:p>
        </w:tc>
        <w:tc>
          <w:tcPr>
            <w:tcW w:w="4536" w:type="dxa"/>
          </w:tcPr>
          <w:p w14:paraId="392F4E2D" w14:textId="5DA9B3C5" w:rsidR="006E7F76" w:rsidRPr="00572D0C" w:rsidRDefault="00077E46" w:rsidP="00C23D4D">
            <w:pPr>
              <w:spacing w:before="60" w:after="60"/>
              <w:rPr>
                <w:lang w:val="fr-CH"/>
              </w:rPr>
            </w:pPr>
            <w:r>
              <w:rPr>
                <w:lang w:val="fr-CH"/>
              </w:rPr>
              <w:t xml:space="preserve">Examiner localement les possibilités de </w:t>
            </w:r>
            <w:r w:rsidR="00C317B5">
              <w:rPr>
                <w:lang w:val="fr-CH"/>
              </w:rPr>
              <w:t>compensation</w:t>
            </w:r>
            <w:r>
              <w:rPr>
                <w:lang w:val="fr-CH"/>
              </w:rPr>
              <w:t xml:space="preserve"> dans des zones climatiques plus élevées et plus</w:t>
            </w:r>
            <w:r w:rsidR="006E7F76" w:rsidRPr="00572D0C">
              <w:rPr>
                <w:lang w:val="fr-CH"/>
              </w:rPr>
              <w:t xml:space="preserve"> </w:t>
            </w:r>
            <w:r>
              <w:rPr>
                <w:lang w:val="fr-CH"/>
              </w:rPr>
              <w:t>humides</w:t>
            </w:r>
            <w:r w:rsidR="006E7F76" w:rsidRPr="00572D0C">
              <w:rPr>
                <w:lang w:val="fr-CH"/>
              </w:rPr>
              <w:t xml:space="preserve"> D5–D6</w:t>
            </w:r>
          </w:p>
        </w:tc>
      </w:tr>
      <w:tr w:rsidR="006E7F76" w:rsidRPr="00572D0C" w14:paraId="640FA1B9" w14:textId="77777777" w:rsidTr="00C23D4D">
        <w:trPr>
          <w:trHeight w:val="399"/>
        </w:trPr>
        <w:tc>
          <w:tcPr>
            <w:tcW w:w="2263" w:type="dxa"/>
          </w:tcPr>
          <w:p w14:paraId="5D62C5C8" w14:textId="6D10D59D" w:rsidR="006E7F76" w:rsidRPr="00572D0C" w:rsidRDefault="003E38A3" w:rsidP="00C23D4D">
            <w:pPr>
              <w:spacing w:before="60" w:after="60"/>
              <w:rPr>
                <w:lang w:val="fr-CH"/>
              </w:rPr>
            </w:pPr>
            <w:r>
              <w:rPr>
                <w:lang w:val="fr-CH"/>
              </w:rPr>
              <w:t>Pente</w:t>
            </w:r>
          </w:p>
        </w:tc>
        <w:tc>
          <w:tcPr>
            <w:tcW w:w="2694" w:type="dxa"/>
          </w:tcPr>
          <w:p w14:paraId="314A7747" w14:textId="77777777" w:rsidR="006E7F76" w:rsidRPr="00572D0C" w:rsidRDefault="006E7F76" w:rsidP="00C23D4D">
            <w:pPr>
              <w:spacing w:before="60" w:after="60"/>
              <w:rPr>
                <w:lang w:val="fr-CH"/>
              </w:rPr>
            </w:pPr>
            <w:r w:rsidRPr="00572D0C">
              <w:rPr>
                <w:lang w:val="fr-CH"/>
              </w:rPr>
              <w:t xml:space="preserve">≤ 18% </w:t>
            </w:r>
          </w:p>
        </w:tc>
        <w:tc>
          <w:tcPr>
            <w:tcW w:w="4536" w:type="dxa"/>
          </w:tcPr>
          <w:p w14:paraId="10CEAEAB" w14:textId="068365BA" w:rsidR="006E7F76" w:rsidRPr="00572D0C" w:rsidRDefault="006E7F76" w:rsidP="00C23D4D">
            <w:pPr>
              <w:spacing w:before="60" w:after="60"/>
              <w:rPr>
                <w:lang w:val="fr-CH"/>
              </w:rPr>
            </w:pPr>
          </w:p>
        </w:tc>
      </w:tr>
      <w:tr w:rsidR="00CA5C2B" w:rsidRPr="00572D0C" w14:paraId="3F4F186D" w14:textId="77777777" w:rsidTr="00C23D4D">
        <w:trPr>
          <w:trHeight w:val="728"/>
        </w:trPr>
        <w:tc>
          <w:tcPr>
            <w:tcW w:w="2263" w:type="dxa"/>
          </w:tcPr>
          <w:p w14:paraId="46BC1A9C" w14:textId="6F843A14" w:rsidR="00CA5C2B" w:rsidRPr="00572D0C" w:rsidRDefault="00CA5C2B" w:rsidP="00C23D4D">
            <w:pPr>
              <w:spacing w:before="60" w:after="60"/>
              <w:rPr>
                <w:lang w:val="fr-CH"/>
              </w:rPr>
            </w:pPr>
            <w:r w:rsidRPr="00572D0C">
              <w:rPr>
                <w:lang w:val="fr-CH"/>
              </w:rPr>
              <w:t>P</w:t>
            </w:r>
            <w:r w:rsidR="003E38A3">
              <w:rPr>
                <w:lang w:val="fr-CH"/>
              </w:rPr>
              <w:t>rofondeur</w:t>
            </w:r>
            <w:r w:rsidRPr="00572D0C">
              <w:rPr>
                <w:lang w:val="fr-CH"/>
              </w:rPr>
              <w:t xml:space="preserve"> </w:t>
            </w:r>
            <w:r w:rsidR="00077E46">
              <w:rPr>
                <w:lang w:val="fr-CH"/>
              </w:rPr>
              <w:t xml:space="preserve">utile du sol pour les plantes </w:t>
            </w:r>
            <w:r w:rsidRPr="00572D0C">
              <w:rPr>
                <w:lang w:val="fr-CH"/>
              </w:rPr>
              <w:t>(PNG)</w:t>
            </w:r>
          </w:p>
        </w:tc>
        <w:tc>
          <w:tcPr>
            <w:tcW w:w="2694" w:type="dxa"/>
          </w:tcPr>
          <w:p w14:paraId="3955BBCC" w14:textId="0E965FE9" w:rsidR="00CA5C2B" w:rsidRPr="00572D0C" w:rsidRDefault="00CA5C2B" w:rsidP="00C23D4D">
            <w:pPr>
              <w:spacing w:before="60" w:after="60"/>
              <w:rPr>
                <w:lang w:val="fr-CH"/>
              </w:rPr>
            </w:pPr>
            <w:r w:rsidRPr="00572D0C">
              <w:rPr>
                <w:lang w:val="fr-CH"/>
              </w:rPr>
              <w:t>≥ 50 cm</w:t>
            </w:r>
          </w:p>
        </w:tc>
        <w:tc>
          <w:tcPr>
            <w:tcW w:w="4536" w:type="dxa"/>
          </w:tcPr>
          <w:p w14:paraId="291254E2" w14:textId="69E55CDD" w:rsidR="00CA5C2B" w:rsidRPr="00572D0C" w:rsidRDefault="00CA5C2B" w:rsidP="00C23D4D">
            <w:pPr>
              <w:spacing w:before="60" w:after="60"/>
              <w:rPr>
                <w:lang w:val="fr-CH"/>
              </w:rPr>
            </w:pPr>
          </w:p>
        </w:tc>
      </w:tr>
      <w:tr w:rsidR="006E7F76" w:rsidRPr="003F1EDB" w14:paraId="79F3708B" w14:textId="77777777" w:rsidTr="00C23D4D">
        <w:trPr>
          <w:trHeight w:val="399"/>
        </w:trPr>
        <w:tc>
          <w:tcPr>
            <w:tcW w:w="2263" w:type="dxa"/>
          </w:tcPr>
          <w:p w14:paraId="5868DB86" w14:textId="6FFA72C9" w:rsidR="006E7F76" w:rsidRPr="00572D0C" w:rsidRDefault="003E38A3" w:rsidP="00C23D4D">
            <w:pPr>
              <w:spacing w:before="60" w:after="60"/>
              <w:rPr>
                <w:lang w:val="fr-CH"/>
              </w:rPr>
            </w:pPr>
            <w:r>
              <w:rPr>
                <w:lang w:val="fr-CH"/>
              </w:rPr>
              <w:t>Masse volumique apparente effectiv</w:t>
            </w:r>
            <w:r w:rsidR="006E7F76" w:rsidRPr="00572D0C">
              <w:rPr>
                <w:lang w:val="fr-CH"/>
              </w:rPr>
              <w:t>e</w:t>
            </w:r>
          </w:p>
        </w:tc>
        <w:tc>
          <w:tcPr>
            <w:tcW w:w="2694" w:type="dxa"/>
          </w:tcPr>
          <w:p w14:paraId="49BA79EC" w14:textId="023536E9" w:rsidR="006E7F76" w:rsidRPr="00572D0C" w:rsidRDefault="00D222E8" w:rsidP="00C23D4D">
            <w:pPr>
              <w:spacing w:before="60" w:after="60"/>
              <w:rPr>
                <w:lang w:val="fr-CH"/>
              </w:rPr>
            </w:pPr>
            <w:r w:rsidRPr="00572D0C">
              <w:rPr>
                <w:lang w:val="fr-CH"/>
              </w:rPr>
              <w:t xml:space="preserve">≤ </w:t>
            </w:r>
            <w:r>
              <w:rPr>
                <w:lang w:val="fr-CH"/>
              </w:rPr>
              <w:t>valeur indicative</w:t>
            </w:r>
          </w:p>
        </w:tc>
        <w:tc>
          <w:tcPr>
            <w:tcW w:w="4536" w:type="dxa"/>
          </w:tcPr>
          <w:p w14:paraId="11E42F33" w14:textId="271FF88A" w:rsidR="006E7F76" w:rsidRPr="00572D0C" w:rsidRDefault="00E2553F" w:rsidP="00C23D4D">
            <w:pPr>
              <w:rPr>
                <w:lang w:val="fr-CH"/>
              </w:rPr>
            </w:pPr>
            <w:r>
              <w:rPr>
                <w:lang w:val="fr-CH"/>
              </w:rPr>
              <w:t xml:space="preserve">Selon les propositions du groupe de travail Valeurs indicatives </w:t>
            </w:r>
            <w:r w:rsidR="00AF11BF" w:rsidRPr="00572D0C">
              <w:rPr>
                <w:lang w:val="fr-CH"/>
              </w:rPr>
              <w:t>(</w:t>
            </w:r>
            <w:r w:rsidR="005D620B">
              <w:rPr>
                <w:lang w:val="fr-CH"/>
              </w:rPr>
              <w:t>p</w:t>
            </w:r>
            <w:r w:rsidR="00AF11BF" w:rsidRPr="00572D0C">
              <w:rPr>
                <w:lang w:val="fr-CH"/>
              </w:rPr>
              <w:t>lat</w:t>
            </w:r>
            <w:r w:rsidR="005D620B">
              <w:rPr>
                <w:lang w:val="fr-CH"/>
              </w:rPr>
              <w:t xml:space="preserve">eforme Protection du sol </w:t>
            </w:r>
            <w:r w:rsidR="00AF11BF" w:rsidRPr="00572D0C">
              <w:rPr>
                <w:lang w:val="fr-CH"/>
              </w:rPr>
              <w:t>/</w:t>
            </w:r>
            <w:r>
              <w:rPr>
                <w:lang w:val="fr-CH"/>
              </w:rPr>
              <w:t xml:space="preserve"> Société suisse de pédologie</w:t>
            </w:r>
            <w:r w:rsidR="00AF11BF" w:rsidRPr="00572D0C">
              <w:rPr>
                <w:lang w:val="fr-CH"/>
              </w:rPr>
              <w:t xml:space="preserve">) </w:t>
            </w:r>
            <w:r>
              <w:rPr>
                <w:lang w:val="fr-CH"/>
              </w:rPr>
              <w:t>co</w:t>
            </w:r>
            <w:r w:rsidR="00AF11BF" w:rsidRPr="00572D0C">
              <w:rPr>
                <w:lang w:val="fr-CH"/>
              </w:rPr>
              <w:t>n</w:t>
            </w:r>
            <w:r>
              <w:rPr>
                <w:lang w:val="fr-CH"/>
              </w:rPr>
              <w:t>cernant les valeurs indicatives et les valeurs</w:t>
            </w:r>
            <w:r w:rsidR="005D620B">
              <w:rPr>
                <w:lang w:val="fr-CH"/>
              </w:rPr>
              <w:t>-tests pour la mise en œuvre de la protection physique des sols</w:t>
            </w:r>
            <w:r w:rsidR="00AF11BF" w:rsidRPr="00572D0C">
              <w:rPr>
                <w:lang w:val="fr-CH"/>
              </w:rPr>
              <w:t>, Z</w:t>
            </w:r>
            <w:r w:rsidR="00077E46">
              <w:rPr>
                <w:lang w:val="fr-CH"/>
              </w:rPr>
              <w:t>u</w:t>
            </w:r>
            <w:r w:rsidR="00AF11BF" w:rsidRPr="00572D0C">
              <w:rPr>
                <w:lang w:val="fr-CH"/>
              </w:rPr>
              <w:t>rich,</w:t>
            </w:r>
            <w:r w:rsidR="005D620B">
              <w:rPr>
                <w:lang w:val="fr-CH"/>
              </w:rPr>
              <w:t xml:space="preserve"> 8</w:t>
            </w:r>
            <w:r w:rsidR="00AF11BF" w:rsidRPr="00572D0C">
              <w:rPr>
                <w:lang w:val="fr-CH"/>
              </w:rPr>
              <w:t xml:space="preserve"> </w:t>
            </w:r>
            <w:r w:rsidR="005D620B">
              <w:rPr>
                <w:lang w:val="fr-CH"/>
              </w:rPr>
              <w:t>m</w:t>
            </w:r>
            <w:r w:rsidR="00AF11BF" w:rsidRPr="00572D0C">
              <w:rPr>
                <w:lang w:val="fr-CH"/>
              </w:rPr>
              <w:t>ai 2003 (n</w:t>
            </w:r>
            <w:r w:rsidR="005D620B">
              <w:rPr>
                <w:lang w:val="fr-CH"/>
              </w:rPr>
              <w:t>on publié</w:t>
            </w:r>
            <w:r w:rsidR="00AF11BF" w:rsidRPr="00572D0C">
              <w:rPr>
                <w:lang w:val="fr-CH"/>
              </w:rPr>
              <w:t>).</w:t>
            </w:r>
          </w:p>
        </w:tc>
      </w:tr>
      <w:tr w:rsidR="006E7F76" w:rsidRPr="00572D0C" w14:paraId="033A52D3" w14:textId="77777777" w:rsidTr="00C23D4D">
        <w:trPr>
          <w:trHeight w:val="399"/>
        </w:trPr>
        <w:tc>
          <w:tcPr>
            <w:tcW w:w="2263" w:type="dxa"/>
          </w:tcPr>
          <w:p w14:paraId="0B318D78" w14:textId="00634158" w:rsidR="006E7F76" w:rsidRPr="00572D0C" w:rsidRDefault="003E38A3" w:rsidP="00C23D4D">
            <w:pPr>
              <w:spacing w:before="60" w:after="60"/>
              <w:rPr>
                <w:lang w:val="fr-CH"/>
              </w:rPr>
            </w:pPr>
            <w:r>
              <w:rPr>
                <w:lang w:val="fr-CH"/>
              </w:rPr>
              <w:t>Polluants selon l’OSol</w:t>
            </w:r>
          </w:p>
        </w:tc>
        <w:tc>
          <w:tcPr>
            <w:tcW w:w="2694" w:type="dxa"/>
          </w:tcPr>
          <w:p w14:paraId="070CE992" w14:textId="344200D8" w:rsidR="006E7F76" w:rsidRPr="00572D0C" w:rsidRDefault="006E7F76" w:rsidP="00C23D4D">
            <w:pPr>
              <w:spacing w:before="60" w:after="60"/>
              <w:rPr>
                <w:lang w:val="fr-CH"/>
              </w:rPr>
            </w:pPr>
            <w:r w:rsidRPr="00572D0C">
              <w:rPr>
                <w:lang w:val="fr-CH"/>
              </w:rPr>
              <w:t xml:space="preserve">≤ </w:t>
            </w:r>
            <w:r w:rsidR="003E38A3">
              <w:rPr>
                <w:lang w:val="fr-CH"/>
              </w:rPr>
              <w:t>valeur indicative</w:t>
            </w:r>
          </w:p>
        </w:tc>
        <w:tc>
          <w:tcPr>
            <w:tcW w:w="4536" w:type="dxa"/>
          </w:tcPr>
          <w:p w14:paraId="156949A1" w14:textId="77777777" w:rsidR="006E7F76" w:rsidRPr="00572D0C" w:rsidRDefault="006E7F76" w:rsidP="00C23D4D">
            <w:pPr>
              <w:spacing w:before="60" w:after="60"/>
              <w:rPr>
                <w:lang w:val="fr-CH"/>
              </w:rPr>
            </w:pPr>
          </w:p>
        </w:tc>
      </w:tr>
      <w:tr w:rsidR="006E7F76" w:rsidRPr="003F1EDB" w14:paraId="630FCD63" w14:textId="77777777" w:rsidTr="00C23D4D">
        <w:trPr>
          <w:trHeight w:val="399"/>
        </w:trPr>
        <w:tc>
          <w:tcPr>
            <w:tcW w:w="2263" w:type="dxa"/>
          </w:tcPr>
          <w:p w14:paraId="6F881801" w14:textId="29B3969D" w:rsidR="006E7F76" w:rsidRPr="00572D0C" w:rsidRDefault="003E38A3" w:rsidP="00C23D4D">
            <w:pPr>
              <w:spacing w:before="60" w:after="60"/>
              <w:rPr>
                <w:lang w:val="fr-CH"/>
              </w:rPr>
            </w:pPr>
            <w:r>
              <w:rPr>
                <w:lang w:val="fr-CH"/>
              </w:rPr>
              <w:t>Superficie d’un seul tenant</w:t>
            </w:r>
          </w:p>
        </w:tc>
        <w:tc>
          <w:tcPr>
            <w:tcW w:w="2694" w:type="dxa"/>
          </w:tcPr>
          <w:p w14:paraId="530DD6C6" w14:textId="3B5F4E7F" w:rsidR="006E7F76" w:rsidRPr="00572D0C" w:rsidRDefault="003E38A3" w:rsidP="00C23D4D">
            <w:pPr>
              <w:spacing w:before="60" w:after="60"/>
              <w:rPr>
                <w:lang w:val="fr-CH"/>
              </w:rPr>
            </w:pPr>
            <w:r>
              <w:rPr>
                <w:lang w:val="fr-CH"/>
              </w:rPr>
              <w:t>Au moins</w:t>
            </w:r>
            <w:r w:rsidR="006E7F76" w:rsidRPr="00572D0C">
              <w:rPr>
                <w:lang w:val="fr-CH"/>
              </w:rPr>
              <w:t xml:space="preserve"> 1 ha </w:t>
            </w:r>
            <w:r>
              <w:rPr>
                <w:lang w:val="fr-CH"/>
              </w:rPr>
              <w:t>de superficie et forme adéquate de la parcelle</w:t>
            </w:r>
          </w:p>
        </w:tc>
        <w:tc>
          <w:tcPr>
            <w:tcW w:w="4536" w:type="dxa"/>
          </w:tcPr>
          <w:p w14:paraId="54F556CD" w14:textId="2D7848FF" w:rsidR="006E7F76" w:rsidRPr="00572D0C" w:rsidRDefault="005D620B" w:rsidP="00C23D4D">
            <w:pPr>
              <w:spacing w:before="60" w:after="60"/>
              <w:rPr>
                <w:lang w:val="fr-CH"/>
              </w:rPr>
            </w:pPr>
            <w:r>
              <w:rPr>
                <w:lang w:val="fr-CH"/>
              </w:rPr>
              <w:t>Les surfaces de qualité SDA entre</w:t>
            </w:r>
            <w:r w:rsidR="006E7F76" w:rsidRPr="00572D0C">
              <w:rPr>
                <w:lang w:val="fr-CH"/>
              </w:rPr>
              <w:t xml:space="preserve"> 0</w:t>
            </w:r>
            <w:r w:rsidR="00413620">
              <w:rPr>
                <w:lang w:val="fr-CH"/>
              </w:rPr>
              <w:t>,</w:t>
            </w:r>
            <w:r w:rsidR="006E7F76" w:rsidRPr="00572D0C">
              <w:rPr>
                <w:lang w:val="fr-CH"/>
              </w:rPr>
              <w:t xml:space="preserve">25 </w:t>
            </w:r>
            <w:r>
              <w:rPr>
                <w:lang w:val="fr-CH"/>
              </w:rPr>
              <w:t>et</w:t>
            </w:r>
            <w:r w:rsidR="006E7F76" w:rsidRPr="00572D0C">
              <w:rPr>
                <w:lang w:val="fr-CH"/>
              </w:rPr>
              <w:t xml:space="preserve"> 1 ha </w:t>
            </w:r>
            <w:r>
              <w:rPr>
                <w:lang w:val="fr-CH"/>
              </w:rPr>
              <w:t>peuvent être comptabilisées en SDA</w:t>
            </w:r>
            <w:r w:rsidR="006E7F76" w:rsidRPr="00572D0C">
              <w:rPr>
                <w:lang w:val="fr-CH"/>
              </w:rPr>
              <w:t xml:space="preserve"> </w:t>
            </w:r>
            <w:r>
              <w:rPr>
                <w:lang w:val="fr-CH"/>
              </w:rPr>
              <w:t>quand elles jouxtent des SDA existantes</w:t>
            </w:r>
          </w:p>
        </w:tc>
      </w:tr>
    </w:tbl>
    <w:p w14:paraId="34D9DD55" w14:textId="75047D42" w:rsidR="00A72832" w:rsidRPr="00572D0C" w:rsidDel="006E7F76" w:rsidRDefault="00413620" w:rsidP="00507407">
      <w:pPr>
        <w:rPr>
          <w:lang w:val="fr-CH"/>
        </w:rPr>
      </w:pPr>
      <w:r>
        <w:rPr>
          <w:lang w:val="fr-CH"/>
        </w:rPr>
        <w:lastRenderedPageBreak/>
        <w:t>Les critères relatifs à la pente</w:t>
      </w:r>
      <w:r w:rsidR="006E7F76" w:rsidRPr="00572D0C">
        <w:rPr>
          <w:lang w:val="fr-CH"/>
        </w:rPr>
        <w:t xml:space="preserve"> (&lt;18%) </w:t>
      </w:r>
      <w:r>
        <w:rPr>
          <w:lang w:val="fr-CH"/>
        </w:rPr>
        <w:t xml:space="preserve">et à la profondeur </w:t>
      </w:r>
      <w:r w:rsidR="006E7F76" w:rsidRPr="00572D0C">
        <w:rPr>
          <w:lang w:val="fr-CH"/>
        </w:rPr>
        <w:t xml:space="preserve">(&gt;50 cm) </w:t>
      </w:r>
      <w:r w:rsidR="000E5F3F">
        <w:rPr>
          <w:lang w:val="fr-CH"/>
        </w:rPr>
        <w:t xml:space="preserve">présentés dans le tableau 1 </w:t>
      </w:r>
      <w:r w:rsidR="006E7F76" w:rsidRPr="00572D0C">
        <w:rPr>
          <w:lang w:val="fr-CH"/>
        </w:rPr>
        <w:t>s</w:t>
      </w:r>
      <w:r>
        <w:rPr>
          <w:lang w:val="fr-CH"/>
        </w:rPr>
        <w:t xml:space="preserve">ont plus stricts que ceux des relevés de </w:t>
      </w:r>
      <w:r w:rsidR="006E7F76" w:rsidRPr="00572D0C">
        <w:rPr>
          <w:lang w:val="fr-CH"/>
        </w:rPr>
        <w:t>1992</w:t>
      </w:r>
      <w:r>
        <w:rPr>
          <w:lang w:val="fr-CH"/>
        </w:rPr>
        <w:t xml:space="preserve"> et </w:t>
      </w:r>
      <w:r w:rsidR="008E5EF5">
        <w:rPr>
          <w:lang w:val="fr-CH"/>
        </w:rPr>
        <w:t>des relevés antérieurs</w:t>
      </w:r>
      <w:r w:rsidR="006E7F76" w:rsidRPr="00572D0C">
        <w:rPr>
          <w:lang w:val="fr-CH"/>
        </w:rPr>
        <w:t xml:space="preserve">. </w:t>
      </w:r>
      <w:r>
        <w:rPr>
          <w:lang w:val="fr-CH"/>
        </w:rPr>
        <w:t xml:space="preserve">Certains relevés cantonaux comprennent des terres d’une pente allant jusqu’à </w:t>
      </w:r>
      <w:r w:rsidR="006E7F76" w:rsidRPr="00572D0C">
        <w:rPr>
          <w:lang w:val="fr-CH"/>
        </w:rPr>
        <w:t xml:space="preserve">25% </w:t>
      </w:r>
      <w:r>
        <w:rPr>
          <w:lang w:val="fr-CH"/>
        </w:rPr>
        <w:t>et des sols d’une profondeur de</w:t>
      </w:r>
      <w:r w:rsidR="006E7F76" w:rsidRPr="00572D0C">
        <w:rPr>
          <w:lang w:val="fr-CH"/>
        </w:rPr>
        <w:t xml:space="preserve"> 30 cm.</w:t>
      </w:r>
    </w:p>
    <w:p w14:paraId="6D6CE05F" w14:textId="399F3753" w:rsidR="00C6004A" w:rsidRPr="00572D0C" w:rsidRDefault="00C21C3D" w:rsidP="799D40CD">
      <w:pPr>
        <w:rPr>
          <w:i/>
          <w:iCs/>
          <w:lang w:val="fr-CH"/>
        </w:rPr>
      </w:pPr>
      <w:r>
        <w:rPr>
          <w:i/>
          <w:iCs/>
          <w:lang w:val="fr-CH"/>
        </w:rPr>
        <w:t>Z</w:t>
      </w:r>
      <w:r w:rsidR="147A5F7B" w:rsidRPr="00572D0C">
        <w:rPr>
          <w:i/>
          <w:iCs/>
          <w:lang w:val="fr-CH"/>
        </w:rPr>
        <w:t>one</w:t>
      </w:r>
      <w:r>
        <w:rPr>
          <w:i/>
          <w:iCs/>
          <w:lang w:val="fr-CH"/>
        </w:rPr>
        <w:t xml:space="preserve"> climatique</w:t>
      </w:r>
    </w:p>
    <w:p w14:paraId="19918694" w14:textId="227985BE" w:rsidR="00BB3B4F" w:rsidRPr="00572D0C" w:rsidRDefault="00C21C3D" w:rsidP="00C6004A">
      <w:pPr>
        <w:rPr>
          <w:lang w:val="fr-CH"/>
        </w:rPr>
      </w:pPr>
      <w:r>
        <w:rPr>
          <w:lang w:val="fr-CH"/>
        </w:rPr>
        <w:t>Selon la carte des aptitudes climatiques pour l’agriculture</w:t>
      </w:r>
      <w:r w:rsidR="00C6004A" w:rsidRPr="00572D0C">
        <w:rPr>
          <w:rStyle w:val="Funotenzeichen"/>
          <w:lang w:val="fr-CH"/>
        </w:rPr>
        <w:footnoteReference w:id="25"/>
      </w:r>
      <w:r>
        <w:rPr>
          <w:lang w:val="fr-CH"/>
        </w:rPr>
        <w:t>, les SDA seront limitées aux zones climatiques</w:t>
      </w:r>
      <w:r w:rsidR="00C6004A" w:rsidRPr="00572D0C">
        <w:rPr>
          <w:lang w:val="fr-CH"/>
        </w:rPr>
        <w:t xml:space="preserve"> A1</w:t>
      </w:r>
      <w:r>
        <w:rPr>
          <w:lang w:val="fr-CH"/>
        </w:rPr>
        <w:t xml:space="preserve"> à </w:t>
      </w:r>
      <w:r w:rsidR="00C6004A" w:rsidRPr="00572D0C">
        <w:rPr>
          <w:lang w:val="fr-CH"/>
        </w:rPr>
        <w:t xml:space="preserve">D4. </w:t>
      </w:r>
      <w:r>
        <w:rPr>
          <w:lang w:val="fr-CH"/>
        </w:rPr>
        <w:t xml:space="preserve">Les </w:t>
      </w:r>
      <w:r w:rsidR="000E5F3F">
        <w:rPr>
          <w:lang w:val="fr-CH"/>
        </w:rPr>
        <w:t xml:space="preserve">sols qualifiés de </w:t>
      </w:r>
      <w:r>
        <w:rPr>
          <w:lang w:val="fr-CH"/>
        </w:rPr>
        <w:t xml:space="preserve">SDA situés dans des zones climatiques </w:t>
      </w:r>
      <w:r w:rsidRPr="00572D0C">
        <w:rPr>
          <w:lang w:val="fr-CH"/>
        </w:rPr>
        <w:t>D5</w:t>
      </w:r>
      <w:r>
        <w:rPr>
          <w:lang w:val="fr-CH"/>
        </w:rPr>
        <w:t xml:space="preserve"> et </w:t>
      </w:r>
      <w:r w:rsidRPr="00572D0C">
        <w:rPr>
          <w:lang w:val="fr-CH"/>
        </w:rPr>
        <w:t>D6</w:t>
      </w:r>
      <w:r>
        <w:rPr>
          <w:lang w:val="fr-CH"/>
        </w:rPr>
        <w:t xml:space="preserve"> ou</w:t>
      </w:r>
      <w:r w:rsidRPr="00572D0C">
        <w:rPr>
          <w:lang w:val="fr-CH"/>
        </w:rPr>
        <w:t xml:space="preserve"> E</w:t>
      </w:r>
      <w:r>
        <w:rPr>
          <w:lang w:val="fr-CH"/>
        </w:rPr>
        <w:t xml:space="preserve"> à </w:t>
      </w:r>
      <w:r w:rsidRPr="00572D0C">
        <w:rPr>
          <w:lang w:val="fr-CH"/>
        </w:rPr>
        <w:t>G</w:t>
      </w:r>
      <w:r w:rsidR="00C317B5">
        <w:rPr>
          <w:lang w:val="fr-CH"/>
        </w:rPr>
        <w:t xml:space="preserve">, </w:t>
      </w:r>
      <w:r>
        <w:rPr>
          <w:lang w:val="fr-CH"/>
        </w:rPr>
        <w:t>plus élevées et plus humides</w:t>
      </w:r>
      <w:r w:rsidR="00C317B5">
        <w:rPr>
          <w:lang w:val="fr-CH"/>
        </w:rPr>
        <w:t>,</w:t>
      </w:r>
      <w:r>
        <w:rPr>
          <w:lang w:val="fr-CH"/>
        </w:rPr>
        <w:t xml:space="preserve"> constituent des cas particuliers </w:t>
      </w:r>
      <w:r w:rsidR="00C317B5">
        <w:rPr>
          <w:lang w:val="fr-CH"/>
        </w:rPr>
        <w:t>de l’agriculture traditionnelle inventoriés pour des cultures particulièrement robustes</w:t>
      </w:r>
      <w:r w:rsidR="00C6004A" w:rsidRPr="00572D0C">
        <w:rPr>
          <w:lang w:val="fr-CH"/>
        </w:rPr>
        <w:t xml:space="preserve">. </w:t>
      </w:r>
      <w:r w:rsidR="00C317B5">
        <w:rPr>
          <w:lang w:val="fr-CH"/>
        </w:rPr>
        <w:t>Dans ces zones climatiques, aucune délimitation de nouvelles SDA ne devrait être envisagée ; par contre, il est possible d’y procéder à une compensation locale de SDA perdues</w:t>
      </w:r>
      <w:r w:rsidR="00C6004A" w:rsidRPr="00572D0C">
        <w:rPr>
          <w:lang w:val="fr-CH"/>
        </w:rPr>
        <w:t>.</w:t>
      </w:r>
    </w:p>
    <w:p w14:paraId="689AA3C7" w14:textId="679A40D2" w:rsidR="00C6004A" w:rsidRPr="00572D0C" w:rsidRDefault="00C317B5" w:rsidP="295F27C4">
      <w:pPr>
        <w:rPr>
          <w:i/>
          <w:iCs/>
          <w:lang w:val="fr-CH"/>
        </w:rPr>
      </w:pPr>
      <w:r>
        <w:rPr>
          <w:i/>
          <w:iCs/>
          <w:lang w:val="fr-CH"/>
        </w:rPr>
        <w:t>Pente</w:t>
      </w:r>
    </w:p>
    <w:p w14:paraId="3EF1AFA8" w14:textId="44DEA14B" w:rsidR="00BB3B4F" w:rsidRPr="00572D0C" w:rsidRDefault="00C317B5" w:rsidP="00C6004A">
      <w:pPr>
        <w:rPr>
          <w:lang w:val="fr-CH"/>
        </w:rPr>
      </w:pPr>
      <w:r>
        <w:rPr>
          <w:lang w:val="fr-CH"/>
        </w:rPr>
        <w:t xml:space="preserve">La pente des surfaces d’assolement </w:t>
      </w:r>
      <w:r w:rsidR="000E5F3F">
        <w:rPr>
          <w:lang w:val="fr-CH"/>
        </w:rPr>
        <w:t xml:space="preserve">nouvellement délimitées </w:t>
      </w:r>
      <w:r>
        <w:rPr>
          <w:lang w:val="fr-CH"/>
        </w:rPr>
        <w:t>ne doit pas dépasser</w:t>
      </w:r>
      <w:r w:rsidR="147A5F7B" w:rsidRPr="00572D0C">
        <w:rPr>
          <w:lang w:val="fr-CH"/>
        </w:rPr>
        <w:t xml:space="preserve"> 18%. </w:t>
      </w:r>
      <w:r>
        <w:rPr>
          <w:lang w:val="fr-CH"/>
        </w:rPr>
        <w:t xml:space="preserve">La détermination de la pente effective doit s’effectuer en priorité sur la base de modèles numériques de terrain. Des contrôles sur le terrain visant à apporter des compléments ou des corrections peuvent être pratiqués. </w:t>
      </w:r>
    </w:p>
    <w:p w14:paraId="407CC5D0" w14:textId="6F04358C" w:rsidR="00C6004A" w:rsidRPr="00572D0C" w:rsidRDefault="00C317B5" w:rsidP="799D40CD">
      <w:pPr>
        <w:rPr>
          <w:i/>
          <w:iCs/>
          <w:lang w:val="fr-CH"/>
        </w:rPr>
      </w:pPr>
      <w:r>
        <w:rPr>
          <w:i/>
          <w:iCs/>
          <w:lang w:val="fr-CH"/>
        </w:rPr>
        <w:t>Profondeur</w:t>
      </w:r>
    </w:p>
    <w:p w14:paraId="175F9870" w14:textId="5FD26894" w:rsidR="002A14E7" w:rsidRPr="00572D0C" w:rsidRDefault="00C317B5" w:rsidP="00C6004A">
      <w:pPr>
        <w:rPr>
          <w:lang w:val="fr-CH"/>
        </w:rPr>
      </w:pPr>
      <w:r>
        <w:rPr>
          <w:lang w:val="fr-CH"/>
        </w:rPr>
        <w:t>On entend par profondeur utile du sol la profondeur utile pour les plantes</w:t>
      </w:r>
      <w:r w:rsidR="147A5F7B" w:rsidRPr="00572D0C">
        <w:rPr>
          <w:lang w:val="fr-CH"/>
        </w:rPr>
        <w:t xml:space="preserve"> </w:t>
      </w:r>
      <w:r>
        <w:rPr>
          <w:lang w:val="fr-CH"/>
        </w:rPr>
        <w:t>telle qu’elle est définie de manière détaillée dans les instructions</w:t>
      </w:r>
      <w:r w:rsidR="147A5F7B" w:rsidRPr="00572D0C">
        <w:rPr>
          <w:lang w:val="fr-CH"/>
        </w:rPr>
        <w:t xml:space="preserve"> FAL 24 (</w:t>
      </w:r>
      <w:r>
        <w:rPr>
          <w:lang w:val="fr-CH"/>
        </w:rPr>
        <w:t>chapitre</w:t>
      </w:r>
      <w:r w:rsidR="147A5F7B" w:rsidRPr="00572D0C">
        <w:rPr>
          <w:lang w:val="fr-CH"/>
        </w:rPr>
        <w:t xml:space="preserve"> 5.3.2</w:t>
      </w:r>
      <w:r>
        <w:rPr>
          <w:lang w:val="fr-CH"/>
        </w:rPr>
        <w:t>)</w:t>
      </w:r>
      <w:r w:rsidR="147A5F7B" w:rsidRPr="00572D0C">
        <w:rPr>
          <w:lang w:val="fr-CH"/>
        </w:rPr>
        <w:t xml:space="preserve">. </w:t>
      </w:r>
      <w:r>
        <w:rPr>
          <w:lang w:val="fr-CH"/>
        </w:rPr>
        <w:t xml:space="preserve">La profondeur utile pour les plantes est notamment un indicateur pour les réserves d’eau disponibles dans le sol. </w:t>
      </w:r>
      <w:r w:rsidR="00595390">
        <w:rPr>
          <w:lang w:val="fr-CH"/>
        </w:rPr>
        <w:t>Ces réserves d’eau peuvent devenir très importantes pour l’agriculture dans le contexte des changements climatiques.</w:t>
      </w:r>
    </w:p>
    <w:p w14:paraId="083B9D1C" w14:textId="5D6E3DB6" w:rsidR="00AE19DA" w:rsidRDefault="000E5F3F" w:rsidP="00C6004A">
      <w:pPr>
        <w:rPr>
          <w:lang w:val="fr-CH"/>
        </w:rPr>
      </w:pPr>
      <w:r>
        <w:rPr>
          <w:lang w:val="fr-CH"/>
        </w:rPr>
        <w:t>Pour être qualifié de</w:t>
      </w:r>
      <w:r w:rsidR="00C62D4A">
        <w:rPr>
          <w:lang w:val="fr-CH"/>
        </w:rPr>
        <w:t xml:space="preserve"> SDA</w:t>
      </w:r>
      <w:r>
        <w:rPr>
          <w:lang w:val="fr-CH"/>
        </w:rPr>
        <w:t>, un sol doit présenter</w:t>
      </w:r>
      <w:r w:rsidR="00C62D4A">
        <w:rPr>
          <w:lang w:val="fr-CH"/>
        </w:rPr>
        <w:t xml:space="preserve"> une profondeur utile </w:t>
      </w:r>
      <w:r>
        <w:rPr>
          <w:lang w:val="fr-CH"/>
        </w:rPr>
        <w:t xml:space="preserve">minimale </w:t>
      </w:r>
      <w:r w:rsidR="00C62D4A">
        <w:rPr>
          <w:lang w:val="fr-CH"/>
        </w:rPr>
        <w:t>de</w:t>
      </w:r>
      <w:r w:rsidR="147A5F7B" w:rsidRPr="00572D0C">
        <w:rPr>
          <w:lang w:val="fr-CH"/>
        </w:rPr>
        <w:t xml:space="preserve"> 50 cm. </w:t>
      </w:r>
      <w:r w:rsidR="00C62D4A">
        <w:rPr>
          <w:lang w:val="fr-CH"/>
        </w:rPr>
        <w:t>Il est avéré que cette valeur n’est pas toujours respectée dans l’inventaire actuel en raison d’une saisie incomplète des aptitudes du sol ou d’une application divergente des critères. Si une réduction de la profondeur minimale peut se justifier dans certains cas, un abaissement général du critère de la profon</w:t>
      </w:r>
      <w:r w:rsidR="005A3CAA">
        <w:rPr>
          <w:lang w:val="fr-CH"/>
        </w:rPr>
        <w:t>deur contreviendrait au but du P</w:t>
      </w:r>
      <w:r w:rsidR="00C62D4A">
        <w:rPr>
          <w:lang w:val="fr-CH"/>
        </w:rPr>
        <w:t>lan sectoriel, qui est de préserver les meilleurs sols</w:t>
      </w:r>
      <w:r w:rsidR="00AE19DA">
        <w:rPr>
          <w:lang w:val="fr-CH"/>
        </w:rPr>
        <w:t xml:space="preserve"> agricoles</w:t>
      </w:r>
      <w:r w:rsidR="147A5F7B" w:rsidRPr="00572D0C">
        <w:rPr>
          <w:lang w:val="fr-CH"/>
        </w:rPr>
        <w:t>.</w:t>
      </w:r>
      <w:r w:rsidR="00AE19DA">
        <w:rPr>
          <w:lang w:val="fr-CH"/>
        </w:rPr>
        <w:t xml:space="preserve"> Le tableau ci-dessous présente les diverses possibilités de solutions aux divergences observées.</w:t>
      </w:r>
    </w:p>
    <w:p w14:paraId="1EB26006" w14:textId="790592B4" w:rsidR="00AE19DA" w:rsidRPr="00501D1D" w:rsidRDefault="00AE19DA" w:rsidP="00AE19DA">
      <w:pPr>
        <w:pStyle w:val="Beschriftung"/>
        <w:rPr>
          <w:lang w:val="fr-CH"/>
        </w:rPr>
      </w:pPr>
      <w:r w:rsidRPr="00501D1D">
        <w:rPr>
          <w:lang w:val="fr-CH"/>
        </w:rPr>
        <w:t xml:space="preserve">Tableau </w:t>
      </w:r>
      <w:r>
        <w:fldChar w:fldCharType="begin"/>
      </w:r>
      <w:r w:rsidRPr="00501D1D">
        <w:rPr>
          <w:lang w:val="fr-CH"/>
        </w:rPr>
        <w:instrText xml:space="preserve"> SEQ Tabelle \* ARABIC </w:instrText>
      </w:r>
      <w:r>
        <w:fldChar w:fldCharType="separate"/>
      </w:r>
      <w:r w:rsidR="00A65A9C">
        <w:rPr>
          <w:noProof/>
          <w:lang w:val="fr-CH"/>
        </w:rPr>
        <w:t>2</w:t>
      </w:r>
      <w:r>
        <w:fldChar w:fldCharType="end"/>
      </w:r>
      <w:r w:rsidRPr="00501D1D">
        <w:rPr>
          <w:lang w:val="fr-CH"/>
        </w:rPr>
        <w:t xml:space="preserve">: </w:t>
      </w:r>
      <w:r w:rsidR="00F77FB1" w:rsidRPr="00993097">
        <w:rPr>
          <w:lang w:val="fr-CH"/>
        </w:rPr>
        <w:t>Seuils de profondeur et comptabilisation</w:t>
      </w:r>
    </w:p>
    <w:tbl>
      <w:tblPr>
        <w:tblStyle w:val="Tabellenraster"/>
        <w:tblW w:w="0" w:type="auto"/>
        <w:tblInd w:w="-5" w:type="dxa"/>
        <w:tblLook w:val="04A0" w:firstRow="1" w:lastRow="0" w:firstColumn="1" w:lastColumn="0" w:noHBand="0" w:noVBand="1"/>
      </w:tblPr>
      <w:tblGrid>
        <w:gridCol w:w="6327"/>
        <w:gridCol w:w="1890"/>
        <w:gridCol w:w="1303"/>
      </w:tblGrid>
      <w:tr w:rsidR="00993097" w14:paraId="2F2734C5" w14:textId="77777777" w:rsidTr="00A06CAB">
        <w:tc>
          <w:tcPr>
            <w:tcW w:w="0" w:type="auto"/>
          </w:tcPr>
          <w:p w14:paraId="3C1A85D5" w14:textId="43822062" w:rsidR="00AE19DA" w:rsidRPr="00200775" w:rsidRDefault="00F77FB1" w:rsidP="00200775">
            <w:pPr>
              <w:spacing w:before="60"/>
              <w:rPr>
                <w:b/>
                <w:lang w:val="fr-CH"/>
              </w:rPr>
            </w:pPr>
            <w:r w:rsidRPr="00200775">
              <w:rPr>
                <w:b/>
                <w:lang w:val="fr-CH"/>
              </w:rPr>
              <w:t>Domaine d’application</w:t>
            </w:r>
          </w:p>
        </w:tc>
        <w:tc>
          <w:tcPr>
            <w:tcW w:w="0" w:type="auto"/>
          </w:tcPr>
          <w:p w14:paraId="608D0EB0" w14:textId="736FC8A3" w:rsidR="00AE19DA" w:rsidRPr="00200775" w:rsidRDefault="00F77FB1" w:rsidP="00200775">
            <w:pPr>
              <w:spacing w:before="60"/>
              <w:rPr>
                <w:b/>
                <w:lang w:val="fr-CH"/>
              </w:rPr>
            </w:pPr>
            <w:r w:rsidRPr="00200775">
              <w:rPr>
                <w:rFonts w:eastAsiaTheme="minorHAnsi" w:cs="Arial"/>
                <w:b/>
                <w:color w:val="000000"/>
                <w:lang w:val="fr-CH" w:eastAsia="en-US"/>
              </w:rPr>
              <w:t>Profondeur utile pour les plantes</w:t>
            </w:r>
            <w:r w:rsidR="00AE19DA" w:rsidRPr="00200775">
              <w:rPr>
                <w:rFonts w:eastAsiaTheme="minorHAnsi" w:cs="Arial"/>
                <w:b/>
                <w:color w:val="000000"/>
                <w:lang w:val="fr-CH" w:eastAsia="en-US"/>
              </w:rPr>
              <w:t xml:space="preserve"> [cm]</w:t>
            </w:r>
          </w:p>
        </w:tc>
        <w:tc>
          <w:tcPr>
            <w:tcW w:w="0" w:type="auto"/>
          </w:tcPr>
          <w:p w14:paraId="1E79510D" w14:textId="737EF0A7" w:rsidR="00AE19DA" w:rsidRPr="00200775" w:rsidRDefault="00F77FB1" w:rsidP="00200775">
            <w:pPr>
              <w:spacing w:before="60"/>
              <w:rPr>
                <w:b/>
                <w:lang w:val="fr-CH"/>
              </w:rPr>
            </w:pPr>
            <w:r w:rsidRPr="00200775">
              <w:rPr>
                <w:rFonts w:eastAsiaTheme="minorHAnsi" w:cs="Arial"/>
                <w:b/>
                <w:color w:val="000000"/>
                <w:lang w:val="fr-CH" w:eastAsia="en-US"/>
              </w:rPr>
              <w:t>Comptabilisation</w:t>
            </w:r>
            <w:r w:rsidR="00AE19DA" w:rsidRPr="00200775">
              <w:rPr>
                <w:rFonts w:eastAsiaTheme="minorHAnsi" w:cs="Arial"/>
                <w:b/>
                <w:color w:val="000000"/>
                <w:lang w:val="fr-CH" w:eastAsia="en-US"/>
              </w:rPr>
              <w:t xml:space="preserve"> [%]</w:t>
            </w:r>
          </w:p>
        </w:tc>
      </w:tr>
      <w:tr w:rsidR="00993097" w14:paraId="0B7F15B9" w14:textId="77777777" w:rsidTr="00A06CAB">
        <w:tc>
          <w:tcPr>
            <w:tcW w:w="0" w:type="auto"/>
          </w:tcPr>
          <w:p w14:paraId="0E202344" w14:textId="04E3F9BE" w:rsidR="00AE19DA" w:rsidRPr="00993097" w:rsidRDefault="00993097" w:rsidP="00200775">
            <w:pPr>
              <w:spacing w:before="60"/>
              <w:rPr>
                <w:rFonts w:eastAsiaTheme="minorHAnsi" w:cs="Arial"/>
                <w:color w:val="000000"/>
                <w:lang w:val="fr-CH" w:eastAsia="en-US"/>
              </w:rPr>
            </w:pPr>
            <w:r>
              <w:rPr>
                <w:rFonts w:eastAsiaTheme="minorHAnsi" w:cs="Arial"/>
                <w:color w:val="000000"/>
                <w:lang w:val="fr-CH" w:eastAsia="en-US"/>
              </w:rPr>
              <w:t>Nouvelles délimitations de SDA</w:t>
            </w:r>
            <w:r w:rsidR="00AE19DA" w:rsidRPr="00993097">
              <w:rPr>
                <w:rFonts w:eastAsiaTheme="minorHAnsi" w:cs="Arial"/>
                <w:color w:val="000000"/>
                <w:lang w:val="fr-CH" w:eastAsia="en-US"/>
              </w:rPr>
              <w:t xml:space="preserve"> </w:t>
            </w:r>
          </w:p>
          <w:p w14:paraId="01F595F0" w14:textId="28ECF9A6" w:rsidR="00AE19DA" w:rsidRPr="00993097" w:rsidRDefault="00993097" w:rsidP="00200775">
            <w:pPr>
              <w:spacing w:before="60"/>
              <w:rPr>
                <w:rFonts w:eastAsiaTheme="minorHAnsi" w:cs="Arial"/>
                <w:color w:val="000000"/>
                <w:lang w:val="fr-CH" w:eastAsia="en-US"/>
              </w:rPr>
            </w:pPr>
            <w:r>
              <w:rPr>
                <w:rFonts w:eastAsiaTheme="minorHAnsi" w:cs="Arial"/>
                <w:color w:val="000000"/>
                <w:lang w:val="fr-CH" w:eastAsia="en-US"/>
              </w:rPr>
              <w:t>Compensation de SDA si la profondeur utile de la surface dans l’inventaire existant est inconnue ou supérieure à</w:t>
            </w:r>
            <w:r w:rsidR="00AE19DA" w:rsidRPr="00993097">
              <w:rPr>
                <w:rFonts w:eastAsiaTheme="minorHAnsi" w:cs="Arial"/>
                <w:color w:val="000000"/>
                <w:lang w:val="fr-CH" w:eastAsia="en-US"/>
              </w:rPr>
              <w:t xml:space="preserve"> 50 cm </w:t>
            </w:r>
          </w:p>
          <w:p w14:paraId="4585CE70" w14:textId="4C6D0994" w:rsidR="00AE19DA" w:rsidRPr="00993097" w:rsidRDefault="00993097" w:rsidP="00200775">
            <w:pPr>
              <w:spacing w:before="60"/>
              <w:rPr>
                <w:lang w:val="fr-CH"/>
              </w:rPr>
            </w:pPr>
            <w:r>
              <w:rPr>
                <w:rFonts w:eastAsiaTheme="minorHAnsi" w:cs="Arial"/>
                <w:color w:val="000000"/>
                <w:lang w:val="fr-CH" w:eastAsia="en-US"/>
              </w:rPr>
              <w:t>Revalorisation des sols</w:t>
            </w:r>
          </w:p>
        </w:tc>
        <w:tc>
          <w:tcPr>
            <w:tcW w:w="0" w:type="auto"/>
          </w:tcPr>
          <w:p w14:paraId="394D65A6" w14:textId="77777777" w:rsidR="00AE19DA" w:rsidRPr="00993097" w:rsidRDefault="00AE19DA" w:rsidP="00200775">
            <w:pPr>
              <w:spacing w:before="60"/>
              <w:rPr>
                <w:lang w:val="fr-CH"/>
              </w:rPr>
            </w:pPr>
            <w:r w:rsidRPr="00993097">
              <w:rPr>
                <w:lang w:val="fr-CH"/>
              </w:rPr>
              <w:t>≥ 50</w:t>
            </w:r>
          </w:p>
        </w:tc>
        <w:tc>
          <w:tcPr>
            <w:tcW w:w="0" w:type="auto"/>
          </w:tcPr>
          <w:p w14:paraId="69415C4E" w14:textId="77777777" w:rsidR="00AE19DA" w:rsidRPr="00993097" w:rsidRDefault="00AE19DA" w:rsidP="00200775">
            <w:pPr>
              <w:spacing w:before="60"/>
              <w:rPr>
                <w:lang w:val="fr-CH"/>
              </w:rPr>
            </w:pPr>
            <w:r w:rsidRPr="00993097">
              <w:rPr>
                <w:lang w:val="fr-CH"/>
              </w:rPr>
              <w:t>100</w:t>
            </w:r>
          </w:p>
        </w:tc>
      </w:tr>
      <w:tr w:rsidR="00993097" w14:paraId="12A992DC" w14:textId="77777777" w:rsidTr="00A06CAB">
        <w:tc>
          <w:tcPr>
            <w:tcW w:w="0" w:type="auto"/>
          </w:tcPr>
          <w:p w14:paraId="25711793" w14:textId="31AC7675" w:rsidR="00AE19DA" w:rsidRPr="00993097" w:rsidRDefault="00993097" w:rsidP="00200775">
            <w:pPr>
              <w:spacing w:before="60"/>
              <w:rPr>
                <w:rFonts w:eastAsiaTheme="minorHAnsi" w:cs="Arial"/>
                <w:color w:val="000000"/>
                <w:lang w:val="fr-CH" w:eastAsia="en-US"/>
              </w:rPr>
            </w:pPr>
            <w:r>
              <w:rPr>
                <w:rFonts w:eastAsiaTheme="minorHAnsi" w:cs="Arial"/>
                <w:color w:val="000000"/>
                <w:lang w:val="fr-CH" w:eastAsia="en-US"/>
              </w:rPr>
              <w:t>Compensation de SDA pour les surfaces de l’inventaire actuel avec une profondeur utile de moins de</w:t>
            </w:r>
            <w:r w:rsidR="00AE19DA" w:rsidRPr="00993097">
              <w:rPr>
                <w:rFonts w:eastAsiaTheme="minorHAnsi" w:cs="Arial"/>
                <w:color w:val="000000"/>
                <w:lang w:val="fr-CH" w:eastAsia="en-US"/>
              </w:rPr>
              <w:t xml:space="preserve"> 50 cm </w:t>
            </w:r>
            <w:r>
              <w:rPr>
                <w:rFonts w:eastAsiaTheme="minorHAnsi" w:cs="Arial"/>
                <w:color w:val="000000"/>
                <w:lang w:val="fr-CH" w:eastAsia="en-US"/>
              </w:rPr>
              <w:t>et une teneur en matière organique inférieure à</w:t>
            </w:r>
            <w:r w:rsidR="00AE19DA" w:rsidRPr="00993097">
              <w:rPr>
                <w:rFonts w:eastAsiaTheme="minorHAnsi" w:cs="Arial"/>
                <w:color w:val="000000"/>
                <w:lang w:val="fr-CH" w:eastAsia="en-US"/>
              </w:rPr>
              <w:t xml:space="preserve"> 10 %</w:t>
            </w:r>
            <w:r>
              <w:rPr>
                <w:rFonts w:eastAsiaTheme="minorHAnsi" w:cs="Arial"/>
                <w:color w:val="000000"/>
                <w:lang w:val="fr-CH" w:eastAsia="en-US"/>
              </w:rPr>
              <w:t xml:space="preserve"> dans toute la zone des racines</w:t>
            </w:r>
            <w:r w:rsidR="00AE19DA" w:rsidRPr="00993097">
              <w:rPr>
                <w:rFonts w:eastAsiaTheme="minorHAnsi" w:cs="Arial"/>
                <w:color w:val="000000"/>
                <w:lang w:val="fr-CH" w:eastAsia="en-US"/>
              </w:rPr>
              <w:t>.</w:t>
            </w:r>
          </w:p>
        </w:tc>
        <w:tc>
          <w:tcPr>
            <w:tcW w:w="0" w:type="auto"/>
          </w:tcPr>
          <w:p w14:paraId="7EA2332C" w14:textId="77777777" w:rsidR="00AE19DA" w:rsidRPr="00993097" w:rsidRDefault="00AE19DA" w:rsidP="00200775">
            <w:pPr>
              <w:spacing w:before="60"/>
              <w:rPr>
                <w:lang w:val="fr-CH"/>
              </w:rPr>
            </w:pPr>
            <w:r w:rsidRPr="00993097">
              <w:rPr>
                <w:lang w:val="fr-CH"/>
              </w:rPr>
              <w:t>≥ 40</w:t>
            </w:r>
          </w:p>
        </w:tc>
        <w:tc>
          <w:tcPr>
            <w:tcW w:w="0" w:type="auto"/>
          </w:tcPr>
          <w:p w14:paraId="2F9217D8" w14:textId="77777777" w:rsidR="00AE19DA" w:rsidRPr="00993097" w:rsidRDefault="00AE19DA" w:rsidP="00200775">
            <w:pPr>
              <w:spacing w:before="60"/>
              <w:rPr>
                <w:lang w:val="fr-CH"/>
              </w:rPr>
            </w:pPr>
            <w:r w:rsidRPr="00993097">
              <w:rPr>
                <w:lang w:val="fr-CH"/>
              </w:rPr>
              <w:t>50</w:t>
            </w:r>
          </w:p>
        </w:tc>
      </w:tr>
    </w:tbl>
    <w:p w14:paraId="0E73D026" w14:textId="77777777" w:rsidR="00AE19DA" w:rsidRPr="009F7959" w:rsidRDefault="00AE19DA" w:rsidP="00AE19DA"/>
    <w:p w14:paraId="16B2B293" w14:textId="6E971B62" w:rsidR="00C6004A" w:rsidRPr="00572D0C" w:rsidRDefault="00C62D4A" w:rsidP="799D40CD">
      <w:pPr>
        <w:rPr>
          <w:i/>
          <w:iCs/>
          <w:lang w:val="fr-CH"/>
        </w:rPr>
      </w:pPr>
      <w:r>
        <w:rPr>
          <w:i/>
          <w:iCs/>
          <w:lang w:val="fr-CH"/>
        </w:rPr>
        <w:t>Polluants selon l’OSol</w:t>
      </w:r>
    </w:p>
    <w:p w14:paraId="60796E78" w14:textId="7C1399D6" w:rsidR="00C6004A" w:rsidRPr="00572D0C" w:rsidRDefault="00C62D4A" w:rsidP="00C6004A">
      <w:pPr>
        <w:rPr>
          <w:lang w:val="fr-CH"/>
        </w:rPr>
      </w:pPr>
      <w:r>
        <w:rPr>
          <w:lang w:val="fr-CH"/>
        </w:rPr>
        <w:t xml:space="preserve">Selon l’OSol, la charge du sol en polluants doit faire l’objet d’un relevé en cas de soupçons fondés de pollution. C’est le cas des surfaces où l’on sait que des produits contenant des polluants sont utilisés ou ont été </w:t>
      </w:r>
      <w:r>
        <w:rPr>
          <w:lang w:val="fr-CH"/>
        </w:rPr>
        <w:lastRenderedPageBreak/>
        <w:t>utilisés, des surfaces proches d’un émetteur de polluants ou des surfaces qui ont subi des variations de terrain. Les atteintes déjà connues, d’origine géogène, ne sont pas à analyser</w:t>
      </w:r>
      <w:r w:rsidR="147A5F7B" w:rsidRPr="00572D0C">
        <w:rPr>
          <w:lang w:val="fr-CH"/>
        </w:rPr>
        <w:t>.</w:t>
      </w:r>
    </w:p>
    <w:p w14:paraId="2D8FCCDC" w14:textId="39C768E3" w:rsidR="00C6004A" w:rsidRPr="00572D0C" w:rsidRDefault="00BA55C8" w:rsidP="00C6004A">
      <w:pPr>
        <w:rPr>
          <w:lang w:val="fr-CH"/>
        </w:rPr>
      </w:pPr>
      <w:r>
        <w:rPr>
          <w:lang w:val="fr-CH"/>
        </w:rPr>
        <w:t>Selon le manuel de l’OFEV</w:t>
      </w:r>
      <w:r w:rsidR="00710601" w:rsidRPr="00572D0C">
        <w:rPr>
          <w:rStyle w:val="Funotenzeichen"/>
          <w:lang w:val="fr-CH"/>
        </w:rPr>
        <w:footnoteReference w:id="26"/>
      </w:r>
      <w:r>
        <w:rPr>
          <w:lang w:val="fr-CH"/>
        </w:rPr>
        <w:t>, les échantillons sont à prélever</w:t>
      </w:r>
      <w:r w:rsidR="00C6004A" w:rsidRPr="00572D0C">
        <w:rPr>
          <w:lang w:val="fr-CH"/>
        </w:rPr>
        <w:t xml:space="preserve"> </w:t>
      </w:r>
      <w:r>
        <w:rPr>
          <w:lang w:val="fr-CH"/>
        </w:rPr>
        <w:t xml:space="preserve">sous forme d’échantillons composés </w:t>
      </w:r>
      <w:r w:rsidR="00024000">
        <w:rPr>
          <w:lang w:val="fr-CH"/>
        </w:rPr>
        <w:t>d’une placette</w:t>
      </w:r>
      <w:r>
        <w:rPr>
          <w:lang w:val="fr-CH"/>
        </w:rPr>
        <w:t xml:space="preserve"> dans les </w:t>
      </w:r>
      <w:r w:rsidR="00C6004A" w:rsidRPr="00572D0C">
        <w:rPr>
          <w:lang w:val="fr-CH"/>
        </w:rPr>
        <w:t>20</w:t>
      </w:r>
      <w:r>
        <w:rPr>
          <w:lang w:val="fr-CH"/>
        </w:rPr>
        <w:t xml:space="preserve"> premiers centimètres de la couche supérieure du sol</w:t>
      </w:r>
      <w:r w:rsidR="00024000">
        <w:rPr>
          <w:lang w:val="fr-CH"/>
        </w:rPr>
        <w:t>,</w:t>
      </w:r>
      <w:r>
        <w:rPr>
          <w:lang w:val="fr-CH"/>
        </w:rPr>
        <w:t xml:space="preserve"> car les teneurs en polluants à attendre y sont plus fortes que dans le sous-sol</w:t>
      </w:r>
      <w:r w:rsidR="00C6004A" w:rsidRPr="00572D0C">
        <w:rPr>
          <w:lang w:val="fr-CH"/>
        </w:rPr>
        <w:t>.</w:t>
      </w:r>
    </w:p>
    <w:p w14:paraId="66F715F2" w14:textId="486C3ADF" w:rsidR="00C6004A" w:rsidRPr="00572D0C" w:rsidRDefault="00BA55C8" w:rsidP="00C6004A">
      <w:pPr>
        <w:rPr>
          <w:lang w:val="fr-CH"/>
        </w:rPr>
      </w:pPr>
      <w:r>
        <w:rPr>
          <w:lang w:val="fr-CH"/>
        </w:rPr>
        <w:t>La valeur indicative doit être respectée pour tous les polluants listés dans l’OSol</w:t>
      </w:r>
      <w:r w:rsidR="147A5F7B" w:rsidRPr="00572D0C">
        <w:rPr>
          <w:lang w:val="fr-CH"/>
        </w:rPr>
        <w:t>.</w:t>
      </w:r>
    </w:p>
    <w:p w14:paraId="3011E0A0" w14:textId="797DCC54" w:rsidR="00C6004A" w:rsidRPr="00572D0C" w:rsidRDefault="00BA55C8" w:rsidP="799D40CD">
      <w:pPr>
        <w:rPr>
          <w:i/>
          <w:lang w:val="fr-CH"/>
        </w:rPr>
      </w:pPr>
      <w:r>
        <w:rPr>
          <w:i/>
          <w:iCs/>
          <w:lang w:val="fr-CH"/>
        </w:rPr>
        <w:t>Superfici</w:t>
      </w:r>
      <w:r w:rsidR="147A5F7B" w:rsidRPr="00572D0C">
        <w:rPr>
          <w:i/>
          <w:iCs/>
          <w:lang w:val="fr-CH"/>
        </w:rPr>
        <w:t>e</w:t>
      </w:r>
      <w:r>
        <w:rPr>
          <w:i/>
          <w:iCs/>
          <w:lang w:val="fr-CH"/>
        </w:rPr>
        <w:t xml:space="preserve"> d’un seul tenant</w:t>
      </w:r>
    </w:p>
    <w:p w14:paraId="2D61043C" w14:textId="6A266E8D" w:rsidR="006A3B3A" w:rsidRPr="00572D0C" w:rsidRDefault="00454F5E" w:rsidP="00C6004A">
      <w:pPr>
        <w:rPr>
          <w:lang w:val="fr-CH"/>
        </w:rPr>
      </w:pPr>
      <w:r>
        <w:rPr>
          <w:lang w:val="fr-CH"/>
        </w:rPr>
        <w:t>Afin de protéger des unités d’exploitation contig</w:t>
      </w:r>
      <w:r w:rsidR="002C66F3">
        <w:rPr>
          <w:lang w:val="fr-CH"/>
        </w:rPr>
        <w:t>uë</w:t>
      </w:r>
      <w:r>
        <w:rPr>
          <w:lang w:val="fr-CH"/>
        </w:rPr>
        <w:t>s</w:t>
      </w:r>
      <w:r w:rsidR="002C66F3">
        <w:rPr>
          <w:lang w:val="fr-CH"/>
        </w:rPr>
        <w:t xml:space="preserve">, une surface minimale d’assolement </w:t>
      </w:r>
      <w:r w:rsidR="00C92B99">
        <w:rPr>
          <w:lang w:val="fr-CH"/>
        </w:rPr>
        <w:t xml:space="preserve">de </w:t>
      </w:r>
      <w:r w:rsidR="00C92B99" w:rsidRPr="00572D0C">
        <w:rPr>
          <w:lang w:val="fr-CH"/>
        </w:rPr>
        <w:t xml:space="preserve">1 </w:t>
      </w:r>
      <w:r w:rsidR="147A5F7B" w:rsidRPr="00572D0C">
        <w:rPr>
          <w:lang w:val="fr-CH"/>
        </w:rPr>
        <w:t xml:space="preserve">ha </w:t>
      </w:r>
      <w:r w:rsidR="002C66F3">
        <w:rPr>
          <w:lang w:val="fr-CH"/>
        </w:rPr>
        <w:t>est le seuil à partir duquel une surface peut être comptabilisée dans l’inventaire</w:t>
      </w:r>
      <w:r w:rsidR="147A5F7B" w:rsidRPr="00572D0C">
        <w:rPr>
          <w:lang w:val="fr-CH"/>
        </w:rPr>
        <w:t xml:space="preserve">. </w:t>
      </w:r>
      <w:r w:rsidR="002C66F3">
        <w:rPr>
          <w:lang w:val="fr-CH"/>
        </w:rPr>
        <w:t>Les surfaces d’assolement nouvellement délimitées ou les surfaces revalorisées en SDA (améliorations foncières) entre</w:t>
      </w:r>
      <w:r w:rsidR="147A5F7B" w:rsidRPr="00572D0C">
        <w:rPr>
          <w:lang w:val="fr-CH"/>
        </w:rPr>
        <w:t xml:space="preserve"> 0</w:t>
      </w:r>
      <w:r w:rsidR="002C66F3">
        <w:rPr>
          <w:lang w:val="fr-CH"/>
        </w:rPr>
        <w:t>,</w:t>
      </w:r>
      <w:r w:rsidR="147A5F7B" w:rsidRPr="00572D0C">
        <w:rPr>
          <w:lang w:val="fr-CH"/>
        </w:rPr>
        <w:t xml:space="preserve">25 </w:t>
      </w:r>
      <w:r w:rsidR="002C66F3">
        <w:rPr>
          <w:lang w:val="fr-CH"/>
        </w:rPr>
        <w:t>et</w:t>
      </w:r>
      <w:r w:rsidR="147A5F7B" w:rsidRPr="00572D0C">
        <w:rPr>
          <w:lang w:val="fr-CH"/>
        </w:rPr>
        <w:t xml:space="preserve"> 1 ha </w:t>
      </w:r>
      <w:r w:rsidR="002C66F3">
        <w:rPr>
          <w:lang w:val="fr-CH"/>
        </w:rPr>
        <w:t>peuvent être comptabilisées en SDA quand elles jouxtent des SDA existantes</w:t>
      </w:r>
      <w:r w:rsidR="147A5F7B" w:rsidRPr="00572D0C">
        <w:rPr>
          <w:lang w:val="fr-CH"/>
        </w:rPr>
        <w:t>.</w:t>
      </w:r>
    </w:p>
    <w:p w14:paraId="5F6E1A83" w14:textId="2BB3A219" w:rsidR="00C6004A" w:rsidRPr="00572D0C" w:rsidRDefault="002C66F3" w:rsidP="295F27C4">
      <w:pPr>
        <w:rPr>
          <w:i/>
          <w:iCs/>
          <w:lang w:val="fr-CH"/>
        </w:rPr>
      </w:pPr>
      <w:r>
        <w:rPr>
          <w:i/>
          <w:iCs/>
          <w:lang w:val="fr-CH"/>
        </w:rPr>
        <w:t>C</w:t>
      </w:r>
      <w:r w:rsidR="147A5F7B" w:rsidRPr="00572D0C">
        <w:rPr>
          <w:i/>
          <w:iCs/>
          <w:lang w:val="fr-CH"/>
        </w:rPr>
        <w:t>ompensation</w:t>
      </w:r>
      <w:r>
        <w:rPr>
          <w:i/>
          <w:iCs/>
          <w:lang w:val="fr-CH"/>
        </w:rPr>
        <w:t xml:space="preserve"> de SDA perdues</w:t>
      </w:r>
    </w:p>
    <w:p w14:paraId="1EB96FC8" w14:textId="77777777" w:rsidR="00993097" w:rsidRDefault="002C66F3" w:rsidP="00C6004A">
      <w:pPr>
        <w:rPr>
          <w:lang w:val="fr-CH"/>
        </w:rPr>
      </w:pPr>
      <w:r>
        <w:rPr>
          <w:lang w:val="fr-CH"/>
        </w:rPr>
        <w:t>Pour la com</w:t>
      </w:r>
      <w:r w:rsidR="00B67CD3" w:rsidRPr="00572D0C">
        <w:rPr>
          <w:lang w:val="fr-CH"/>
        </w:rPr>
        <w:t xml:space="preserve">pensation </w:t>
      </w:r>
      <w:r>
        <w:rPr>
          <w:lang w:val="fr-CH"/>
        </w:rPr>
        <w:t>de SDA, il importe de veiller à ce que la classe d’aptitude pour l’agriculture soit globalement équivalente</w:t>
      </w:r>
      <w:r w:rsidR="147A5F7B" w:rsidRPr="00572D0C">
        <w:rPr>
          <w:lang w:val="fr-CH"/>
        </w:rPr>
        <w:t xml:space="preserve">. </w:t>
      </w:r>
      <w:r w:rsidR="00993097">
        <w:rPr>
          <w:lang w:val="fr-CH"/>
        </w:rPr>
        <w:t xml:space="preserve">Les critères de qualité du tableau 1 sont applicables. </w:t>
      </w:r>
    </w:p>
    <w:p w14:paraId="1DFBFCDE" w14:textId="18B4B1DE" w:rsidR="00C6004A" w:rsidRPr="00572D0C" w:rsidRDefault="002C66F3" w:rsidP="00C6004A">
      <w:pPr>
        <w:rPr>
          <w:lang w:val="fr-CH"/>
        </w:rPr>
      </w:pPr>
      <w:r>
        <w:rPr>
          <w:lang w:val="fr-CH"/>
        </w:rPr>
        <w:t>En règle générale, les SDA classées</w:t>
      </w:r>
      <w:r w:rsidR="147A5F7B" w:rsidRPr="00572D0C">
        <w:rPr>
          <w:lang w:val="fr-CH"/>
        </w:rPr>
        <w:t xml:space="preserve"> NEK 1 </w:t>
      </w:r>
      <w:r>
        <w:rPr>
          <w:lang w:val="fr-CH"/>
        </w:rPr>
        <w:t xml:space="preserve">avec une profondeur utile pour les plantes de plus de </w:t>
      </w:r>
      <w:r w:rsidR="147A5F7B" w:rsidRPr="00572D0C">
        <w:rPr>
          <w:lang w:val="fr-CH"/>
        </w:rPr>
        <w:t xml:space="preserve">70 cm </w:t>
      </w:r>
      <w:r>
        <w:rPr>
          <w:lang w:val="fr-CH"/>
        </w:rPr>
        <w:t>ne peuvent pas être remplacées de manière équivalente</w:t>
      </w:r>
      <w:r w:rsidR="147A5F7B" w:rsidRPr="00572D0C">
        <w:rPr>
          <w:lang w:val="fr-CH"/>
        </w:rPr>
        <w:t xml:space="preserve">. </w:t>
      </w:r>
      <w:r>
        <w:rPr>
          <w:lang w:val="fr-CH"/>
        </w:rPr>
        <w:t xml:space="preserve">Elles </w:t>
      </w:r>
      <w:r w:rsidR="00C92B99">
        <w:rPr>
          <w:lang w:val="fr-CH"/>
        </w:rPr>
        <w:t xml:space="preserve">doivent </w:t>
      </w:r>
      <w:r>
        <w:rPr>
          <w:lang w:val="fr-CH"/>
        </w:rPr>
        <w:t xml:space="preserve">être compensées par des surfaces équivalentes classées </w:t>
      </w:r>
      <w:r w:rsidR="147A5F7B" w:rsidRPr="00572D0C">
        <w:rPr>
          <w:lang w:val="fr-CH"/>
        </w:rPr>
        <w:t>NEK 2.</w:t>
      </w:r>
    </w:p>
    <w:p w14:paraId="66A763B7" w14:textId="67F97965" w:rsidR="00C6004A" w:rsidRPr="00572D0C" w:rsidRDefault="000C34CB" w:rsidP="00C6004A">
      <w:pPr>
        <w:rPr>
          <w:lang w:val="fr-CH"/>
        </w:rPr>
      </w:pPr>
      <w:r>
        <w:rPr>
          <w:lang w:val="fr-CH"/>
        </w:rPr>
        <w:t xml:space="preserve">Quand il est prouvé que les SDA perdues ne remplissent pas les critères de qualité requis, celles-ci peuvent être compensées localement par des surfaces d’une meilleure qualité ou d’une qualité de sol équivalente pour autant que l’épaisseur de la couche utilisable pour la végétation des nouvelles SDA soit supérieure à </w:t>
      </w:r>
      <w:r w:rsidR="00C6004A" w:rsidRPr="00572D0C">
        <w:rPr>
          <w:lang w:val="fr-CH"/>
        </w:rPr>
        <w:t>40 cm</w:t>
      </w:r>
      <w:r>
        <w:rPr>
          <w:lang w:val="fr-CH"/>
        </w:rPr>
        <w:t xml:space="preserve"> et que la pense soit inférieure à</w:t>
      </w:r>
      <w:r w:rsidR="00C6004A" w:rsidRPr="00572D0C">
        <w:rPr>
          <w:lang w:val="fr-CH"/>
        </w:rPr>
        <w:t xml:space="preserve"> 18%</w:t>
      </w:r>
      <w:r w:rsidR="0003622A" w:rsidRPr="00572D0C">
        <w:rPr>
          <w:lang w:val="fr-CH"/>
        </w:rPr>
        <w:t xml:space="preserve">. </w:t>
      </w:r>
      <w:r>
        <w:rPr>
          <w:lang w:val="fr-CH"/>
        </w:rPr>
        <w:t>Ces surfaces ne peuvent être comptabilisées que pour moitié dans le contingent</w:t>
      </w:r>
      <w:r w:rsidR="0040711D" w:rsidRPr="00572D0C">
        <w:rPr>
          <w:lang w:val="fr-CH"/>
        </w:rPr>
        <w:t xml:space="preserve">. </w:t>
      </w:r>
    </w:p>
    <w:p w14:paraId="3EA95885" w14:textId="6002D6D2" w:rsidR="00C6004A" w:rsidRPr="00572D0C" w:rsidRDefault="000C34CB" w:rsidP="799D40CD">
      <w:pPr>
        <w:rPr>
          <w:i/>
          <w:iCs/>
          <w:lang w:val="fr-CH"/>
        </w:rPr>
      </w:pPr>
      <w:r>
        <w:rPr>
          <w:i/>
          <w:iCs/>
          <w:lang w:val="fr-CH"/>
        </w:rPr>
        <w:t xml:space="preserve">Réhabilitation des sols </w:t>
      </w:r>
      <w:r w:rsidR="147A5F7B" w:rsidRPr="00572D0C">
        <w:rPr>
          <w:i/>
          <w:iCs/>
          <w:lang w:val="fr-CH"/>
        </w:rPr>
        <w:t xml:space="preserve">; </w:t>
      </w:r>
      <w:r>
        <w:rPr>
          <w:i/>
          <w:iCs/>
          <w:lang w:val="fr-CH"/>
        </w:rPr>
        <w:t>création de SDA</w:t>
      </w:r>
    </w:p>
    <w:p w14:paraId="33016292" w14:textId="1B72D55F" w:rsidR="00C6004A" w:rsidRPr="00572D0C" w:rsidRDefault="000C34CB" w:rsidP="00C6004A">
      <w:pPr>
        <w:rPr>
          <w:lang w:val="fr-CH"/>
        </w:rPr>
      </w:pPr>
      <w:r>
        <w:rPr>
          <w:lang w:val="fr-CH"/>
        </w:rPr>
        <w:t xml:space="preserve">De plus en plus souvent, des SDA perdues sont aussi compensées par </w:t>
      </w:r>
      <w:r w:rsidR="004649EC">
        <w:rPr>
          <w:lang w:val="fr-CH"/>
        </w:rPr>
        <w:t xml:space="preserve">une </w:t>
      </w:r>
      <w:r>
        <w:rPr>
          <w:lang w:val="fr-CH"/>
        </w:rPr>
        <w:t xml:space="preserve">réhabilitation en SDA de sols </w:t>
      </w:r>
      <w:r w:rsidR="004649EC">
        <w:rPr>
          <w:lang w:val="fr-CH"/>
        </w:rPr>
        <w:t>dégrad</w:t>
      </w:r>
      <w:r w:rsidR="0009440F">
        <w:rPr>
          <w:lang w:val="fr-CH"/>
        </w:rPr>
        <w:t>j</w:t>
      </w:r>
      <w:r w:rsidR="004649EC">
        <w:rPr>
          <w:lang w:val="fr-CH"/>
        </w:rPr>
        <w:t>és auxquels est ajoutée de la terre décapée ailleurs</w:t>
      </w:r>
      <w:r>
        <w:rPr>
          <w:lang w:val="fr-CH"/>
        </w:rPr>
        <w:t>. Pour que les conditions pour l’agriculture restent globalement les mêmes, les réhabilitations visant à compenser des SDA doivent s’effectuer dans le même domaine d’utilisation</w:t>
      </w:r>
      <w:r w:rsidR="147A5F7B" w:rsidRPr="00572D0C">
        <w:rPr>
          <w:lang w:val="fr-CH"/>
        </w:rPr>
        <w:t xml:space="preserve"> (FAL 24, </w:t>
      </w:r>
      <w:r>
        <w:rPr>
          <w:lang w:val="fr-CH"/>
        </w:rPr>
        <w:t>chapitre</w:t>
      </w:r>
      <w:r w:rsidR="147A5F7B" w:rsidRPr="00572D0C">
        <w:rPr>
          <w:lang w:val="fr-CH"/>
        </w:rPr>
        <w:t xml:space="preserve"> 9) </w:t>
      </w:r>
      <w:r>
        <w:rPr>
          <w:lang w:val="fr-CH"/>
        </w:rPr>
        <w:t>et garantir au moins la même classe d’aptitude</w:t>
      </w:r>
      <w:r w:rsidR="147A5F7B" w:rsidRPr="00572D0C">
        <w:rPr>
          <w:lang w:val="fr-CH"/>
        </w:rPr>
        <w:t xml:space="preserve">. </w:t>
      </w:r>
    </w:p>
    <w:p w14:paraId="572F37CF" w14:textId="04BA7F27" w:rsidR="00C6004A" w:rsidRPr="00572D0C" w:rsidRDefault="0043104E" w:rsidP="799D40CD">
      <w:pPr>
        <w:rPr>
          <w:i/>
          <w:iCs/>
          <w:lang w:val="fr-CH"/>
        </w:rPr>
      </w:pPr>
      <w:r>
        <w:rPr>
          <w:i/>
          <w:iCs/>
          <w:lang w:val="fr-CH"/>
        </w:rPr>
        <w:t>Délai</w:t>
      </w:r>
      <w:r w:rsidR="00284FBD">
        <w:rPr>
          <w:i/>
          <w:iCs/>
          <w:lang w:val="fr-CH"/>
        </w:rPr>
        <w:t xml:space="preserve"> pour la comptabilisation</w:t>
      </w:r>
    </w:p>
    <w:p w14:paraId="0669D817" w14:textId="79F36857" w:rsidR="00507407" w:rsidRPr="00572D0C" w:rsidRDefault="00284FBD" w:rsidP="00A74D17">
      <w:pPr>
        <w:rPr>
          <w:lang w:val="fr-CH"/>
        </w:rPr>
      </w:pPr>
      <w:r>
        <w:rPr>
          <w:lang w:val="fr-CH"/>
        </w:rPr>
        <w:t xml:space="preserve">Pour les </w:t>
      </w:r>
      <w:r w:rsidR="005F61FD">
        <w:rPr>
          <w:lang w:val="fr-CH"/>
        </w:rPr>
        <w:t>réhabilitations</w:t>
      </w:r>
      <w:r>
        <w:rPr>
          <w:lang w:val="fr-CH"/>
        </w:rPr>
        <w:t xml:space="preserve"> et les </w:t>
      </w:r>
      <w:r w:rsidR="005F61FD">
        <w:rPr>
          <w:lang w:val="fr-CH"/>
        </w:rPr>
        <w:t>revalorisations</w:t>
      </w:r>
      <w:r>
        <w:rPr>
          <w:lang w:val="fr-CH"/>
        </w:rPr>
        <w:t>, il est procédé au bout de quatre ans à une évaluation des surfaces en fonction des critères de qualité définis</w:t>
      </w:r>
      <w:r w:rsidR="147A5F7B" w:rsidRPr="00572D0C">
        <w:rPr>
          <w:lang w:val="fr-CH"/>
        </w:rPr>
        <w:t xml:space="preserve">. </w:t>
      </w:r>
      <w:r>
        <w:rPr>
          <w:lang w:val="fr-CH"/>
        </w:rPr>
        <w:t>Ces surfaces ne sont comptabilisées dans les SDA et intégrées à l’inventaire que si elles remplissent les critères requis</w:t>
      </w:r>
      <w:r w:rsidR="147A5F7B" w:rsidRPr="00572D0C">
        <w:rPr>
          <w:lang w:val="fr-CH"/>
        </w:rPr>
        <w:t>.</w:t>
      </w:r>
    </w:p>
    <w:p w14:paraId="6327BEED" w14:textId="57E94A51" w:rsidR="003B7307" w:rsidRPr="00572D0C" w:rsidRDefault="00284FBD" w:rsidP="003B7307">
      <w:pPr>
        <w:pStyle w:val="Listenabsatz"/>
        <w:numPr>
          <w:ilvl w:val="0"/>
          <w:numId w:val="29"/>
        </w:numPr>
        <w:shd w:val="clear" w:color="auto" w:fill="D9D9D9" w:themeFill="background1" w:themeFillShade="D9"/>
        <w:spacing w:before="240"/>
        <w:ind w:left="426" w:hanging="426"/>
        <w:rPr>
          <w:b/>
          <w:bCs/>
          <w:i w:val="0"/>
          <w:lang w:val="fr-CH"/>
        </w:rPr>
      </w:pPr>
      <w:r>
        <w:rPr>
          <w:b/>
          <w:bCs/>
          <w:i w:val="0"/>
          <w:lang w:val="fr-CH"/>
        </w:rPr>
        <w:t>Les ca</w:t>
      </w:r>
      <w:r w:rsidR="003B7307" w:rsidRPr="00572D0C">
        <w:rPr>
          <w:b/>
          <w:bCs/>
          <w:i w:val="0"/>
          <w:lang w:val="fr-CH"/>
        </w:rPr>
        <w:t>n</w:t>
      </w:r>
      <w:r>
        <w:rPr>
          <w:b/>
          <w:bCs/>
          <w:i w:val="0"/>
          <w:lang w:val="fr-CH"/>
        </w:rPr>
        <w:t>tons désignent les sols qui entrent en ligne de compte pour une revalorisation ou une réhabilitation</w:t>
      </w:r>
      <w:r w:rsidR="003B7307" w:rsidRPr="00572D0C">
        <w:rPr>
          <w:b/>
          <w:bCs/>
          <w:i w:val="0"/>
          <w:lang w:val="fr-CH"/>
        </w:rPr>
        <w:t>.</w:t>
      </w:r>
    </w:p>
    <w:p w14:paraId="22D625A0" w14:textId="3A511D8E" w:rsidR="006D6829" w:rsidRPr="00572D0C" w:rsidRDefault="00B0540F" w:rsidP="006D6829">
      <w:pPr>
        <w:pStyle w:val="StandardWeb"/>
        <w:rPr>
          <w:rFonts w:ascii="Arial" w:hAnsi="Arial"/>
          <w:sz w:val="20"/>
          <w:szCs w:val="20"/>
          <w:lang w:val="fr-CH"/>
        </w:rPr>
      </w:pPr>
      <w:r>
        <w:rPr>
          <w:rFonts w:ascii="Arial" w:hAnsi="Arial"/>
          <w:sz w:val="20"/>
          <w:szCs w:val="20"/>
          <w:lang w:val="fr-CH"/>
        </w:rPr>
        <w:t>Les compensations de SDA</w:t>
      </w:r>
      <w:r w:rsidR="00461342">
        <w:rPr>
          <w:rFonts w:ascii="Arial" w:hAnsi="Arial"/>
          <w:sz w:val="20"/>
          <w:szCs w:val="20"/>
          <w:lang w:val="fr-CH"/>
        </w:rPr>
        <w:t xml:space="preserve"> requièrent des surfaces appropriées qui présentent un potentiel de </w:t>
      </w:r>
      <w:r w:rsidR="005F61FD">
        <w:rPr>
          <w:rFonts w:ascii="Arial" w:hAnsi="Arial"/>
          <w:sz w:val="20"/>
          <w:szCs w:val="20"/>
          <w:lang w:val="fr-CH"/>
        </w:rPr>
        <w:t xml:space="preserve">revalorisation </w:t>
      </w:r>
      <w:r w:rsidR="00461342">
        <w:rPr>
          <w:rFonts w:ascii="Arial" w:hAnsi="Arial"/>
          <w:sz w:val="20"/>
          <w:szCs w:val="20"/>
          <w:lang w:val="fr-CH"/>
        </w:rPr>
        <w:t xml:space="preserve">ou de </w:t>
      </w:r>
      <w:r w:rsidR="005F61FD">
        <w:rPr>
          <w:rFonts w:ascii="Arial" w:hAnsi="Arial"/>
          <w:sz w:val="20"/>
          <w:szCs w:val="20"/>
          <w:lang w:val="fr-CH"/>
        </w:rPr>
        <w:t>réhabilitation</w:t>
      </w:r>
      <w:r w:rsidR="00461342">
        <w:rPr>
          <w:rFonts w:ascii="Arial" w:hAnsi="Arial"/>
          <w:sz w:val="20"/>
          <w:szCs w:val="20"/>
          <w:lang w:val="fr-CH"/>
        </w:rPr>
        <w:t>.</w:t>
      </w:r>
      <w:r w:rsidR="006D6829" w:rsidRPr="00572D0C">
        <w:rPr>
          <w:rFonts w:ascii="Arial" w:hAnsi="Arial"/>
          <w:sz w:val="20"/>
          <w:szCs w:val="20"/>
          <w:lang w:val="fr-CH"/>
        </w:rPr>
        <w:t xml:space="preserve"> </w:t>
      </w:r>
      <w:r w:rsidR="00461342">
        <w:rPr>
          <w:rFonts w:ascii="Arial" w:hAnsi="Arial"/>
          <w:sz w:val="20"/>
          <w:szCs w:val="20"/>
          <w:lang w:val="fr-CH"/>
        </w:rPr>
        <w:t xml:space="preserve">Il peut s’agir de sols dégradés par l’action </w:t>
      </w:r>
      <w:r w:rsidR="00FA78EA">
        <w:rPr>
          <w:rFonts w:ascii="Arial" w:hAnsi="Arial"/>
          <w:sz w:val="20"/>
          <w:szCs w:val="20"/>
          <w:lang w:val="fr-CH"/>
        </w:rPr>
        <w:t>humaine</w:t>
      </w:r>
      <w:r w:rsidR="00461342">
        <w:rPr>
          <w:rFonts w:ascii="Arial" w:hAnsi="Arial"/>
          <w:sz w:val="20"/>
          <w:szCs w:val="20"/>
          <w:lang w:val="fr-CH"/>
        </w:rPr>
        <w:t xml:space="preserve"> </w:t>
      </w:r>
      <w:r w:rsidR="006D6829" w:rsidRPr="00572D0C">
        <w:rPr>
          <w:rFonts w:ascii="Arial" w:hAnsi="Arial"/>
          <w:sz w:val="20"/>
          <w:szCs w:val="20"/>
          <w:lang w:val="fr-CH"/>
        </w:rPr>
        <w:t>(</w:t>
      </w:r>
      <w:r w:rsidR="00461342">
        <w:rPr>
          <w:rFonts w:ascii="Arial" w:hAnsi="Arial"/>
          <w:sz w:val="20"/>
          <w:szCs w:val="20"/>
          <w:lang w:val="fr-CH"/>
        </w:rPr>
        <w:t>pas de SDA dégradées</w:t>
      </w:r>
      <w:r w:rsidR="006D6829" w:rsidRPr="00572D0C">
        <w:rPr>
          <w:rFonts w:ascii="Arial" w:hAnsi="Arial"/>
          <w:sz w:val="20"/>
          <w:szCs w:val="20"/>
          <w:lang w:val="fr-CH"/>
        </w:rPr>
        <w:t xml:space="preserve">) </w:t>
      </w:r>
      <w:r w:rsidR="00461342">
        <w:rPr>
          <w:rFonts w:ascii="Arial" w:hAnsi="Arial"/>
          <w:sz w:val="20"/>
          <w:szCs w:val="20"/>
          <w:lang w:val="fr-CH"/>
        </w:rPr>
        <w:t>ou de sols</w:t>
      </w:r>
      <w:r w:rsidR="00FA78EA">
        <w:rPr>
          <w:rFonts w:ascii="Arial" w:hAnsi="Arial"/>
          <w:sz w:val="20"/>
          <w:szCs w:val="20"/>
          <w:lang w:val="fr-CH"/>
        </w:rPr>
        <w:t xml:space="preserve"> temporairement utilisés ou imperméabilisés qui peuvent être </w:t>
      </w:r>
      <w:r w:rsidR="005F61FD">
        <w:rPr>
          <w:rFonts w:ascii="Arial" w:hAnsi="Arial"/>
          <w:sz w:val="20"/>
          <w:szCs w:val="20"/>
          <w:lang w:val="fr-CH"/>
        </w:rPr>
        <w:t>réhabilités</w:t>
      </w:r>
      <w:r w:rsidR="00FA78EA">
        <w:rPr>
          <w:rFonts w:ascii="Arial" w:hAnsi="Arial"/>
          <w:sz w:val="20"/>
          <w:szCs w:val="20"/>
          <w:lang w:val="fr-CH"/>
        </w:rPr>
        <w:t xml:space="preserve">. Les sols naturels qui « de par leur nature » ne se prêtent pas à la production agricole ne peuvent pas être réhabilités. </w:t>
      </w:r>
      <w:r w:rsidR="0009440F">
        <w:rPr>
          <w:rFonts w:ascii="Arial" w:hAnsi="Arial"/>
          <w:sz w:val="20"/>
          <w:szCs w:val="20"/>
          <w:lang w:val="fr-CH"/>
        </w:rPr>
        <w:t xml:space="preserve">Des </w:t>
      </w:r>
      <w:r w:rsidR="00FA78EA">
        <w:rPr>
          <w:rFonts w:ascii="Arial" w:hAnsi="Arial"/>
          <w:sz w:val="20"/>
          <w:szCs w:val="20"/>
          <w:lang w:val="fr-CH"/>
        </w:rPr>
        <w:t xml:space="preserve">archives de données pédologiques, un cadastre des sites </w:t>
      </w:r>
      <w:r w:rsidR="0009440F">
        <w:rPr>
          <w:rFonts w:ascii="Arial" w:hAnsi="Arial"/>
          <w:sz w:val="20"/>
          <w:szCs w:val="20"/>
          <w:lang w:val="fr-CH"/>
        </w:rPr>
        <w:t>pollués</w:t>
      </w:r>
      <w:r w:rsidR="00FA78EA">
        <w:rPr>
          <w:rFonts w:ascii="Arial" w:hAnsi="Arial"/>
          <w:sz w:val="20"/>
          <w:szCs w:val="20"/>
          <w:lang w:val="fr-CH"/>
        </w:rPr>
        <w:t xml:space="preserve">, </w:t>
      </w:r>
      <w:r w:rsidR="0009440F">
        <w:rPr>
          <w:rFonts w:ascii="Arial" w:hAnsi="Arial"/>
          <w:sz w:val="20"/>
          <w:szCs w:val="20"/>
          <w:lang w:val="fr-CH"/>
        </w:rPr>
        <w:t>les</w:t>
      </w:r>
      <w:r w:rsidR="00FA78EA">
        <w:rPr>
          <w:rFonts w:ascii="Arial" w:hAnsi="Arial"/>
          <w:sz w:val="20"/>
          <w:szCs w:val="20"/>
          <w:lang w:val="fr-CH"/>
        </w:rPr>
        <w:t xml:space="preserve"> propriétaires</w:t>
      </w:r>
      <w:r w:rsidR="006D6829" w:rsidRPr="00572D0C">
        <w:rPr>
          <w:rFonts w:ascii="Arial" w:hAnsi="Arial"/>
          <w:sz w:val="20"/>
          <w:szCs w:val="20"/>
          <w:lang w:val="fr-CH"/>
        </w:rPr>
        <w:t xml:space="preserve"> </w:t>
      </w:r>
      <w:r w:rsidR="0009440F">
        <w:rPr>
          <w:rFonts w:ascii="Arial" w:hAnsi="Arial"/>
          <w:sz w:val="20"/>
          <w:szCs w:val="20"/>
          <w:lang w:val="fr-CH"/>
        </w:rPr>
        <w:t xml:space="preserve">fonciers </w:t>
      </w:r>
      <w:r w:rsidR="00FA78EA">
        <w:rPr>
          <w:rFonts w:ascii="Arial" w:hAnsi="Arial"/>
          <w:sz w:val="20"/>
          <w:szCs w:val="20"/>
          <w:lang w:val="fr-CH"/>
        </w:rPr>
        <w:t>ou un SIG</w:t>
      </w:r>
      <w:r w:rsidR="0009440F">
        <w:rPr>
          <w:rFonts w:ascii="Arial" w:hAnsi="Arial"/>
          <w:sz w:val="20"/>
          <w:szCs w:val="20"/>
          <w:lang w:val="fr-CH"/>
        </w:rPr>
        <w:t xml:space="preserve"> (système d’information géographique), par exemple, peuvent fournir de premiers indices pour aider à déterminer ces sols</w:t>
      </w:r>
      <w:r w:rsidR="006D6829" w:rsidRPr="00572D0C">
        <w:rPr>
          <w:rFonts w:ascii="Arial" w:hAnsi="Arial"/>
          <w:sz w:val="20"/>
          <w:szCs w:val="20"/>
          <w:lang w:val="fr-CH"/>
        </w:rPr>
        <w:t xml:space="preserve">.  </w:t>
      </w:r>
    </w:p>
    <w:p w14:paraId="0C6E2546" w14:textId="7683A616" w:rsidR="006D6829" w:rsidRPr="00572D0C" w:rsidRDefault="001A74E7" w:rsidP="006D6829">
      <w:pPr>
        <w:rPr>
          <w:lang w:val="fr-CH"/>
        </w:rPr>
      </w:pPr>
      <w:r>
        <w:rPr>
          <w:lang w:val="fr-CH"/>
        </w:rPr>
        <w:t xml:space="preserve">La planification et l’exécution de travaux de </w:t>
      </w:r>
      <w:r w:rsidR="005F61FD">
        <w:rPr>
          <w:lang w:val="fr-CH"/>
        </w:rPr>
        <w:t xml:space="preserve">revalorisation </w:t>
      </w:r>
      <w:r>
        <w:rPr>
          <w:lang w:val="fr-CH"/>
        </w:rPr>
        <w:t xml:space="preserve">et de </w:t>
      </w:r>
      <w:r w:rsidR="005F61FD">
        <w:rPr>
          <w:lang w:val="fr-CH"/>
        </w:rPr>
        <w:t>réhabilitation</w:t>
      </w:r>
      <w:r>
        <w:rPr>
          <w:lang w:val="fr-CH"/>
        </w:rPr>
        <w:t xml:space="preserve"> doivent être étroitement accompagnées par des experts</w:t>
      </w:r>
      <w:r w:rsidR="006D6829" w:rsidRPr="00572D0C">
        <w:rPr>
          <w:lang w:val="fr-CH"/>
        </w:rPr>
        <w:t xml:space="preserve"> (</w:t>
      </w:r>
      <w:r>
        <w:rPr>
          <w:lang w:val="fr-CH"/>
        </w:rPr>
        <w:t>de préférence par des pédologues</w:t>
      </w:r>
      <w:r w:rsidR="006D6829" w:rsidRPr="00572D0C">
        <w:rPr>
          <w:lang w:val="fr-CH"/>
        </w:rPr>
        <w:t xml:space="preserve">) </w:t>
      </w:r>
      <w:r>
        <w:rPr>
          <w:lang w:val="fr-CH"/>
        </w:rPr>
        <w:t xml:space="preserve">afin d’assurer l’amélioration souhaitée de </w:t>
      </w:r>
      <w:r>
        <w:rPr>
          <w:lang w:val="fr-CH"/>
        </w:rPr>
        <w:lastRenderedPageBreak/>
        <w:t>la qualité du sol et d’atteindre la qualité SDA</w:t>
      </w:r>
      <w:r w:rsidR="006D6829" w:rsidRPr="00572D0C">
        <w:rPr>
          <w:lang w:val="fr-CH"/>
        </w:rPr>
        <w:t xml:space="preserve">. </w:t>
      </w:r>
      <w:r>
        <w:rPr>
          <w:lang w:val="fr-CH"/>
        </w:rPr>
        <w:t>L’établissement d’une carte indicative par les cantons garantit que seuls les sols susceptibles d’être réhabilités sont disponibles pour des projets de compensation</w:t>
      </w:r>
      <w:r w:rsidR="006D6829" w:rsidRPr="00572D0C">
        <w:rPr>
          <w:lang w:val="fr-CH"/>
        </w:rPr>
        <w:t>.</w:t>
      </w:r>
    </w:p>
    <w:p w14:paraId="5BE0290B" w14:textId="293E3A06" w:rsidR="003F7548" w:rsidRPr="00572D0C" w:rsidRDefault="00497D4A" w:rsidP="00077833">
      <w:pPr>
        <w:rPr>
          <w:lang w:val="fr-CH"/>
        </w:rPr>
      </w:pPr>
      <w:r>
        <w:rPr>
          <w:lang w:val="fr-CH"/>
        </w:rPr>
        <w:t xml:space="preserve">Un concept </w:t>
      </w:r>
      <w:r w:rsidR="00A06CAB">
        <w:rPr>
          <w:lang w:val="fr-CH"/>
        </w:rPr>
        <w:t xml:space="preserve">cantonal </w:t>
      </w:r>
      <w:r>
        <w:rPr>
          <w:lang w:val="fr-CH"/>
        </w:rPr>
        <w:t xml:space="preserve">complémentaire à l’inventaire peut également </w:t>
      </w:r>
      <w:r w:rsidR="0046748F">
        <w:rPr>
          <w:lang w:val="fr-CH"/>
        </w:rPr>
        <w:t>réglementer la procédure à suivre lors d’une</w:t>
      </w:r>
      <w:r>
        <w:rPr>
          <w:lang w:val="fr-CH"/>
        </w:rPr>
        <w:t xml:space="preserve"> </w:t>
      </w:r>
      <w:r w:rsidR="005F61FD">
        <w:rPr>
          <w:lang w:val="fr-CH"/>
        </w:rPr>
        <w:t>revalorisation</w:t>
      </w:r>
      <w:r>
        <w:rPr>
          <w:lang w:val="fr-CH"/>
        </w:rPr>
        <w:t xml:space="preserve">. Plusieurs cantons disposent déjà de concepts et </w:t>
      </w:r>
      <w:r>
        <w:rPr>
          <w:rFonts w:eastAsiaTheme="minorEastAsia"/>
          <w:lang w:val="fr-CH"/>
        </w:rPr>
        <w:t xml:space="preserve">procédures de </w:t>
      </w:r>
      <w:r w:rsidR="005F61FD">
        <w:rPr>
          <w:rFonts w:eastAsiaTheme="minorEastAsia"/>
          <w:lang w:val="fr-CH"/>
        </w:rPr>
        <w:t xml:space="preserve">revalorisation </w:t>
      </w:r>
      <w:r>
        <w:rPr>
          <w:rFonts w:eastAsiaTheme="minorEastAsia"/>
          <w:lang w:val="fr-CH"/>
        </w:rPr>
        <w:t xml:space="preserve">et </w:t>
      </w:r>
      <w:r w:rsidR="005F61FD">
        <w:rPr>
          <w:rFonts w:eastAsiaTheme="minorEastAsia"/>
          <w:lang w:val="fr-CH"/>
        </w:rPr>
        <w:t>réhabilitation</w:t>
      </w:r>
      <w:r>
        <w:rPr>
          <w:rFonts w:eastAsiaTheme="minorEastAsia"/>
          <w:lang w:val="fr-CH"/>
        </w:rPr>
        <w:t xml:space="preserve"> des sols</w:t>
      </w:r>
      <w:r w:rsidR="00D66F23" w:rsidRPr="00572D0C">
        <w:rPr>
          <w:rStyle w:val="Funotenzeichen"/>
          <w:rFonts w:eastAsiaTheme="minorEastAsia"/>
          <w:lang w:val="fr-CH"/>
        </w:rPr>
        <w:footnoteReference w:id="27"/>
      </w:r>
      <w:r w:rsidR="00D66F23" w:rsidRPr="00572D0C">
        <w:rPr>
          <w:rFonts w:eastAsiaTheme="minorEastAsia"/>
          <w:lang w:val="fr-CH"/>
        </w:rPr>
        <w:t>.</w:t>
      </w:r>
      <w:r w:rsidR="00077833" w:rsidRPr="00572D0C">
        <w:rPr>
          <w:rFonts w:eastAsiaTheme="minorEastAsia"/>
          <w:lang w:val="fr-CH"/>
        </w:rPr>
        <w:t xml:space="preserve"> </w:t>
      </w:r>
      <w:r>
        <w:rPr>
          <w:rFonts w:eastAsiaTheme="minorEastAsia"/>
          <w:lang w:val="fr-CH"/>
        </w:rPr>
        <w:t xml:space="preserve">De plus, la Confédération a édité diverses directives </w:t>
      </w:r>
      <w:r w:rsidR="0046748F">
        <w:rPr>
          <w:rFonts w:eastAsiaTheme="minorEastAsia"/>
          <w:lang w:val="fr-CH"/>
        </w:rPr>
        <w:t xml:space="preserve">et </w:t>
      </w:r>
      <w:r>
        <w:rPr>
          <w:rFonts w:eastAsiaTheme="minorEastAsia"/>
          <w:lang w:val="fr-CH"/>
        </w:rPr>
        <w:t xml:space="preserve">aides à la mise en œuvre </w:t>
      </w:r>
      <w:r>
        <w:rPr>
          <w:lang w:val="fr-CH"/>
        </w:rPr>
        <w:t xml:space="preserve">utiles en matière de </w:t>
      </w:r>
      <w:r w:rsidR="005F61FD">
        <w:rPr>
          <w:lang w:val="fr-CH"/>
        </w:rPr>
        <w:t xml:space="preserve">revalorisation </w:t>
      </w:r>
      <w:r>
        <w:rPr>
          <w:lang w:val="fr-CH"/>
        </w:rPr>
        <w:t xml:space="preserve">et de </w:t>
      </w:r>
      <w:r w:rsidR="005F61FD">
        <w:rPr>
          <w:lang w:val="fr-CH"/>
        </w:rPr>
        <w:t>réhabilitation</w:t>
      </w:r>
      <w:r>
        <w:rPr>
          <w:lang w:val="fr-CH"/>
        </w:rPr>
        <w:t xml:space="preserve"> des sols</w:t>
      </w:r>
      <w:r w:rsidR="000E2F02" w:rsidRPr="00572D0C">
        <w:rPr>
          <w:rStyle w:val="Funotenzeichen"/>
          <w:lang w:val="fr-CH"/>
        </w:rPr>
        <w:footnoteReference w:id="28"/>
      </w:r>
      <w:r w:rsidR="000E2F02" w:rsidRPr="00572D0C">
        <w:rPr>
          <w:lang w:val="fr-CH"/>
        </w:rPr>
        <w:t>.</w:t>
      </w:r>
    </w:p>
    <w:p w14:paraId="18B49816" w14:textId="721068BF" w:rsidR="004E71B4" w:rsidRPr="00572D0C" w:rsidRDefault="00497D4A" w:rsidP="00077833">
      <w:pPr>
        <w:rPr>
          <w:lang w:val="fr-CH"/>
        </w:rPr>
      </w:pPr>
      <w:r>
        <w:rPr>
          <w:lang w:val="fr-CH"/>
        </w:rPr>
        <w:t>De</w:t>
      </w:r>
      <w:r w:rsidR="00863348">
        <w:rPr>
          <w:lang w:val="fr-CH"/>
        </w:rPr>
        <w:t xml:space="preserve"> plus,</w:t>
      </w:r>
      <w:r w:rsidR="147A5F7B" w:rsidRPr="00572D0C">
        <w:rPr>
          <w:lang w:val="fr-CH"/>
        </w:rPr>
        <w:t xml:space="preserve"> </w:t>
      </w:r>
      <w:r w:rsidR="00952902">
        <w:rPr>
          <w:lang w:val="fr-CH"/>
        </w:rPr>
        <w:t xml:space="preserve">l’ordonnance </w:t>
      </w:r>
      <w:r w:rsidR="00A06CAB">
        <w:rPr>
          <w:lang w:val="fr-CH"/>
        </w:rPr>
        <w:t xml:space="preserve">du 4 décembre 2015 </w:t>
      </w:r>
      <w:r w:rsidR="00952902">
        <w:rPr>
          <w:lang w:val="fr-CH"/>
        </w:rPr>
        <w:t>sur la limitation et l’élimination des déchets</w:t>
      </w:r>
      <w:r w:rsidR="147A5F7B" w:rsidRPr="00572D0C">
        <w:rPr>
          <w:lang w:val="fr-CH"/>
        </w:rPr>
        <w:t xml:space="preserve"> (</w:t>
      </w:r>
      <w:r w:rsidR="00863348">
        <w:rPr>
          <w:lang w:val="fr-CH"/>
        </w:rPr>
        <w:t>OLED</w:t>
      </w:r>
      <w:r w:rsidR="147A5F7B" w:rsidRPr="00572D0C">
        <w:rPr>
          <w:lang w:val="fr-CH"/>
        </w:rPr>
        <w:t xml:space="preserve">, </w:t>
      </w:r>
      <w:r w:rsidR="00863348">
        <w:rPr>
          <w:lang w:val="fr-CH"/>
        </w:rPr>
        <w:t>RS</w:t>
      </w:r>
      <w:r w:rsidR="147A5F7B" w:rsidRPr="00572D0C">
        <w:rPr>
          <w:lang w:val="fr-CH"/>
        </w:rPr>
        <w:t xml:space="preserve"> 814.600) </w:t>
      </w:r>
      <w:r w:rsidR="00863348">
        <w:rPr>
          <w:lang w:val="fr-CH"/>
        </w:rPr>
        <w:t>est en vigueur depuis 2015</w:t>
      </w:r>
      <w:r w:rsidR="147A5F7B" w:rsidRPr="00572D0C">
        <w:rPr>
          <w:lang w:val="fr-CH"/>
        </w:rPr>
        <w:t xml:space="preserve">. </w:t>
      </w:r>
      <w:r w:rsidR="00863348">
        <w:rPr>
          <w:lang w:val="fr-CH"/>
        </w:rPr>
        <w:t>Selon l’article</w:t>
      </w:r>
      <w:r w:rsidR="147A5F7B" w:rsidRPr="00572D0C">
        <w:rPr>
          <w:lang w:val="fr-CH"/>
        </w:rPr>
        <w:t xml:space="preserve"> 18</w:t>
      </w:r>
      <w:r w:rsidR="00863348">
        <w:rPr>
          <w:lang w:val="fr-CH"/>
        </w:rPr>
        <w:t xml:space="preserve"> OLED, les matériaux terreux issus de la couche supérieure et de la couche sous-jacente du sol doivent autant que possible être valorisés intégralement. Une carte indicative peut donc également contribuer à la revalorisation effective de matériaux terreux</w:t>
      </w:r>
      <w:r w:rsidR="147A5F7B" w:rsidRPr="00572D0C">
        <w:rPr>
          <w:lang w:val="fr-CH"/>
        </w:rPr>
        <w:t>.</w:t>
      </w:r>
    </w:p>
    <w:p w14:paraId="57D4486C" w14:textId="6F9EA38B" w:rsidR="009F039E" w:rsidRPr="0009141B" w:rsidRDefault="009F039E" w:rsidP="00501D1D">
      <w:pPr>
        <w:pStyle w:val="berschrift2"/>
        <w:rPr>
          <w:lang w:val="fr-CH"/>
        </w:rPr>
      </w:pPr>
      <w:bookmarkStart w:id="104" w:name="_Toc523813325"/>
      <w:bookmarkStart w:id="105" w:name="_Toc525022624"/>
      <w:bookmarkStart w:id="106" w:name="_Toc526946713"/>
      <w:bookmarkStart w:id="107" w:name="_Toc531193005"/>
      <w:bookmarkStart w:id="108" w:name="_Toc523813326"/>
      <w:bookmarkStart w:id="109" w:name="_Toc525022625"/>
      <w:bookmarkStart w:id="110" w:name="_Toc532996287"/>
      <w:r w:rsidRPr="0009141B">
        <w:rPr>
          <w:lang w:val="fr-CH"/>
        </w:rPr>
        <w:t>Mesures de compensation</w:t>
      </w:r>
      <w:bookmarkEnd w:id="110"/>
    </w:p>
    <w:p w14:paraId="54EA9064" w14:textId="2E03C065" w:rsidR="00ED4FE4" w:rsidRPr="00572D0C" w:rsidRDefault="00B0540F" w:rsidP="00ED4FE4">
      <w:pPr>
        <w:pStyle w:val="Listenabsatz"/>
        <w:numPr>
          <w:ilvl w:val="0"/>
          <w:numId w:val="29"/>
        </w:numPr>
        <w:shd w:val="clear" w:color="auto" w:fill="D9D9D9" w:themeFill="background1" w:themeFillShade="D9"/>
        <w:spacing w:before="240"/>
        <w:ind w:left="426" w:hanging="426"/>
        <w:rPr>
          <w:b/>
          <w:bCs/>
          <w:i w:val="0"/>
          <w:lang w:val="fr-CH"/>
        </w:rPr>
      </w:pPr>
      <w:bookmarkStart w:id="111" w:name="_Ref527035354"/>
      <w:bookmarkEnd w:id="104"/>
      <w:bookmarkEnd w:id="105"/>
      <w:bookmarkEnd w:id="106"/>
      <w:bookmarkEnd w:id="107"/>
      <w:r>
        <w:rPr>
          <w:b/>
          <w:bCs/>
          <w:i w:val="0"/>
          <w:lang w:val="fr-CH"/>
        </w:rPr>
        <w:t>Toute sollicitation de SDA</w:t>
      </w:r>
      <w:r w:rsidR="00FF1133">
        <w:rPr>
          <w:b/>
          <w:bCs/>
          <w:i w:val="0"/>
          <w:lang w:val="fr-CH"/>
        </w:rPr>
        <w:t xml:space="preserve"> répertoriées dans l’inventaire cantonal des SDA devrait</w:t>
      </w:r>
      <w:r>
        <w:rPr>
          <w:b/>
          <w:bCs/>
          <w:i w:val="0"/>
          <w:lang w:val="fr-CH"/>
        </w:rPr>
        <w:t xml:space="preserve"> être </w:t>
      </w:r>
      <w:r w:rsidR="00FF1133">
        <w:rPr>
          <w:b/>
          <w:bCs/>
          <w:i w:val="0"/>
          <w:lang w:val="fr-CH"/>
        </w:rPr>
        <w:t>si</w:t>
      </w:r>
      <w:r w:rsidR="009F039E">
        <w:rPr>
          <w:b/>
          <w:bCs/>
          <w:i w:val="0"/>
          <w:lang w:val="fr-CH"/>
        </w:rPr>
        <w:t xml:space="preserve"> possible </w:t>
      </w:r>
      <w:r>
        <w:rPr>
          <w:b/>
          <w:bCs/>
          <w:i w:val="0"/>
          <w:lang w:val="fr-CH"/>
        </w:rPr>
        <w:t>compensée sur les plans quantitatif et qualitatif</w:t>
      </w:r>
      <w:r w:rsidR="00ED4FE4" w:rsidRPr="00572D0C">
        <w:rPr>
          <w:b/>
          <w:bCs/>
          <w:i w:val="0"/>
          <w:lang w:val="fr-CH"/>
        </w:rPr>
        <w:t>.</w:t>
      </w:r>
      <w:bookmarkEnd w:id="111"/>
      <w:r w:rsidR="00ED4FE4" w:rsidRPr="00572D0C">
        <w:rPr>
          <w:b/>
          <w:bCs/>
          <w:i w:val="0"/>
          <w:lang w:val="fr-CH"/>
        </w:rPr>
        <w:t xml:space="preserve"> </w:t>
      </w:r>
    </w:p>
    <w:p w14:paraId="1CBC3911" w14:textId="1BB32132" w:rsidR="007B6258" w:rsidRDefault="00E44F41" w:rsidP="00A75149">
      <w:pPr>
        <w:rPr>
          <w:lang w:val="fr-CH"/>
        </w:rPr>
      </w:pPr>
      <w:r>
        <w:rPr>
          <w:rFonts w:cs="Arial"/>
          <w:lang w:val="fr-CH"/>
        </w:rPr>
        <w:t>À</w:t>
      </w:r>
      <w:r w:rsidR="009F039E">
        <w:rPr>
          <w:lang w:val="fr-CH"/>
        </w:rPr>
        <w:t xml:space="preserve"> la différence de la compensation expliquée </w:t>
      </w:r>
      <w:r>
        <w:rPr>
          <w:lang w:val="fr-CH"/>
        </w:rPr>
        <w:t xml:space="preserve">sous </w:t>
      </w:r>
      <w:r w:rsidR="009F039E">
        <w:rPr>
          <w:lang w:val="fr-CH"/>
        </w:rPr>
        <w:t xml:space="preserve">P2, ce principe se réfère </w:t>
      </w:r>
      <w:r w:rsidR="007B6258">
        <w:rPr>
          <w:lang w:val="fr-CH"/>
        </w:rPr>
        <w:t>non</w:t>
      </w:r>
      <w:r w:rsidR="009F039E">
        <w:rPr>
          <w:lang w:val="fr-CH"/>
        </w:rPr>
        <w:t xml:space="preserve"> seulement aux situations </w:t>
      </w:r>
      <w:r>
        <w:rPr>
          <w:lang w:val="fr-CH"/>
        </w:rPr>
        <w:t>où</w:t>
      </w:r>
      <w:r w:rsidR="009F039E">
        <w:rPr>
          <w:lang w:val="fr-CH"/>
        </w:rPr>
        <w:t xml:space="preserve"> le contingent cantonal n’est plus respecté après la perte d’une SDA</w:t>
      </w:r>
      <w:r>
        <w:rPr>
          <w:lang w:val="fr-CH"/>
        </w:rPr>
        <w:t>,</w:t>
      </w:r>
      <w:r w:rsidR="009F039E">
        <w:rPr>
          <w:lang w:val="fr-CH"/>
        </w:rPr>
        <w:t xml:space="preserve"> mais</w:t>
      </w:r>
      <w:r w:rsidR="007B6258">
        <w:rPr>
          <w:lang w:val="fr-CH"/>
        </w:rPr>
        <w:t xml:space="preserve"> aussi à toute sollicitation de SDA répertoriée dans l’inventaire.</w:t>
      </w:r>
    </w:p>
    <w:p w14:paraId="1F335F3E" w14:textId="5691CDF2" w:rsidR="00A75149" w:rsidRPr="00572D0C" w:rsidRDefault="00863348" w:rsidP="00A75149">
      <w:pPr>
        <w:rPr>
          <w:lang w:val="fr-CH"/>
        </w:rPr>
      </w:pPr>
      <w:r>
        <w:rPr>
          <w:lang w:val="fr-CH"/>
        </w:rPr>
        <w:t>La sollicitation de SDA</w:t>
      </w:r>
      <w:r w:rsidR="147A5F7B" w:rsidRPr="00572D0C">
        <w:rPr>
          <w:lang w:val="fr-CH"/>
        </w:rPr>
        <w:t xml:space="preserve"> (</w:t>
      </w:r>
      <w:r>
        <w:rPr>
          <w:lang w:val="fr-CH"/>
        </w:rPr>
        <w:t>par ex. par des constructions</w:t>
      </w:r>
      <w:r w:rsidR="147A5F7B" w:rsidRPr="00572D0C">
        <w:rPr>
          <w:lang w:val="fr-CH"/>
        </w:rPr>
        <w:t xml:space="preserve">) </w:t>
      </w:r>
      <w:r>
        <w:rPr>
          <w:lang w:val="fr-CH"/>
        </w:rPr>
        <w:t>entraîne la destruction du sol et la perte de la qualité SDA</w:t>
      </w:r>
      <w:r w:rsidR="147A5F7B" w:rsidRPr="00572D0C">
        <w:rPr>
          <w:lang w:val="fr-CH"/>
        </w:rPr>
        <w:t xml:space="preserve">. </w:t>
      </w:r>
      <w:r w:rsidR="00BA5F97">
        <w:rPr>
          <w:lang w:val="fr-CH"/>
        </w:rPr>
        <w:t xml:space="preserve">Nous considérons ici </w:t>
      </w:r>
      <w:r w:rsidR="00E44F41">
        <w:rPr>
          <w:lang w:val="fr-CH"/>
        </w:rPr>
        <w:t>tou</w:t>
      </w:r>
      <w:r w:rsidR="0054786D">
        <w:rPr>
          <w:lang w:val="fr-CH"/>
        </w:rPr>
        <w:t>te</w:t>
      </w:r>
      <w:r w:rsidR="00E44F41">
        <w:rPr>
          <w:lang w:val="fr-CH"/>
        </w:rPr>
        <w:t xml:space="preserve">s les </w:t>
      </w:r>
      <w:r w:rsidR="0054786D">
        <w:rPr>
          <w:lang w:val="fr-CH"/>
        </w:rPr>
        <w:t>emprises</w:t>
      </w:r>
      <w:r w:rsidR="0054786D" w:rsidRPr="00572D0C">
        <w:rPr>
          <w:lang w:val="fr-CH"/>
        </w:rPr>
        <w:t xml:space="preserve"> </w:t>
      </w:r>
      <w:r w:rsidR="00BA5F97">
        <w:rPr>
          <w:lang w:val="fr-CH"/>
        </w:rPr>
        <w:t>sur des SDA</w:t>
      </w:r>
      <w:r w:rsidR="00E44F41">
        <w:rPr>
          <w:lang w:val="fr-CH"/>
        </w:rPr>
        <w:t>, tant à des fins</w:t>
      </w:r>
      <w:r w:rsidR="00BA5F97">
        <w:rPr>
          <w:lang w:val="fr-CH"/>
        </w:rPr>
        <w:t xml:space="preserve"> agricoles </w:t>
      </w:r>
      <w:r w:rsidR="00E44F41">
        <w:rPr>
          <w:lang w:val="fr-CH"/>
        </w:rPr>
        <w:t xml:space="preserve">qu’à des fins </w:t>
      </w:r>
      <w:r w:rsidR="00BA5F97">
        <w:rPr>
          <w:lang w:val="fr-CH"/>
        </w:rPr>
        <w:t>non agricoles</w:t>
      </w:r>
      <w:r w:rsidR="00974D09" w:rsidRPr="00572D0C">
        <w:rPr>
          <w:lang w:val="fr-CH"/>
        </w:rPr>
        <w:t xml:space="preserve">. </w:t>
      </w:r>
    </w:p>
    <w:p w14:paraId="03678C7A" w14:textId="73470057" w:rsidR="00A75149" w:rsidRPr="00572D0C" w:rsidRDefault="00CF4845" w:rsidP="00A75149">
      <w:pPr>
        <w:rPr>
          <w:lang w:val="fr-CH"/>
        </w:rPr>
      </w:pPr>
      <w:r>
        <w:rPr>
          <w:lang w:val="fr-CH"/>
        </w:rPr>
        <w:t>L’OLED</w:t>
      </w:r>
      <w:r w:rsidR="007B6258">
        <w:rPr>
          <w:lang w:val="fr-CH"/>
        </w:rPr>
        <w:t xml:space="preserve"> mentionnée sous P7</w:t>
      </w:r>
      <w:r>
        <w:rPr>
          <w:lang w:val="fr-CH"/>
        </w:rPr>
        <w:t xml:space="preserve"> </w:t>
      </w:r>
      <w:r w:rsidR="009D4E34">
        <w:rPr>
          <w:lang w:val="fr-CH"/>
        </w:rPr>
        <w:t xml:space="preserve">fournit en outre </w:t>
      </w:r>
      <w:r>
        <w:rPr>
          <w:lang w:val="fr-CH"/>
        </w:rPr>
        <w:t>une incitation à prendre des mesures de compensation</w:t>
      </w:r>
      <w:r w:rsidR="000B4F82" w:rsidRPr="00572D0C">
        <w:rPr>
          <w:lang w:val="fr-CH"/>
        </w:rPr>
        <w:t>.</w:t>
      </w:r>
      <w:r w:rsidR="147A5F7B" w:rsidRPr="00572D0C">
        <w:rPr>
          <w:lang w:val="fr-CH"/>
        </w:rPr>
        <w:t xml:space="preserve"> </w:t>
      </w:r>
      <w:r>
        <w:rPr>
          <w:lang w:val="fr-CH"/>
        </w:rPr>
        <w:t>Selon l’article</w:t>
      </w:r>
      <w:r w:rsidRPr="00572D0C">
        <w:rPr>
          <w:lang w:val="fr-CH"/>
        </w:rPr>
        <w:t xml:space="preserve"> 18</w:t>
      </w:r>
      <w:r>
        <w:rPr>
          <w:lang w:val="fr-CH"/>
        </w:rPr>
        <w:t xml:space="preserve"> OLED, les matériaux terreux issus de la couche supérieure et de la couche sous-jacente du sol doivent autant que possible être valorisés intégralement</w:t>
      </w:r>
      <w:r w:rsidR="147A5F7B" w:rsidRPr="00572D0C">
        <w:rPr>
          <w:lang w:val="fr-CH"/>
        </w:rPr>
        <w:t xml:space="preserve">. </w:t>
      </w:r>
      <w:r>
        <w:rPr>
          <w:lang w:val="fr-CH"/>
        </w:rPr>
        <w:t xml:space="preserve">Dans l’idéal, ces matériaux terreux </w:t>
      </w:r>
      <w:r w:rsidR="009D4E34">
        <w:rPr>
          <w:lang w:val="fr-CH"/>
        </w:rPr>
        <w:t xml:space="preserve">servent à des </w:t>
      </w:r>
      <w:r w:rsidR="005F61FD">
        <w:rPr>
          <w:lang w:val="fr-CH"/>
        </w:rPr>
        <w:t>revalorisations</w:t>
      </w:r>
      <w:r w:rsidR="009D4E34">
        <w:rPr>
          <w:lang w:val="fr-CH"/>
        </w:rPr>
        <w:t xml:space="preserve"> ou à des </w:t>
      </w:r>
      <w:r w:rsidR="005F61FD">
        <w:rPr>
          <w:lang w:val="fr-CH"/>
        </w:rPr>
        <w:t>réhabilitations</w:t>
      </w:r>
      <w:r w:rsidR="009D4E34">
        <w:rPr>
          <w:lang w:val="fr-CH"/>
        </w:rPr>
        <w:t xml:space="preserve"> de sols en SDA</w:t>
      </w:r>
      <w:r w:rsidR="147A5F7B" w:rsidRPr="00572D0C">
        <w:rPr>
          <w:lang w:val="fr-CH"/>
        </w:rPr>
        <w:t>.</w:t>
      </w:r>
      <w:r w:rsidR="007B6258">
        <w:rPr>
          <w:lang w:val="fr-CH"/>
        </w:rPr>
        <w:t xml:space="preserve"> Comme les grands projets impliquent souvent l’excavation de gros volumes de matériaux terreux qui ne peuvent pas être immédiatement réutilisés, </w:t>
      </w:r>
      <w:r w:rsidR="009D4E34">
        <w:rPr>
          <w:lang w:val="fr-CH"/>
        </w:rPr>
        <w:t>il peut être dans l’intérêt des</w:t>
      </w:r>
      <w:r w:rsidR="007B6258">
        <w:rPr>
          <w:lang w:val="fr-CH"/>
        </w:rPr>
        <w:t xml:space="preserve"> cantons </w:t>
      </w:r>
      <w:r w:rsidR="009D4E34">
        <w:rPr>
          <w:lang w:val="fr-CH"/>
        </w:rPr>
        <w:t>d’</w:t>
      </w:r>
      <w:r w:rsidR="007B6258">
        <w:rPr>
          <w:lang w:val="fr-CH"/>
        </w:rPr>
        <w:t xml:space="preserve">aménager des dépôts intermédiaires </w:t>
      </w:r>
      <w:r w:rsidR="009D4E34">
        <w:rPr>
          <w:lang w:val="fr-CH"/>
        </w:rPr>
        <w:t>pour les</w:t>
      </w:r>
      <w:r w:rsidR="007B6258">
        <w:rPr>
          <w:lang w:val="fr-CH"/>
        </w:rPr>
        <w:t xml:space="preserve"> m</w:t>
      </w:r>
      <w:r w:rsidR="002327F2">
        <w:rPr>
          <w:lang w:val="fr-CH"/>
        </w:rPr>
        <w:t>até</w:t>
      </w:r>
      <w:r w:rsidR="007B6258">
        <w:rPr>
          <w:lang w:val="fr-CH"/>
        </w:rPr>
        <w:t>r</w:t>
      </w:r>
      <w:r w:rsidR="002327F2">
        <w:rPr>
          <w:lang w:val="fr-CH"/>
        </w:rPr>
        <w:t>i</w:t>
      </w:r>
      <w:r w:rsidR="007B6258">
        <w:rPr>
          <w:lang w:val="fr-CH"/>
        </w:rPr>
        <w:t>a</w:t>
      </w:r>
      <w:r w:rsidR="002327F2">
        <w:rPr>
          <w:lang w:val="fr-CH"/>
        </w:rPr>
        <w:t>u</w:t>
      </w:r>
      <w:r w:rsidR="007B6258">
        <w:rPr>
          <w:lang w:val="fr-CH"/>
        </w:rPr>
        <w:t>x terreux</w:t>
      </w:r>
      <w:r w:rsidR="00743D8F">
        <w:rPr>
          <w:lang w:val="fr-CH"/>
        </w:rPr>
        <w:t xml:space="preserve"> excavés</w:t>
      </w:r>
      <w:r w:rsidR="007B6258">
        <w:rPr>
          <w:lang w:val="fr-CH"/>
        </w:rPr>
        <w:t>. Cela peut simplifier ou accélé</w:t>
      </w:r>
      <w:r w:rsidR="002327F2">
        <w:rPr>
          <w:lang w:val="fr-CH"/>
        </w:rPr>
        <w:t>r</w:t>
      </w:r>
      <w:r w:rsidR="007B6258">
        <w:rPr>
          <w:lang w:val="fr-CH"/>
        </w:rPr>
        <w:t>er de futurs projets de revalo</w:t>
      </w:r>
      <w:r w:rsidR="002327F2">
        <w:rPr>
          <w:lang w:val="fr-CH"/>
        </w:rPr>
        <w:t>r</w:t>
      </w:r>
      <w:r w:rsidR="007B6258">
        <w:rPr>
          <w:lang w:val="fr-CH"/>
        </w:rPr>
        <w:t>i</w:t>
      </w:r>
      <w:r w:rsidR="002327F2">
        <w:rPr>
          <w:lang w:val="fr-CH"/>
        </w:rPr>
        <w:t>s</w:t>
      </w:r>
      <w:r w:rsidR="007B6258">
        <w:rPr>
          <w:lang w:val="fr-CH"/>
        </w:rPr>
        <w:t xml:space="preserve">ation. </w:t>
      </w:r>
    </w:p>
    <w:p w14:paraId="3684DE04" w14:textId="6AFDD8D9" w:rsidR="00A75149" w:rsidRPr="00572D0C" w:rsidRDefault="00B55E21">
      <w:pPr>
        <w:rPr>
          <w:rFonts w:eastAsiaTheme="minorEastAsia"/>
          <w:lang w:val="fr-CH" w:eastAsia="en-US"/>
        </w:rPr>
      </w:pPr>
      <w:r>
        <w:rPr>
          <w:rFonts w:eastAsiaTheme="minorEastAsia"/>
          <w:lang w:val="fr-CH" w:eastAsia="en-US"/>
        </w:rPr>
        <w:t>L</w:t>
      </w:r>
      <w:r w:rsidR="00E60AFB">
        <w:rPr>
          <w:rFonts w:eastAsiaTheme="minorEastAsia"/>
          <w:lang w:val="fr-CH" w:eastAsia="en-US"/>
        </w:rPr>
        <w:t>es précisions quant à l</w:t>
      </w:r>
      <w:r>
        <w:rPr>
          <w:rFonts w:eastAsiaTheme="minorEastAsia"/>
          <w:lang w:val="fr-CH" w:eastAsia="en-US"/>
        </w:rPr>
        <w:t xml:space="preserve">a nature, </w:t>
      </w:r>
      <w:r w:rsidR="00342A69">
        <w:rPr>
          <w:rFonts w:eastAsiaTheme="minorEastAsia"/>
          <w:lang w:val="fr-CH" w:eastAsia="en-US"/>
        </w:rPr>
        <w:t xml:space="preserve">à </w:t>
      </w:r>
      <w:r>
        <w:rPr>
          <w:rFonts w:eastAsiaTheme="minorEastAsia"/>
          <w:lang w:val="fr-CH" w:eastAsia="en-US"/>
        </w:rPr>
        <w:t xml:space="preserve">la superficie et </w:t>
      </w:r>
      <w:r w:rsidR="00342A69">
        <w:rPr>
          <w:rFonts w:eastAsiaTheme="minorEastAsia"/>
          <w:lang w:val="fr-CH" w:eastAsia="en-US"/>
        </w:rPr>
        <w:t xml:space="preserve">au </w:t>
      </w:r>
      <w:r>
        <w:rPr>
          <w:rFonts w:eastAsiaTheme="minorEastAsia"/>
          <w:lang w:val="fr-CH" w:eastAsia="en-US"/>
        </w:rPr>
        <w:t>délai</w:t>
      </w:r>
      <w:r w:rsidR="00E60AFB">
        <w:rPr>
          <w:rFonts w:eastAsiaTheme="minorEastAsia"/>
          <w:lang w:val="fr-CH" w:eastAsia="en-US"/>
        </w:rPr>
        <w:t xml:space="preserve"> d’exécution de la compensation doivent dans l’idéal être fixées ou </w:t>
      </w:r>
      <w:r w:rsidR="0054786D">
        <w:rPr>
          <w:rFonts w:eastAsiaTheme="minorEastAsia"/>
          <w:lang w:val="fr-CH" w:eastAsia="en-US"/>
        </w:rPr>
        <w:t xml:space="preserve">décidées </w:t>
      </w:r>
      <w:r w:rsidR="00E60AFB">
        <w:rPr>
          <w:rFonts w:eastAsiaTheme="minorEastAsia"/>
          <w:lang w:val="fr-CH" w:eastAsia="en-US"/>
        </w:rPr>
        <w:t>au plus tard au moment de l’approbation du classement en zone à bâti</w:t>
      </w:r>
      <w:r w:rsidR="0054786D">
        <w:rPr>
          <w:rFonts w:eastAsiaTheme="minorEastAsia"/>
          <w:lang w:val="fr-CH" w:eastAsia="en-US"/>
        </w:rPr>
        <w:t>r</w:t>
      </w:r>
      <w:r w:rsidR="00E60AFB">
        <w:rPr>
          <w:rFonts w:eastAsiaTheme="minorEastAsia"/>
          <w:lang w:val="fr-CH" w:eastAsia="en-US"/>
        </w:rPr>
        <w:t xml:space="preserve"> ou de l’autorisation de construire</w:t>
      </w:r>
      <w:r w:rsidR="147A5F7B" w:rsidRPr="00572D0C">
        <w:rPr>
          <w:rFonts w:eastAsiaTheme="minorEastAsia"/>
          <w:lang w:val="fr-CH" w:eastAsia="en-US"/>
        </w:rPr>
        <w:t>.</w:t>
      </w:r>
      <w:r w:rsidR="00E60AFB">
        <w:rPr>
          <w:rFonts w:eastAsiaTheme="minorEastAsia"/>
          <w:lang w:val="fr-CH" w:eastAsia="en-US"/>
        </w:rPr>
        <w:t xml:space="preserve"> Une compensation doit toujours avoir pour but le remplacement de SDA perdues par des sols de qualité identique. La compensation doit donc être totale. Lorsqu’une compensation </w:t>
      </w:r>
      <w:r w:rsidR="0054786D">
        <w:rPr>
          <w:rFonts w:eastAsiaTheme="minorEastAsia"/>
          <w:lang w:val="fr-CH" w:eastAsia="en-US"/>
        </w:rPr>
        <w:t>s’effectue avec</w:t>
      </w:r>
      <w:r w:rsidR="00E60AFB">
        <w:rPr>
          <w:rFonts w:eastAsiaTheme="minorEastAsia"/>
          <w:lang w:val="fr-CH" w:eastAsia="en-US"/>
        </w:rPr>
        <w:t xml:space="preserve"> des </w:t>
      </w:r>
      <w:r w:rsidR="0054786D">
        <w:rPr>
          <w:rFonts w:eastAsiaTheme="minorEastAsia"/>
          <w:lang w:val="fr-CH" w:eastAsia="en-US"/>
        </w:rPr>
        <w:t>SDA de qualité inférieure</w:t>
      </w:r>
      <w:r w:rsidR="00E60AFB">
        <w:rPr>
          <w:rFonts w:eastAsiaTheme="minorEastAsia"/>
          <w:lang w:val="fr-CH" w:eastAsia="en-US"/>
        </w:rPr>
        <w:t>, la surface de compensation doit être plus étendue.</w:t>
      </w:r>
      <w:r w:rsidR="147A5F7B" w:rsidRPr="00572D0C">
        <w:rPr>
          <w:rFonts w:eastAsiaTheme="minorEastAsia"/>
          <w:lang w:val="fr-CH" w:eastAsia="en-US"/>
        </w:rPr>
        <w:t xml:space="preserve"> </w:t>
      </w:r>
      <w:r w:rsidR="00E60AFB">
        <w:rPr>
          <w:rFonts w:eastAsiaTheme="minorEastAsia"/>
          <w:lang w:val="fr-CH" w:eastAsia="en-US"/>
        </w:rPr>
        <w:t xml:space="preserve">Cela ne devrait toutefois </w:t>
      </w:r>
      <w:r w:rsidR="0054786D">
        <w:rPr>
          <w:rFonts w:eastAsiaTheme="minorEastAsia"/>
          <w:lang w:val="fr-CH" w:eastAsia="en-US"/>
        </w:rPr>
        <w:t>avoir lieu</w:t>
      </w:r>
      <w:r w:rsidR="00E60AFB">
        <w:rPr>
          <w:rFonts w:eastAsiaTheme="minorEastAsia"/>
          <w:lang w:val="fr-CH" w:eastAsia="en-US"/>
        </w:rPr>
        <w:t xml:space="preserve"> que dans des cas exceptionnels</w:t>
      </w:r>
      <w:r w:rsidR="00373F08" w:rsidRPr="00572D0C">
        <w:rPr>
          <w:rFonts w:eastAsiaTheme="minorEastAsia"/>
          <w:lang w:val="fr-CH" w:eastAsia="en-US"/>
        </w:rPr>
        <w:t>.</w:t>
      </w:r>
      <w:r w:rsidR="002327F2">
        <w:rPr>
          <w:rFonts w:eastAsiaTheme="minorEastAsia"/>
          <w:lang w:val="fr-CH" w:eastAsia="en-US"/>
        </w:rPr>
        <w:t xml:space="preserve"> Pour la qualité,</w:t>
      </w:r>
      <w:r w:rsidR="147A5F7B" w:rsidRPr="00572D0C">
        <w:rPr>
          <w:rFonts w:eastAsiaTheme="minorEastAsia"/>
          <w:lang w:val="fr-CH" w:eastAsia="en-US"/>
        </w:rPr>
        <w:t xml:space="preserve"> </w:t>
      </w:r>
      <w:r w:rsidR="002327F2">
        <w:rPr>
          <w:rFonts w:eastAsiaTheme="minorEastAsia"/>
          <w:lang w:val="fr-CH" w:eastAsia="en-US"/>
        </w:rPr>
        <w:t xml:space="preserve">on se réfèrera notamment au tableau des critères de qualité </w:t>
      </w:r>
      <w:r w:rsidR="0054786D">
        <w:rPr>
          <w:rFonts w:eastAsiaTheme="minorEastAsia"/>
          <w:lang w:val="fr-CH" w:eastAsia="en-US"/>
        </w:rPr>
        <w:t xml:space="preserve">selon </w:t>
      </w:r>
      <w:r w:rsidR="002327F2">
        <w:rPr>
          <w:rFonts w:eastAsiaTheme="minorEastAsia"/>
          <w:lang w:val="fr-CH" w:eastAsia="en-US"/>
        </w:rPr>
        <w:t>P6 ainsi qu’au paragraphe « compensation des SDA sollicitées ».</w:t>
      </w:r>
    </w:p>
    <w:p w14:paraId="2246140D" w14:textId="47DEB0B8" w:rsidR="00A75149" w:rsidRPr="00572D0C" w:rsidRDefault="00E60AFB" w:rsidP="147A5F7B">
      <w:pPr>
        <w:rPr>
          <w:rFonts w:ascii="Times New Roman" w:hAnsi="Times New Roman"/>
          <w:lang w:val="fr-CH"/>
        </w:rPr>
      </w:pPr>
      <w:r>
        <w:rPr>
          <w:rFonts w:eastAsia="Arial" w:cs="Arial"/>
          <w:lang w:val="fr-CH"/>
        </w:rPr>
        <w:t>La revalorisation d’une SDA dégradée ou d</w:t>
      </w:r>
      <w:r w:rsidR="007B4334">
        <w:rPr>
          <w:rFonts w:eastAsia="Arial" w:cs="Arial"/>
          <w:lang w:val="fr-CH"/>
        </w:rPr>
        <w:t>e</w:t>
      </w:r>
      <w:r>
        <w:rPr>
          <w:rFonts w:eastAsia="Arial" w:cs="Arial"/>
          <w:lang w:val="fr-CH"/>
        </w:rPr>
        <w:t xml:space="preserve"> qualité inférieure</w:t>
      </w:r>
      <w:r w:rsidR="147A5F7B" w:rsidRPr="00572D0C">
        <w:rPr>
          <w:rFonts w:eastAsia="Arial" w:cs="Arial"/>
          <w:lang w:val="fr-CH"/>
        </w:rPr>
        <w:t>,</w:t>
      </w:r>
      <w:r>
        <w:rPr>
          <w:rFonts w:eastAsia="Arial" w:cs="Arial"/>
          <w:lang w:val="fr-CH"/>
        </w:rPr>
        <w:t xml:space="preserve"> déjà répertoriée </w:t>
      </w:r>
      <w:r w:rsidR="0054786D">
        <w:rPr>
          <w:rFonts w:eastAsia="Arial" w:cs="Arial"/>
          <w:lang w:val="fr-CH"/>
        </w:rPr>
        <w:t>dans</w:t>
      </w:r>
      <w:r>
        <w:rPr>
          <w:rFonts w:eastAsia="Arial" w:cs="Arial"/>
          <w:lang w:val="fr-CH"/>
        </w:rPr>
        <w:t xml:space="preserve"> l’inventaire SDA, ne peut pas être considérée comme une compensation</w:t>
      </w:r>
      <w:r w:rsidR="0054786D">
        <w:rPr>
          <w:rFonts w:eastAsia="Arial" w:cs="Arial"/>
          <w:lang w:val="fr-CH"/>
        </w:rPr>
        <w:t>,</w:t>
      </w:r>
      <w:r w:rsidR="147A5F7B" w:rsidRPr="00572D0C">
        <w:rPr>
          <w:rFonts w:eastAsia="Arial" w:cs="Arial"/>
          <w:lang w:val="fr-CH"/>
        </w:rPr>
        <w:t xml:space="preserve"> </w:t>
      </w:r>
      <w:r>
        <w:rPr>
          <w:rFonts w:eastAsia="Arial" w:cs="Arial"/>
          <w:lang w:val="fr-CH"/>
        </w:rPr>
        <w:t xml:space="preserve">car la superficie totale de SDA </w:t>
      </w:r>
      <w:r w:rsidR="002327F2">
        <w:rPr>
          <w:rFonts w:eastAsia="Arial" w:cs="Arial"/>
          <w:lang w:val="fr-CH"/>
        </w:rPr>
        <w:t xml:space="preserve">inventoriées </w:t>
      </w:r>
      <w:r>
        <w:rPr>
          <w:rFonts w:eastAsia="Arial" w:cs="Arial"/>
          <w:lang w:val="fr-CH"/>
        </w:rPr>
        <w:t>s’en trouverait diminuée</w:t>
      </w:r>
      <w:r w:rsidR="000B4F82" w:rsidRPr="00572D0C">
        <w:rPr>
          <w:rFonts w:eastAsia="Arial"/>
          <w:lang w:val="fr-CH"/>
        </w:rPr>
        <w:t>.</w:t>
      </w:r>
    </w:p>
    <w:p w14:paraId="757BECF8" w14:textId="2B0F0333" w:rsidR="00A75149" w:rsidRPr="00572D0C" w:rsidRDefault="007B4334" w:rsidP="00A75149">
      <w:pPr>
        <w:spacing w:before="120"/>
        <w:jc w:val="both"/>
        <w:rPr>
          <w:lang w:val="fr-CH"/>
        </w:rPr>
      </w:pPr>
      <w:r>
        <w:rPr>
          <w:lang w:val="fr-CH"/>
        </w:rPr>
        <w:lastRenderedPageBreak/>
        <w:t xml:space="preserve">En raison de l’hétérogénéité et du manque de fiabilité </w:t>
      </w:r>
      <w:r w:rsidR="0054786D">
        <w:rPr>
          <w:lang w:val="fr-CH"/>
        </w:rPr>
        <w:t>des données sur lesquelles</w:t>
      </w:r>
      <w:r w:rsidR="002327F2">
        <w:rPr>
          <w:lang w:val="fr-CH"/>
        </w:rPr>
        <w:t xml:space="preserve"> </w:t>
      </w:r>
      <w:r w:rsidR="0054786D">
        <w:rPr>
          <w:lang w:val="fr-CH"/>
        </w:rPr>
        <w:t>reposent les actuels inventaires SDA</w:t>
      </w:r>
      <w:r>
        <w:rPr>
          <w:lang w:val="fr-CH"/>
        </w:rPr>
        <w:t xml:space="preserve">, </w:t>
      </w:r>
      <w:r w:rsidR="00B80085">
        <w:rPr>
          <w:lang w:val="fr-CH"/>
        </w:rPr>
        <w:t xml:space="preserve">il se pourrait que de </w:t>
      </w:r>
      <w:r>
        <w:rPr>
          <w:lang w:val="fr-CH"/>
        </w:rPr>
        <w:t>nouvelle</w:t>
      </w:r>
      <w:r w:rsidR="00B80085">
        <w:rPr>
          <w:lang w:val="fr-CH"/>
        </w:rPr>
        <w:t>s</w:t>
      </w:r>
      <w:r>
        <w:rPr>
          <w:lang w:val="fr-CH"/>
        </w:rPr>
        <w:t xml:space="preserve"> cartographie</w:t>
      </w:r>
      <w:r w:rsidR="00B80085">
        <w:rPr>
          <w:lang w:val="fr-CH"/>
        </w:rPr>
        <w:t>s</w:t>
      </w:r>
      <w:r>
        <w:rPr>
          <w:lang w:val="fr-CH"/>
        </w:rPr>
        <w:t xml:space="preserve"> des sols </w:t>
      </w:r>
      <w:r w:rsidR="00B80085">
        <w:rPr>
          <w:lang w:val="fr-CH"/>
        </w:rPr>
        <w:t>mettent au jour</w:t>
      </w:r>
      <w:r>
        <w:rPr>
          <w:lang w:val="fr-CH"/>
        </w:rPr>
        <w:t xml:space="preserve"> de nouvelles SDA non encore inventoriées</w:t>
      </w:r>
      <w:r w:rsidR="00A75149" w:rsidRPr="00572D0C">
        <w:rPr>
          <w:lang w:val="fr-CH"/>
        </w:rPr>
        <w:t>.</w:t>
      </w:r>
      <w:r w:rsidR="002327F2">
        <w:rPr>
          <w:lang w:val="fr-CH"/>
        </w:rPr>
        <w:t xml:space="preserve"> Les</w:t>
      </w:r>
      <w:r w:rsidR="004D0265">
        <w:rPr>
          <w:lang w:val="fr-CH"/>
        </w:rPr>
        <w:t xml:space="preserve"> SDA nouvellement relevées et non encore </w:t>
      </w:r>
      <w:r w:rsidR="00B80085">
        <w:rPr>
          <w:lang w:val="fr-CH"/>
        </w:rPr>
        <w:t>inventoriées</w:t>
      </w:r>
      <w:r w:rsidR="004D0265">
        <w:rPr>
          <w:lang w:val="fr-CH"/>
        </w:rPr>
        <w:t xml:space="preserve"> peuvent être utilisées à </w:t>
      </w:r>
      <w:r w:rsidR="00B80085">
        <w:rPr>
          <w:lang w:val="fr-CH"/>
        </w:rPr>
        <w:t>des fins de</w:t>
      </w:r>
      <w:r w:rsidR="004D0265">
        <w:rPr>
          <w:lang w:val="fr-CH"/>
        </w:rPr>
        <w:t xml:space="preserve"> compensation.</w:t>
      </w:r>
      <w:r w:rsidR="002327F2">
        <w:rPr>
          <w:lang w:val="fr-CH"/>
        </w:rPr>
        <w:t xml:space="preserve"> Néanmoins, cette possibilité </w:t>
      </w:r>
      <w:r w:rsidR="00B80085">
        <w:rPr>
          <w:lang w:val="fr-CH"/>
        </w:rPr>
        <w:t xml:space="preserve">n’existe plus quand le travail de </w:t>
      </w:r>
      <w:r w:rsidR="002327F2">
        <w:rPr>
          <w:lang w:val="fr-CH"/>
        </w:rPr>
        <w:t>cartographie</w:t>
      </w:r>
      <w:r w:rsidR="00B80085">
        <w:rPr>
          <w:lang w:val="fr-CH"/>
        </w:rPr>
        <w:t xml:space="preserve"> est largement terminé dans les cantons</w:t>
      </w:r>
      <w:r w:rsidR="002327F2">
        <w:rPr>
          <w:lang w:val="fr-CH"/>
        </w:rPr>
        <w:t xml:space="preserve"> et </w:t>
      </w:r>
      <w:r w:rsidR="00B80085">
        <w:rPr>
          <w:lang w:val="fr-CH"/>
        </w:rPr>
        <w:t xml:space="preserve">que les </w:t>
      </w:r>
      <w:r w:rsidR="002327F2">
        <w:rPr>
          <w:lang w:val="fr-CH"/>
        </w:rPr>
        <w:t>inventaire</w:t>
      </w:r>
      <w:r w:rsidR="00B80085">
        <w:rPr>
          <w:lang w:val="fr-CH"/>
        </w:rPr>
        <w:t>s</w:t>
      </w:r>
      <w:r w:rsidR="002327F2">
        <w:rPr>
          <w:lang w:val="fr-CH"/>
        </w:rPr>
        <w:t xml:space="preserve"> cantona</w:t>
      </w:r>
      <w:r w:rsidR="00B80085">
        <w:rPr>
          <w:lang w:val="fr-CH"/>
        </w:rPr>
        <w:t>ux sont corrigés</w:t>
      </w:r>
      <w:r w:rsidR="002327F2">
        <w:rPr>
          <w:lang w:val="fr-CH"/>
        </w:rPr>
        <w:t>.</w:t>
      </w:r>
      <w:r w:rsidR="00275AE5" w:rsidRPr="00572D0C">
        <w:rPr>
          <w:lang w:val="fr-CH"/>
        </w:rPr>
        <w:t xml:space="preserve"> </w:t>
      </w:r>
    </w:p>
    <w:p w14:paraId="2E3ED36A" w14:textId="72498E89" w:rsidR="00A75149" w:rsidRDefault="004D0265" w:rsidP="00A75149">
      <w:pPr>
        <w:rPr>
          <w:lang w:val="fr-CH"/>
        </w:rPr>
      </w:pPr>
      <w:r>
        <w:rPr>
          <w:lang w:val="fr-CH"/>
        </w:rPr>
        <w:t>Quelques cantons ont déjà introduit dans leur législation une obligation de compensation</w:t>
      </w:r>
      <w:r w:rsidR="147A5F7B" w:rsidRPr="00572D0C">
        <w:rPr>
          <w:lang w:val="fr-CH"/>
        </w:rPr>
        <w:t xml:space="preserve"> </w:t>
      </w:r>
      <w:r w:rsidR="00EC5A3F" w:rsidRPr="00572D0C">
        <w:rPr>
          <w:lang w:val="fr-CH"/>
        </w:rPr>
        <w:t>(</w:t>
      </w:r>
      <w:r>
        <w:rPr>
          <w:lang w:val="fr-CH"/>
        </w:rPr>
        <w:t>état en octobre</w:t>
      </w:r>
      <w:r w:rsidR="00EC5A3F" w:rsidRPr="00572D0C">
        <w:rPr>
          <w:lang w:val="fr-CH"/>
        </w:rPr>
        <w:t xml:space="preserve"> 2018)</w:t>
      </w:r>
      <w:r w:rsidR="147A5F7B" w:rsidRPr="00572D0C">
        <w:rPr>
          <w:lang w:val="fr-CH"/>
        </w:rPr>
        <w:t>.</w:t>
      </w:r>
      <w:r>
        <w:rPr>
          <w:lang w:val="fr-CH"/>
        </w:rPr>
        <w:t xml:space="preserve"> Le tableau ci-après donne un aperçu </w:t>
      </w:r>
      <w:r w:rsidR="00B80085">
        <w:rPr>
          <w:lang w:val="fr-CH"/>
        </w:rPr>
        <w:t>des règles en vigueur</w:t>
      </w:r>
      <w:r>
        <w:rPr>
          <w:lang w:val="fr-CH"/>
        </w:rPr>
        <w:t xml:space="preserve"> dans chaque canton.</w:t>
      </w:r>
    </w:p>
    <w:p w14:paraId="76DC39A7" w14:textId="349C3CF6" w:rsidR="005D5F10" w:rsidRPr="00572D0C" w:rsidRDefault="002327F2" w:rsidP="00A75149">
      <w:pPr>
        <w:rPr>
          <w:lang w:val="fr-CH"/>
        </w:rPr>
      </w:pPr>
      <w:r>
        <w:rPr>
          <w:lang w:val="fr-CH"/>
        </w:rPr>
        <w:t>Tableau 3 : Réglementation de la compensation dans les cantons</w:t>
      </w:r>
    </w:p>
    <w:tbl>
      <w:tblPr>
        <w:tblStyle w:val="Tabellenraster"/>
        <w:tblpPr w:leftFromText="141" w:rightFromText="141" w:vertAnchor="text" w:tblpXSpec="center" w:tblpY="1"/>
        <w:tblOverlap w:val="never"/>
        <w:tblW w:w="0" w:type="auto"/>
        <w:jc w:val="center"/>
        <w:tblLook w:val="04A0" w:firstRow="1" w:lastRow="0" w:firstColumn="1" w:lastColumn="0" w:noHBand="0" w:noVBand="1"/>
      </w:tblPr>
      <w:tblGrid>
        <w:gridCol w:w="846"/>
        <w:gridCol w:w="2273"/>
        <w:gridCol w:w="1701"/>
        <w:gridCol w:w="4678"/>
      </w:tblGrid>
      <w:tr w:rsidR="00A75149" w:rsidRPr="00572D0C" w14:paraId="7455F44F" w14:textId="77777777" w:rsidTr="00591374">
        <w:trPr>
          <w:jc w:val="center"/>
        </w:trPr>
        <w:tc>
          <w:tcPr>
            <w:tcW w:w="846" w:type="dxa"/>
            <w:shd w:val="clear" w:color="auto" w:fill="A6A6A6" w:themeFill="background1" w:themeFillShade="A6"/>
          </w:tcPr>
          <w:p w14:paraId="3B4163F2" w14:textId="7321B2F0" w:rsidR="00A75149" w:rsidRPr="00572D0C" w:rsidRDefault="004D0265" w:rsidP="000955B3">
            <w:pPr>
              <w:spacing w:before="40" w:after="40"/>
              <w:rPr>
                <w:sz w:val="19"/>
                <w:szCs w:val="19"/>
                <w:lang w:val="fr-CH"/>
              </w:rPr>
            </w:pPr>
            <w:r>
              <w:rPr>
                <w:sz w:val="19"/>
                <w:szCs w:val="19"/>
                <w:lang w:val="fr-CH"/>
              </w:rPr>
              <w:t>C</w:t>
            </w:r>
            <w:r w:rsidR="147A5F7B" w:rsidRPr="00572D0C">
              <w:rPr>
                <w:sz w:val="19"/>
                <w:szCs w:val="19"/>
                <w:lang w:val="fr-CH"/>
              </w:rPr>
              <w:t>anton</w:t>
            </w:r>
          </w:p>
        </w:tc>
        <w:tc>
          <w:tcPr>
            <w:tcW w:w="2273" w:type="dxa"/>
            <w:shd w:val="clear" w:color="auto" w:fill="A6A6A6" w:themeFill="background1" w:themeFillShade="A6"/>
          </w:tcPr>
          <w:p w14:paraId="56A41DF8" w14:textId="2DC014BA" w:rsidR="00A75149" w:rsidRPr="00572D0C" w:rsidRDefault="004D0265" w:rsidP="000955B3">
            <w:pPr>
              <w:spacing w:before="40" w:after="40"/>
              <w:jc w:val="both"/>
              <w:rPr>
                <w:sz w:val="19"/>
                <w:szCs w:val="19"/>
                <w:lang w:val="fr-CH"/>
              </w:rPr>
            </w:pPr>
            <w:r>
              <w:rPr>
                <w:sz w:val="19"/>
                <w:szCs w:val="19"/>
                <w:lang w:val="fr-CH"/>
              </w:rPr>
              <w:t xml:space="preserve">Obligation de compensation réglée </w:t>
            </w:r>
            <w:r w:rsidR="147A5F7B" w:rsidRPr="00572D0C">
              <w:rPr>
                <w:sz w:val="19"/>
                <w:szCs w:val="19"/>
                <w:lang w:val="fr-CH"/>
              </w:rPr>
              <w:t>?</w:t>
            </w:r>
          </w:p>
        </w:tc>
        <w:tc>
          <w:tcPr>
            <w:tcW w:w="1701" w:type="dxa"/>
            <w:shd w:val="clear" w:color="auto" w:fill="A6A6A6" w:themeFill="background1" w:themeFillShade="A6"/>
          </w:tcPr>
          <w:p w14:paraId="711E91E0" w14:textId="2CF42870" w:rsidR="00A75149" w:rsidRPr="00572D0C" w:rsidRDefault="004D0265" w:rsidP="000955B3">
            <w:pPr>
              <w:spacing w:before="40" w:after="40"/>
              <w:rPr>
                <w:sz w:val="19"/>
                <w:szCs w:val="19"/>
                <w:lang w:val="fr-CH"/>
              </w:rPr>
            </w:pPr>
            <w:r>
              <w:rPr>
                <w:sz w:val="19"/>
                <w:szCs w:val="19"/>
                <w:lang w:val="fr-CH"/>
              </w:rPr>
              <w:t xml:space="preserve">Où </w:t>
            </w:r>
            <w:r w:rsidR="147A5F7B" w:rsidRPr="00572D0C">
              <w:rPr>
                <w:sz w:val="19"/>
                <w:szCs w:val="19"/>
                <w:lang w:val="fr-CH"/>
              </w:rPr>
              <w:t xml:space="preserve">? </w:t>
            </w:r>
            <w:r w:rsidR="00A75149" w:rsidRPr="00572D0C">
              <w:rPr>
                <w:sz w:val="19"/>
                <w:szCs w:val="19"/>
                <w:lang w:val="fr-CH"/>
              </w:rPr>
              <w:br/>
            </w:r>
            <w:r>
              <w:rPr>
                <w:sz w:val="19"/>
                <w:szCs w:val="19"/>
                <w:lang w:val="fr-CH"/>
              </w:rPr>
              <w:t xml:space="preserve">Depuis quand </w:t>
            </w:r>
            <w:r w:rsidR="147A5F7B" w:rsidRPr="00572D0C">
              <w:rPr>
                <w:sz w:val="19"/>
                <w:szCs w:val="19"/>
                <w:lang w:val="fr-CH"/>
              </w:rPr>
              <w:t>?</w:t>
            </w:r>
          </w:p>
        </w:tc>
        <w:tc>
          <w:tcPr>
            <w:tcW w:w="4678" w:type="dxa"/>
            <w:shd w:val="clear" w:color="auto" w:fill="A6A6A6" w:themeFill="background1" w:themeFillShade="A6"/>
          </w:tcPr>
          <w:p w14:paraId="3CCF35F6" w14:textId="19162040" w:rsidR="00A75149" w:rsidRPr="00572D0C" w:rsidRDefault="004D0265" w:rsidP="000955B3">
            <w:pPr>
              <w:spacing w:before="40" w:after="40"/>
              <w:rPr>
                <w:sz w:val="19"/>
                <w:szCs w:val="19"/>
                <w:lang w:val="fr-CH"/>
              </w:rPr>
            </w:pPr>
            <w:r>
              <w:rPr>
                <w:sz w:val="19"/>
                <w:szCs w:val="19"/>
                <w:lang w:val="fr-CH"/>
              </w:rPr>
              <w:t xml:space="preserve">Comment </w:t>
            </w:r>
            <w:r w:rsidR="147A5F7B" w:rsidRPr="00572D0C">
              <w:rPr>
                <w:sz w:val="19"/>
                <w:szCs w:val="19"/>
                <w:lang w:val="fr-CH"/>
              </w:rPr>
              <w:t>?</w:t>
            </w:r>
          </w:p>
        </w:tc>
      </w:tr>
      <w:tr w:rsidR="00A75149" w:rsidRPr="003F1EDB" w14:paraId="2E187316" w14:textId="77777777" w:rsidTr="00591374">
        <w:trPr>
          <w:jc w:val="center"/>
        </w:trPr>
        <w:tc>
          <w:tcPr>
            <w:tcW w:w="846" w:type="dxa"/>
            <w:shd w:val="clear" w:color="auto" w:fill="C5E0B3" w:themeFill="accent6" w:themeFillTint="66"/>
          </w:tcPr>
          <w:p w14:paraId="208A61A7" w14:textId="5BE677A8" w:rsidR="00A75149" w:rsidRPr="00572D0C" w:rsidRDefault="147A5F7B" w:rsidP="000955B3">
            <w:pPr>
              <w:spacing w:before="40" w:after="40"/>
              <w:rPr>
                <w:sz w:val="19"/>
                <w:szCs w:val="19"/>
                <w:lang w:val="fr-CH"/>
              </w:rPr>
            </w:pPr>
            <w:r w:rsidRPr="00572D0C">
              <w:rPr>
                <w:sz w:val="19"/>
                <w:szCs w:val="19"/>
                <w:lang w:val="fr-CH"/>
              </w:rPr>
              <w:t>ZH</w:t>
            </w:r>
          </w:p>
        </w:tc>
        <w:tc>
          <w:tcPr>
            <w:tcW w:w="2273" w:type="dxa"/>
            <w:shd w:val="clear" w:color="auto" w:fill="C5E0B3" w:themeFill="accent6" w:themeFillTint="66"/>
          </w:tcPr>
          <w:p w14:paraId="77D10D52" w14:textId="4BA574B0" w:rsidR="00A75149" w:rsidRPr="00572D0C" w:rsidRDefault="004D0265" w:rsidP="000955B3">
            <w:pPr>
              <w:spacing w:before="40" w:after="40"/>
              <w:jc w:val="both"/>
              <w:rPr>
                <w:sz w:val="19"/>
                <w:szCs w:val="19"/>
                <w:lang w:val="fr-CH"/>
              </w:rPr>
            </w:pPr>
            <w:r>
              <w:rPr>
                <w:sz w:val="19"/>
                <w:szCs w:val="19"/>
                <w:lang w:val="fr-CH"/>
              </w:rPr>
              <w:t>Oui</w:t>
            </w:r>
          </w:p>
        </w:tc>
        <w:tc>
          <w:tcPr>
            <w:tcW w:w="1701" w:type="dxa"/>
            <w:shd w:val="clear" w:color="auto" w:fill="C5E0B3" w:themeFill="accent6" w:themeFillTint="66"/>
          </w:tcPr>
          <w:p w14:paraId="29F8F1D6" w14:textId="1143AFE1" w:rsidR="00A75149" w:rsidRPr="00572D0C" w:rsidRDefault="004D0265" w:rsidP="000955B3">
            <w:pPr>
              <w:spacing w:before="40" w:after="40"/>
              <w:rPr>
                <w:sz w:val="19"/>
                <w:szCs w:val="19"/>
                <w:lang w:val="fr-CH"/>
              </w:rPr>
            </w:pPr>
            <w:r>
              <w:rPr>
                <w:sz w:val="19"/>
                <w:szCs w:val="19"/>
                <w:lang w:val="fr-CH"/>
              </w:rPr>
              <w:t>Plan directeur cantonal</w:t>
            </w:r>
            <w:r w:rsidR="147A5F7B" w:rsidRPr="00572D0C">
              <w:rPr>
                <w:sz w:val="19"/>
                <w:szCs w:val="19"/>
                <w:lang w:val="fr-CH"/>
              </w:rPr>
              <w:t xml:space="preserve"> 2011</w:t>
            </w:r>
          </w:p>
        </w:tc>
        <w:tc>
          <w:tcPr>
            <w:tcW w:w="4678" w:type="dxa"/>
            <w:shd w:val="clear" w:color="auto" w:fill="C5E0B3" w:themeFill="accent6" w:themeFillTint="66"/>
          </w:tcPr>
          <w:p w14:paraId="4E6259B6" w14:textId="3D8B45AE" w:rsidR="00A75149" w:rsidRPr="00572D0C" w:rsidRDefault="00C321C7" w:rsidP="000955B3">
            <w:pPr>
              <w:spacing w:before="40" w:after="40"/>
              <w:rPr>
                <w:sz w:val="19"/>
                <w:szCs w:val="19"/>
                <w:lang w:val="fr-CH"/>
              </w:rPr>
            </w:pPr>
            <w:r>
              <w:rPr>
                <w:sz w:val="19"/>
                <w:szCs w:val="19"/>
                <w:lang w:val="fr-CH"/>
              </w:rPr>
              <w:t xml:space="preserve">Lors de classements en zone à bâtir </w:t>
            </w:r>
            <w:r w:rsidR="003E7676">
              <w:rPr>
                <w:sz w:val="19"/>
                <w:szCs w:val="19"/>
                <w:lang w:val="fr-CH"/>
              </w:rPr>
              <w:t xml:space="preserve">ou pour des particuliers à partir d’une utilisation de </w:t>
            </w:r>
            <w:r w:rsidR="147A5F7B" w:rsidRPr="00572D0C">
              <w:rPr>
                <w:sz w:val="19"/>
                <w:szCs w:val="19"/>
                <w:lang w:val="fr-CH"/>
              </w:rPr>
              <w:t>5000 m</w:t>
            </w:r>
            <w:r w:rsidR="147A5F7B" w:rsidRPr="00572D0C">
              <w:rPr>
                <w:sz w:val="19"/>
                <w:szCs w:val="19"/>
                <w:vertAlign w:val="superscript"/>
                <w:lang w:val="fr-CH"/>
              </w:rPr>
              <w:t xml:space="preserve">2 </w:t>
            </w:r>
            <w:r w:rsidR="003E7676">
              <w:rPr>
                <w:sz w:val="19"/>
                <w:szCs w:val="19"/>
                <w:lang w:val="fr-CH"/>
              </w:rPr>
              <w:t>de</w:t>
            </w:r>
            <w:r w:rsidR="147A5F7B" w:rsidRPr="00572D0C">
              <w:rPr>
                <w:sz w:val="19"/>
                <w:szCs w:val="19"/>
                <w:lang w:val="fr-CH"/>
              </w:rPr>
              <w:t xml:space="preserve"> </w:t>
            </w:r>
            <w:r w:rsidR="003E7676">
              <w:rPr>
                <w:sz w:val="19"/>
                <w:szCs w:val="19"/>
                <w:lang w:val="fr-CH"/>
              </w:rPr>
              <w:t>SDA</w:t>
            </w:r>
            <w:r w:rsidR="147A5F7B" w:rsidRPr="00572D0C">
              <w:rPr>
                <w:sz w:val="19"/>
                <w:szCs w:val="19"/>
                <w:lang w:val="fr-CH"/>
              </w:rPr>
              <w:t xml:space="preserve">. </w:t>
            </w:r>
            <w:r w:rsidR="003E7676">
              <w:rPr>
                <w:sz w:val="19"/>
                <w:szCs w:val="19"/>
                <w:lang w:val="fr-CH"/>
              </w:rPr>
              <w:t>Une planification de co</w:t>
            </w:r>
            <w:r w:rsidR="147A5F7B" w:rsidRPr="00572D0C">
              <w:rPr>
                <w:sz w:val="19"/>
                <w:szCs w:val="19"/>
                <w:lang w:val="fr-CH"/>
              </w:rPr>
              <w:t xml:space="preserve">mpensation </w:t>
            </w:r>
            <w:r w:rsidR="003E7676">
              <w:rPr>
                <w:sz w:val="19"/>
                <w:szCs w:val="19"/>
                <w:lang w:val="fr-CH"/>
              </w:rPr>
              <w:t>par un déclassement est également possible.</w:t>
            </w:r>
          </w:p>
        </w:tc>
      </w:tr>
      <w:tr w:rsidR="00A75149" w:rsidRPr="00572D0C" w14:paraId="216D9F2A" w14:textId="77777777" w:rsidTr="00591374">
        <w:trPr>
          <w:jc w:val="center"/>
        </w:trPr>
        <w:tc>
          <w:tcPr>
            <w:tcW w:w="846" w:type="dxa"/>
            <w:shd w:val="clear" w:color="auto" w:fill="C5E0B3" w:themeFill="accent6" w:themeFillTint="66"/>
          </w:tcPr>
          <w:p w14:paraId="7B03CFE8" w14:textId="5BE677A8" w:rsidR="00A75149" w:rsidRPr="00572D0C" w:rsidRDefault="147A5F7B" w:rsidP="000955B3">
            <w:pPr>
              <w:spacing w:before="40" w:after="40"/>
              <w:rPr>
                <w:sz w:val="19"/>
                <w:szCs w:val="19"/>
                <w:lang w:val="fr-CH"/>
              </w:rPr>
            </w:pPr>
            <w:r w:rsidRPr="00572D0C">
              <w:rPr>
                <w:sz w:val="19"/>
                <w:szCs w:val="19"/>
                <w:lang w:val="fr-CH"/>
              </w:rPr>
              <w:t>BE</w:t>
            </w:r>
          </w:p>
        </w:tc>
        <w:tc>
          <w:tcPr>
            <w:tcW w:w="2273" w:type="dxa"/>
            <w:shd w:val="clear" w:color="auto" w:fill="C5E0B3" w:themeFill="accent6" w:themeFillTint="66"/>
          </w:tcPr>
          <w:p w14:paraId="5C4BEAF8" w14:textId="63A89EBD" w:rsidR="00A75149" w:rsidRPr="00572D0C" w:rsidRDefault="004D0265" w:rsidP="000955B3">
            <w:pPr>
              <w:spacing w:before="40" w:after="40"/>
              <w:jc w:val="both"/>
              <w:rPr>
                <w:sz w:val="19"/>
                <w:szCs w:val="19"/>
                <w:lang w:val="fr-CH"/>
              </w:rPr>
            </w:pPr>
            <w:r>
              <w:rPr>
                <w:sz w:val="19"/>
                <w:szCs w:val="19"/>
                <w:lang w:val="fr-CH"/>
              </w:rPr>
              <w:t>Oui</w:t>
            </w:r>
          </w:p>
        </w:tc>
        <w:tc>
          <w:tcPr>
            <w:tcW w:w="1701" w:type="dxa"/>
            <w:shd w:val="clear" w:color="auto" w:fill="C5E0B3" w:themeFill="accent6" w:themeFillTint="66"/>
          </w:tcPr>
          <w:p w14:paraId="67821750" w14:textId="72967762" w:rsidR="00A75149" w:rsidRPr="00572D0C" w:rsidRDefault="004D0265" w:rsidP="008D3375">
            <w:pPr>
              <w:spacing w:before="40" w:after="40"/>
              <w:rPr>
                <w:sz w:val="19"/>
                <w:szCs w:val="19"/>
                <w:lang w:val="fr-CH"/>
              </w:rPr>
            </w:pPr>
            <w:r>
              <w:rPr>
                <w:sz w:val="19"/>
                <w:szCs w:val="19"/>
                <w:lang w:val="fr-CH"/>
              </w:rPr>
              <w:t>Loi sur les constructions a</w:t>
            </w:r>
            <w:r w:rsidR="147A5F7B" w:rsidRPr="00572D0C">
              <w:rPr>
                <w:sz w:val="19"/>
                <w:szCs w:val="19"/>
                <w:lang w:val="fr-CH"/>
              </w:rPr>
              <w:t>rt</w:t>
            </w:r>
            <w:r w:rsidR="002327F2">
              <w:rPr>
                <w:sz w:val="19"/>
                <w:szCs w:val="19"/>
                <w:lang w:val="fr-CH"/>
              </w:rPr>
              <w:t>icle</w:t>
            </w:r>
            <w:r w:rsidR="147A5F7B" w:rsidRPr="00572D0C">
              <w:rPr>
                <w:sz w:val="19"/>
                <w:szCs w:val="19"/>
                <w:lang w:val="fr-CH"/>
              </w:rPr>
              <w:t xml:space="preserve"> 8b </w:t>
            </w:r>
            <w:r>
              <w:rPr>
                <w:sz w:val="19"/>
                <w:szCs w:val="19"/>
                <w:lang w:val="fr-CH"/>
              </w:rPr>
              <w:t>al</w:t>
            </w:r>
            <w:r w:rsidR="002327F2">
              <w:rPr>
                <w:sz w:val="19"/>
                <w:szCs w:val="19"/>
                <w:lang w:val="fr-CH"/>
              </w:rPr>
              <w:t>inéa</w:t>
            </w:r>
            <w:r w:rsidR="147A5F7B" w:rsidRPr="00572D0C">
              <w:rPr>
                <w:sz w:val="19"/>
                <w:szCs w:val="19"/>
                <w:lang w:val="fr-CH"/>
              </w:rPr>
              <w:t xml:space="preserve"> 4</w:t>
            </w:r>
          </w:p>
        </w:tc>
        <w:tc>
          <w:tcPr>
            <w:tcW w:w="4678" w:type="dxa"/>
            <w:shd w:val="clear" w:color="auto" w:fill="C5E0B3" w:themeFill="accent6" w:themeFillTint="66"/>
          </w:tcPr>
          <w:p w14:paraId="04C5557F" w14:textId="55BB4FF7" w:rsidR="00A75149" w:rsidRPr="00572D0C" w:rsidRDefault="003E7676" w:rsidP="000955B3">
            <w:pPr>
              <w:spacing w:before="40" w:after="40"/>
              <w:rPr>
                <w:sz w:val="19"/>
                <w:szCs w:val="19"/>
                <w:lang w:val="fr-CH"/>
              </w:rPr>
            </w:pPr>
            <w:r>
              <w:rPr>
                <w:sz w:val="19"/>
                <w:szCs w:val="19"/>
                <w:lang w:val="fr-CH"/>
              </w:rPr>
              <w:t xml:space="preserve">Compensation obligatoire </w:t>
            </w:r>
            <w:r w:rsidR="002817C9">
              <w:rPr>
                <w:sz w:val="19"/>
                <w:szCs w:val="19"/>
                <w:lang w:val="fr-CH"/>
              </w:rPr>
              <w:t>l</w:t>
            </w:r>
            <w:r>
              <w:rPr>
                <w:sz w:val="19"/>
                <w:szCs w:val="19"/>
                <w:lang w:val="fr-CH"/>
              </w:rPr>
              <w:t xml:space="preserve">ors de classements en zone à bâtir ou d’utilisations qui modifient le sol </w:t>
            </w:r>
            <w:r w:rsidR="002817C9">
              <w:rPr>
                <w:sz w:val="19"/>
                <w:szCs w:val="19"/>
                <w:lang w:val="fr-CH"/>
              </w:rPr>
              <w:t>dès</w:t>
            </w:r>
            <w:r w:rsidR="147A5F7B" w:rsidRPr="00572D0C">
              <w:rPr>
                <w:sz w:val="19"/>
                <w:szCs w:val="19"/>
                <w:lang w:val="fr-CH"/>
              </w:rPr>
              <w:t xml:space="preserve"> 300 m</w:t>
            </w:r>
            <w:r w:rsidR="147A5F7B" w:rsidRPr="00572D0C">
              <w:rPr>
                <w:sz w:val="19"/>
                <w:szCs w:val="19"/>
                <w:vertAlign w:val="superscript"/>
                <w:lang w:val="fr-CH"/>
              </w:rPr>
              <w:t>2</w:t>
            </w:r>
            <w:r w:rsidR="002817C9">
              <w:rPr>
                <w:sz w:val="19"/>
                <w:szCs w:val="19"/>
                <w:vertAlign w:val="superscript"/>
                <w:lang w:val="fr-CH"/>
              </w:rPr>
              <w:t xml:space="preserve"> </w:t>
            </w:r>
            <w:r w:rsidR="002817C9">
              <w:rPr>
                <w:sz w:val="19"/>
                <w:szCs w:val="19"/>
                <w:lang w:val="fr-CH"/>
              </w:rPr>
              <w:t>d’utilis</w:t>
            </w:r>
            <w:r w:rsidR="147A5F7B" w:rsidRPr="00572D0C">
              <w:rPr>
                <w:sz w:val="19"/>
                <w:szCs w:val="19"/>
                <w:lang w:val="fr-CH"/>
              </w:rPr>
              <w:t xml:space="preserve">ation </w:t>
            </w:r>
            <w:r w:rsidR="002817C9">
              <w:rPr>
                <w:sz w:val="19"/>
                <w:szCs w:val="19"/>
                <w:lang w:val="fr-CH"/>
              </w:rPr>
              <w:t>de SDA. Compensation par déclassement ou revalorisation</w:t>
            </w:r>
            <w:r w:rsidR="147A5F7B" w:rsidRPr="00572D0C">
              <w:rPr>
                <w:sz w:val="19"/>
                <w:szCs w:val="19"/>
                <w:lang w:val="fr-CH"/>
              </w:rPr>
              <w:t>.</w:t>
            </w:r>
          </w:p>
        </w:tc>
      </w:tr>
      <w:tr w:rsidR="00A75149" w:rsidRPr="003F1EDB" w14:paraId="3C24212C" w14:textId="77777777" w:rsidTr="00591374">
        <w:trPr>
          <w:jc w:val="center"/>
        </w:trPr>
        <w:tc>
          <w:tcPr>
            <w:tcW w:w="846" w:type="dxa"/>
            <w:shd w:val="clear" w:color="auto" w:fill="C5E0B3" w:themeFill="accent6" w:themeFillTint="66"/>
          </w:tcPr>
          <w:p w14:paraId="057FC050" w14:textId="5BE677A8" w:rsidR="00A75149" w:rsidRPr="00572D0C" w:rsidRDefault="147A5F7B" w:rsidP="000955B3">
            <w:pPr>
              <w:spacing w:before="40" w:after="40"/>
              <w:rPr>
                <w:sz w:val="19"/>
                <w:szCs w:val="19"/>
                <w:lang w:val="fr-CH"/>
              </w:rPr>
            </w:pPr>
            <w:r w:rsidRPr="00572D0C">
              <w:rPr>
                <w:sz w:val="19"/>
                <w:szCs w:val="19"/>
                <w:lang w:val="fr-CH"/>
              </w:rPr>
              <w:t>LU</w:t>
            </w:r>
          </w:p>
        </w:tc>
        <w:tc>
          <w:tcPr>
            <w:tcW w:w="2273" w:type="dxa"/>
            <w:shd w:val="clear" w:color="auto" w:fill="C5E0B3" w:themeFill="accent6" w:themeFillTint="66"/>
          </w:tcPr>
          <w:p w14:paraId="11017D6E" w14:textId="34A3FECB" w:rsidR="00A75149" w:rsidRPr="00572D0C" w:rsidRDefault="004D0265" w:rsidP="000955B3">
            <w:pPr>
              <w:spacing w:before="40" w:after="40"/>
              <w:jc w:val="both"/>
              <w:rPr>
                <w:sz w:val="19"/>
                <w:szCs w:val="19"/>
                <w:lang w:val="fr-CH"/>
              </w:rPr>
            </w:pPr>
            <w:r>
              <w:rPr>
                <w:sz w:val="19"/>
                <w:szCs w:val="19"/>
                <w:lang w:val="fr-CH"/>
              </w:rPr>
              <w:t>Oui</w:t>
            </w:r>
          </w:p>
        </w:tc>
        <w:tc>
          <w:tcPr>
            <w:tcW w:w="1701" w:type="dxa"/>
            <w:shd w:val="clear" w:color="auto" w:fill="C5E0B3" w:themeFill="accent6" w:themeFillTint="66"/>
          </w:tcPr>
          <w:p w14:paraId="01359991" w14:textId="312991FE" w:rsidR="00A75149" w:rsidRPr="00572D0C" w:rsidRDefault="004D0265" w:rsidP="000955B3">
            <w:pPr>
              <w:spacing w:before="40" w:after="40"/>
              <w:rPr>
                <w:sz w:val="19"/>
                <w:szCs w:val="19"/>
                <w:lang w:val="fr-CH"/>
              </w:rPr>
            </w:pPr>
            <w:r>
              <w:rPr>
                <w:sz w:val="19"/>
                <w:szCs w:val="19"/>
                <w:lang w:val="fr-CH"/>
              </w:rPr>
              <w:t>Ordonnance sur l’aménagement et les constructions</w:t>
            </w:r>
            <w:r w:rsidR="147A5F7B" w:rsidRPr="00572D0C">
              <w:rPr>
                <w:sz w:val="19"/>
                <w:szCs w:val="19"/>
                <w:lang w:val="fr-CH"/>
              </w:rPr>
              <w:t xml:space="preserve"> § 3</w:t>
            </w:r>
          </w:p>
        </w:tc>
        <w:tc>
          <w:tcPr>
            <w:tcW w:w="4678" w:type="dxa"/>
            <w:shd w:val="clear" w:color="auto" w:fill="C5E0B3" w:themeFill="accent6" w:themeFillTint="66"/>
          </w:tcPr>
          <w:p w14:paraId="0050F06C" w14:textId="02403EA9" w:rsidR="00A75149" w:rsidRPr="00572D0C" w:rsidRDefault="002817C9" w:rsidP="000955B3">
            <w:pPr>
              <w:spacing w:before="40" w:after="40"/>
              <w:rPr>
                <w:sz w:val="19"/>
                <w:szCs w:val="19"/>
                <w:lang w:val="fr-CH"/>
              </w:rPr>
            </w:pPr>
            <w:r>
              <w:rPr>
                <w:sz w:val="19"/>
                <w:szCs w:val="19"/>
                <w:lang w:val="fr-CH"/>
              </w:rPr>
              <w:t>Dès</w:t>
            </w:r>
            <w:r w:rsidR="147A5F7B" w:rsidRPr="00572D0C">
              <w:rPr>
                <w:sz w:val="19"/>
                <w:szCs w:val="19"/>
                <w:lang w:val="fr-CH"/>
              </w:rPr>
              <w:t xml:space="preserve"> 1500m</w:t>
            </w:r>
            <w:r w:rsidR="147A5F7B" w:rsidRPr="00572D0C">
              <w:rPr>
                <w:sz w:val="19"/>
                <w:szCs w:val="19"/>
                <w:vertAlign w:val="superscript"/>
                <w:lang w:val="fr-CH"/>
              </w:rPr>
              <w:t>2</w:t>
            </w:r>
            <w:r w:rsidR="147A5F7B" w:rsidRPr="00572D0C">
              <w:rPr>
                <w:sz w:val="19"/>
                <w:szCs w:val="19"/>
                <w:lang w:val="fr-CH"/>
              </w:rPr>
              <w:t xml:space="preserve"> </w:t>
            </w:r>
            <w:r>
              <w:rPr>
                <w:sz w:val="19"/>
                <w:szCs w:val="19"/>
                <w:lang w:val="fr-CH"/>
              </w:rPr>
              <w:t>pour des projets agricoles ; compensation en nature pour d’autres utilisations</w:t>
            </w:r>
            <w:r w:rsidR="147A5F7B" w:rsidRPr="00572D0C">
              <w:rPr>
                <w:sz w:val="19"/>
                <w:szCs w:val="19"/>
                <w:lang w:val="fr-CH"/>
              </w:rPr>
              <w:t xml:space="preserve"> (</w:t>
            </w:r>
            <w:r>
              <w:rPr>
                <w:sz w:val="19"/>
                <w:szCs w:val="19"/>
                <w:lang w:val="fr-CH"/>
              </w:rPr>
              <w:t>déclassement</w:t>
            </w:r>
            <w:r w:rsidR="147A5F7B" w:rsidRPr="00572D0C">
              <w:rPr>
                <w:sz w:val="19"/>
                <w:szCs w:val="19"/>
                <w:lang w:val="fr-CH"/>
              </w:rPr>
              <w:t xml:space="preserve">, </w:t>
            </w:r>
            <w:r>
              <w:rPr>
                <w:sz w:val="19"/>
                <w:szCs w:val="19"/>
                <w:lang w:val="fr-CH"/>
              </w:rPr>
              <w:t>modification du terrain ou nouvelle cartographie</w:t>
            </w:r>
            <w:r w:rsidR="147A5F7B" w:rsidRPr="00572D0C">
              <w:rPr>
                <w:sz w:val="19"/>
                <w:szCs w:val="19"/>
                <w:lang w:val="fr-CH"/>
              </w:rPr>
              <w:t>)</w:t>
            </w:r>
          </w:p>
        </w:tc>
      </w:tr>
      <w:tr w:rsidR="00A75149" w:rsidRPr="003F1EDB" w14:paraId="4F326523" w14:textId="77777777" w:rsidTr="00591374">
        <w:trPr>
          <w:jc w:val="center"/>
        </w:trPr>
        <w:tc>
          <w:tcPr>
            <w:tcW w:w="846" w:type="dxa"/>
            <w:shd w:val="clear" w:color="auto" w:fill="C5E0B3" w:themeFill="accent6" w:themeFillTint="66"/>
          </w:tcPr>
          <w:p w14:paraId="51197454" w14:textId="09D3CA61" w:rsidR="00A75149" w:rsidRPr="00572D0C" w:rsidRDefault="147A5F7B" w:rsidP="000955B3">
            <w:pPr>
              <w:spacing w:before="40" w:after="40"/>
              <w:rPr>
                <w:sz w:val="19"/>
                <w:szCs w:val="19"/>
                <w:lang w:val="fr-CH"/>
              </w:rPr>
            </w:pPr>
            <w:r w:rsidRPr="00572D0C">
              <w:rPr>
                <w:sz w:val="19"/>
                <w:szCs w:val="19"/>
                <w:lang w:val="fr-CH"/>
              </w:rPr>
              <w:t>UR</w:t>
            </w:r>
          </w:p>
        </w:tc>
        <w:tc>
          <w:tcPr>
            <w:tcW w:w="2273" w:type="dxa"/>
            <w:shd w:val="clear" w:color="auto" w:fill="C5E0B3" w:themeFill="accent6" w:themeFillTint="66"/>
          </w:tcPr>
          <w:p w14:paraId="589098B3" w14:textId="4CB5A9F1" w:rsidR="00A75149" w:rsidRPr="00572D0C" w:rsidRDefault="004D0265" w:rsidP="000955B3">
            <w:pPr>
              <w:spacing w:before="40" w:after="40"/>
              <w:jc w:val="both"/>
              <w:rPr>
                <w:sz w:val="19"/>
                <w:szCs w:val="19"/>
                <w:lang w:val="fr-CH"/>
              </w:rPr>
            </w:pPr>
            <w:r>
              <w:rPr>
                <w:sz w:val="19"/>
                <w:szCs w:val="19"/>
                <w:lang w:val="fr-CH"/>
              </w:rPr>
              <w:t>Oui</w:t>
            </w:r>
          </w:p>
        </w:tc>
        <w:tc>
          <w:tcPr>
            <w:tcW w:w="1701" w:type="dxa"/>
            <w:shd w:val="clear" w:color="auto" w:fill="C5E0B3" w:themeFill="accent6" w:themeFillTint="66"/>
          </w:tcPr>
          <w:p w14:paraId="3E3EF13B" w14:textId="5AB7B1AC" w:rsidR="00A75149" w:rsidRPr="00572D0C" w:rsidRDefault="004D0265" w:rsidP="000955B3">
            <w:pPr>
              <w:spacing w:before="40" w:after="40"/>
              <w:rPr>
                <w:sz w:val="19"/>
                <w:szCs w:val="19"/>
                <w:lang w:val="fr-CH"/>
              </w:rPr>
            </w:pPr>
            <w:r>
              <w:rPr>
                <w:sz w:val="19"/>
                <w:szCs w:val="19"/>
                <w:lang w:val="fr-CH"/>
              </w:rPr>
              <w:t>Plan directeur cantonal</w:t>
            </w:r>
            <w:r w:rsidR="147A5F7B" w:rsidRPr="00572D0C">
              <w:rPr>
                <w:sz w:val="19"/>
                <w:szCs w:val="19"/>
                <w:lang w:val="fr-CH"/>
              </w:rPr>
              <w:t xml:space="preserve"> 2017, </w:t>
            </w:r>
            <w:r>
              <w:rPr>
                <w:sz w:val="19"/>
                <w:szCs w:val="19"/>
                <w:lang w:val="fr-CH"/>
              </w:rPr>
              <w:t>a</w:t>
            </w:r>
            <w:r w:rsidR="002327F2">
              <w:rPr>
                <w:sz w:val="19"/>
                <w:szCs w:val="19"/>
                <w:lang w:val="fr-CH"/>
              </w:rPr>
              <w:t>linéa</w:t>
            </w:r>
            <w:r w:rsidR="147A5F7B" w:rsidRPr="00572D0C">
              <w:rPr>
                <w:sz w:val="19"/>
                <w:szCs w:val="19"/>
                <w:lang w:val="fr-CH"/>
              </w:rPr>
              <w:t xml:space="preserve"> 6.2-2</w:t>
            </w:r>
          </w:p>
        </w:tc>
        <w:tc>
          <w:tcPr>
            <w:tcW w:w="4678" w:type="dxa"/>
            <w:shd w:val="clear" w:color="auto" w:fill="C5E0B3" w:themeFill="accent6" w:themeFillTint="66"/>
          </w:tcPr>
          <w:p w14:paraId="0FB934FC" w14:textId="5286E126" w:rsidR="00A75149" w:rsidRPr="00572D0C" w:rsidRDefault="00212346" w:rsidP="000955B3">
            <w:pPr>
              <w:spacing w:before="40" w:after="40"/>
              <w:rPr>
                <w:sz w:val="19"/>
                <w:szCs w:val="19"/>
                <w:lang w:val="fr-CH"/>
              </w:rPr>
            </w:pPr>
            <w:r>
              <w:rPr>
                <w:rFonts w:cs="Arial"/>
                <w:sz w:val="19"/>
                <w:szCs w:val="19"/>
                <w:lang w:val="fr-CH"/>
              </w:rPr>
              <w:t>À</w:t>
            </w:r>
            <w:r w:rsidR="002817C9">
              <w:rPr>
                <w:sz w:val="19"/>
                <w:szCs w:val="19"/>
                <w:lang w:val="fr-CH"/>
              </w:rPr>
              <w:t xml:space="preserve"> partir d’une utilisation de</w:t>
            </w:r>
            <w:r w:rsidR="147A5F7B" w:rsidRPr="00572D0C">
              <w:rPr>
                <w:sz w:val="19"/>
                <w:szCs w:val="19"/>
                <w:lang w:val="fr-CH"/>
              </w:rPr>
              <w:t xml:space="preserve"> 500 m</w:t>
            </w:r>
            <w:r w:rsidR="147A5F7B" w:rsidRPr="00572D0C">
              <w:rPr>
                <w:sz w:val="19"/>
                <w:szCs w:val="19"/>
                <w:vertAlign w:val="superscript"/>
                <w:lang w:val="fr-CH"/>
              </w:rPr>
              <w:t>2</w:t>
            </w:r>
            <w:r w:rsidR="147A5F7B" w:rsidRPr="00572D0C">
              <w:rPr>
                <w:sz w:val="19"/>
                <w:szCs w:val="19"/>
                <w:lang w:val="fr-CH"/>
              </w:rPr>
              <w:t xml:space="preserve">, </w:t>
            </w:r>
            <w:r w:rsidR="002817C9">
              <w:rPr>
                <w:sz w:val="19"/>
                <w:szCs w:val="19"/>
                <w:lang w:val="fr-CH"/>
              </w:rPr>
              <w:t xml:space="preserve">superficie pour le moins identique pour des constructions hors zone à bâtir ; nouveaux classements en zone à bâtir impossibles sur des SDA. </w:t>
            </w:r>
          </w:p>
        </w:tc>
      </w:tr>
      <w:tr w:rsidR="00A75149" w:rsidRPr="00572D0C" w14:paraId="3BD3E9EE" w14:textId="77777777" w:rsidTr="00591374">
        <w:trPr>
          <w:jc w:val="center"/>
        </w:trPr>
        <w:tc>
          <w:tcPr>
            <w:tcW w:w="846" w:type="dxa"/>
            <w:shd w:val="clear" w:color="auto" w:fill="F7CAAC" w:themeFill="accent2" w:themeFillTint="66"/>
          </w:tcPr>
          <w:p w14:paraId="5B5ED564" w14:textId="09D3CA61" w:rsidR="00A75149" w:rsidRPr="00572D0C" w:rsidRDefault="147A5F7B" w:rsidP="000955B3">
            <w:pPr>
              <w:spacing w:before="40" w:after="40"/>
              <w:rPr>
                <w:sz w:val="19"/>
                <w:szCs w:val="19"/>
                <w:lang w:val="fr-CH"/>
              </w:rPr>
            </w:pPr>
            <w:r w:rsidRPr="00572D0C">
              <w:rPr>
                <w:sz w:val="19"/>
                <w:szCs w:val="19"/>
                <w:lang w:val="fr-CH"/>
              </w:rPr>
              <w:t>SZ</w:t>
            </w:r>
          </w:p>
        </w:tc>
        <w:tc>
          <w:tcPr>
            <w:tcW w:w="2273" w:type="dxa"/>
            <w:shd w:val="clear" w:color="auto" w:fill="F7CAAC" w:themeFill="accent2" w:themeFillTint="66"/>
          </w:tcPr>
          <w:p w14:paraId="602D49D3" w14:textId="054FFB48" w:rsidR="00A75149" w:rsidRPr="00572D0C" w:rsidRDefault="147A5F7B" w:rsidP="000955B3">
            <w:pPr>
              <w:spacing w:before="40" w:after="40"/>
              <w:jc w:val="both"/>
              <w:rPr>
                <w:sz w:val="19"/>
                <w:szCs w:val="19"/>
                <w:lang w:val="fr-CH"/>
              </w:rPr>
            </w:pPr>
            <w:r w:rsidRPr="00572D0C">
              <w:rPr>
                <w:sz w:val="19"/>
                <w:szCs w:val="19"/>
                <w:lang w:val="fr-CH"/>
              </w:rPr>
              <w:t>N</w:t>
            </w:r>
            <w:r w:rsidR="004D0265">
              <w:rPr>
                <w:sz w:val="19"/>
                <w:szCs w:val="19"/>
                <w:lang w:val="fr-CH"/>
              </w:rPr>
              <w:t>o</w:t>
            </w:r>
            <w:r w:rsidRPr="00572D0C">
              <w:rPr>
                <w:sz w:val="19"/>
                <w:szCs w:val="19"/>
                <w:lang w:val="fr-CH"/>
              </w:rPr>
              <w:t xml:space="preserve">n, </w:t>
            </w:r>
            <w:r w:rsidR="004D0265">
              <w:rPr>
                <w:sz w:val="19"/>
                <w:szCs w:val="19"/>
                <w:lang w:val="fr-CH"/>
              </w:rPr>
              <w:t>pas d’obligation</w:t>
            </w:r>
          </w:p>
        </w:tc>
        <w:tc>
          <w:tcPr>
            <w:tcW w:w="1701" w:type="dxa"/>
            <w:shd w:val="clear" w:color="auto" w:fill="F7CAAC" w:themeFill="accent2" w:themeFillTint="66"/>
          </w:tcPr>
          <w:p w14:paraId="4475FE17" w14:textId="4A0843F9" w:rsidR="00A75149" w:rsidRPr="00572D0C" w:rsidRDefault="00A75149" w:rsidP="000955B3">
            <w:pPr>
              <w:spacing w:before="40" w:after="40"/>
              <w:rPr>
                <w:sz w:val="19"/>
                <w:szCs w:val="19"/>
                <w:lang w:val="fr-CH"/>
              </w:rPr>
            </w:pPr>
          </w:p>
        </w:tc>
        <w:tc>
          <w:tcPr>
            <w:tcW w:w="4678" w:type="dxa"/>
            <w:shd w:val="clear" w:color="auto" w:fill="F7CAAC" w:themeFill="accent2" w:themeFillTint="66"/>
          </w:tcPr>
          <w:p w14:paraId="7DA19B68" w14:textId="13ABC6E7" w:rsidR="00A75149" w:rsidRPr="00572D0C" w:rsidRDefault="00A75149" w:rsidP="000955B3">
            <w:pPr>
              <w:spacing w:before="40" w:after="40"/>
              <w:rPr>
                <w:sz w:val="19"/>
                <w:szCs w:val="19"/>
                <w:lang w:val="fr-CH"/>
              </w:rPr>
            </w:pPr>
          </w:p>
        </w:tc>
      </w:tr>
      <w:tr w:rsidR="00A75149" w:rsidRPr="00572D0C" w14:paraId="2CF8F95E" w14:textId="77777777" w:rsidTr="00591374">
        <w:trPr>
          <w:jc w:val="center"/>
        </w:trPr>
        <w:tc>
          <w:tcPr>
            <w:tcW w:w="846" w:type="dxa"/>
            <w:shd w:val="clear" w:color="auto" w:fill="F7CAAC" w:themeFill="accent2" w:themeFillTint="66"/>
          </w:tcPr>
          <w:p w14:paraId="4BC220C2" w14:textId="09D3CA61" w:rsidR="00A75149" w:rsidRPr="00572D0C" w:rsidRDefault="147A5F7B" w:rsidP="000955B3">
            <w:pPr>
              <w:spacing w:before="40" w:after="40"/>
              <w:rPr>
                <w:sz w:val="19"/>
                <w:szCs w:val="19"/>
                <w:lang w:val="fr-CH"/>
              </w:rPr>
            </w:pPr>
            <w:r w:rsidRPr="00572D0C">
              <w:rPr>
                <w:sz w:val="19"/>
                <w:szCs w:val="19"/>
                <w:lang w:val="fr-CH"/>
              </w:rPr>
              <w:t>OW</w:t>
            </w:r>
          </w:p>
        </w:tc>
        <w:tc>
          <w:tcPr>
            <w:tcW w:w="2273" w:type="dxa"/>
            <w:shd w:val="clear" w:color="auto" w:fill="F7CAAC" w:themeFill="accent2" w:themeFillTint="66"/>
          </w:tcPr>
          <w:p w14:paraId="716F8F63" w14:textId="4F66B50E" w:rsidR="00A75149" w:rsidRPr="00572D0C" w:rsidRDefault="147A5F7B" w:rsidP="000955B3">
            <w:pPr>
              <w:spacing w:before="40" w:after="40"/>
              <w:jc w:val="both"/>
              <w:rPr>
                <w:sz w:val="19"/>
                <w:szCs w:val="19"/>
                <w:lang w:val="fr-CH"/>
              </w:rPr>
            </w:pPr>
            <w:r w:rsidRPr="00572D0C">
              <w:rPr>
                <w:sz w:val="19"/>
                <w:szCs w:val="19"/>
                <w:lang w:val="fr-CH"/>
              </w:rPr>
              <w:t>N</w:t>
            </w:r>
            <w:r w:rsidR="004D0265">
              <w:rPr>
                <w:sz w:val="19"/>
                <w:szCs w:val="19"/>
                <w:lang w:val="fr-CH"/>
              </w:rPr>
              <w:t>on, pas d’obligation</w:t>
            </w:r>
          </w:p>
        </w:tc>
        <w:tc>
          <w:tcPr>
            <w:tcW w:w="1701" w:type="dxa"/>
            <w:shd w:val="clear" w:color="auto" w:fill="F7CAAC" w:themeFill="accent2" w:themeFillTint="66"/>
          </w:tcPr>
          <w:p w14:paraId="5FDCABCB" w14:textId="3A248857" w:rsidR="00A75149" w:rsidRPr="00572D0C" w:rsidRDefault="00A75149" w:rsidP="000955B3">
            <w:pPr>
              <w:spacing w:before="40" w:after="40"/>
              <w:rPr>
                <w:sz w:val="19"/>
                <w:szCs w:val="19"/>
                <w:lang w:val="fr-CH"/>
              </w:rPr>
            </w:pPr>
          </w:p>
        </w:tc>
        <w:tc>
          <w:tcPr>
            <w:tcW w:w="4678" w:type="dxa"/>
            <w:shd w:val="clear" w:color="auto" w:fill="F7CAAC" w:themeFill="accent2" w:themeFillTint="66"/>
          </w:tcPr>
          <w:p w14:paraId="2FB77B11" w14:textId="77777777" w:rsidR="00A75149" w:rsidRPr="00572D0C" w:rsidRDefault="00A75149" w:rsidP="000955B3">
            <w:pPr>
              <w:spacing w:before="40" w:after="40"/>
              <w:rPr>
                <w:sz w:val="19"/>
                <w:szCs w:val="19"/>
                <w:lang w:val="fr-CH"/>
              </w:rPr>
            </w:pPr>
          </w:p>
        </w:tc>
      </w:tr>
      <w:tr w:rsidR="00A75149" w:rsidRPr="003F1EDB" w14:paraId="5CB4E93B" w14:textId="77777777" w:rsidTr="00591374">
        <w:trPr>
          <w:jc w:val="center"/>
        </w:trPr>
        <w:tc>
          <w:tcPr>
            <w:tcW w:w="846" w:type="dxa"/>
            <w:shd w:val="clear" w:color="auto" w:fill="C5E0B3" w:themeFill="accent6" w:themeFillTint="66"/>
          </w:tcPr>
          <w:p w14:paraId="66835BD8" w14:textId="09D3CA61" w:rsidR="00A75149" w:rsidRPr="00572D0C" w:rsidRDefault="147A5F7B" w:rsidP="000955B3">
            <w:pPr>
              <w:spacing w:before="40" w:after="40"/>
              <w:rPr>
                <w:sz w:val="19"/>
                <w:szCs w:val="19"/>
                <w:lang w:val="fr-CH"/>
              </w:rPr>
            </w:pPr>
            <w:r w:rsidRPr="00572D0C">
              <w:rPr>
                <w:sz w:val="19"/>
                <w:szCs w:val="19"/>
                <w:lang w:val="fr-CH"/>
              </w:rPr>
              <w:t>NW</w:t>
            </w:r>
          </w:p>
        </w:tc>
        <w:tc>
          <w:tcPr>
            <w:tcW w:w="2273" w:type="dxa"/>
            <w:shd w:val="clear" w:color="auto" w:fill="C5E0B3" w:themeFill="accent6" w:themeFillTint="66"/>
          </w:tcPr>
          <w:p w14:paraId="58675F5C" w14:textId="56CE0480" w:rsidR="00A75149" w:rsidRPr="00572D0C" w:rsidRDefault="004D0265" w:rsidP="000955B3">
            <w:pPr>
              <w:spacing w:before="40" w:after="40"/>
              <w:jc w:val="both"/>
              <w:rPr>
                <w:sz w:val="19"/>
                <w:szCs w:val="19"/>
                <w:lang w:val="fr-CH"/>
              </w:rPr>
            </w:pPr>
            <w:r>
              <w:rPr>
                <w:sz w:val="19"/>
                <w:szCs w:val="19"/>
                <w:lang w:val="fr-CH"/>
              </w:rPr>
              <w:t>Oui</w:t>
            </w:r>
          </w:p>
        </w:tc>
        <w:tc>
          <w:tcPr>
            <w:tcW w:w="1701" w:type="dxa"/>
            <w:shd w:val="clear" w:color="auto" w:fill="C5E0B3" w:themeFill="accent6" w:themeFillTint="66"/>
          </w:tcPr>
          <w:p w14:paraId="10C229DC" w14:textId="6CCBA829" w:rsidR="00A75149" w:rsidRPr="00572D0C" w:rsidRDefault="004D0265" w:rsidP="000955B3">
            <w:pPr>
              <w:spacing w:before="40" w:after="40"/>
              <w:rPr>
                <w:sz w:val="19"/>
                <w:szCs w:val="19"/>
                <w:lang w:val="fr-CH"/>
              </w:rPr>
            </w:pPr>
            <w:r>
              <w:rPr>
                <w:sz w:val="19"/>
                <w:szCs w:val="19"/>
                <w:lang w:val="fr-CH"/>
              </w:rPr>
              <w:t>Plan directeur cantonal</w:t>
            </w:r>
            <w:r w:rsidR="147A5F7B" w:rsidRPr="00572D0C">
              <w:rPr>
                <w:sz w:val="19"/>
                <w:szCs w:val="19"/>
                <w:lang w:val="fr-CH"/>
              </w:rPr>
              <w:t xml:space="preserve"> 2017</w:t>
            </w:r>
          </w:p>
        </w:tc>
        <w:tc>
          <w:tcPr>
            <w:tcW w:w="4678" w:type="dxa"/>
            <w:shd w:val="clear" w:color="auto" w:fill="C5E0B3" w:themeFill="accent6" w:themeFillTint="66"/>
          </w:tcPr>
          <w:p w14:paraId="03CCA3CF" w14:textId="2EAFF5C3" w:rsidR="00A75149" w:rsidRPr="00572D0C" w:rsidRDefault="002817C9" w:rsidP="000955B3">
            <w:pPr>
              <w:spacing w:before="40" w:after="40"/>
              <w:rPr>
                <w:sz w:val="19"/>
                <w:szCs w:val="19"/>
                <w:lang w:val="fr-CH"/>
              </w:rPr>
            </w:pPr>
            <w:r>
              <w:rPr>
                <w:sz w:val="19"/>
                <w:szCs w:val="19"/>
                <w:lang w:val="fr-CH"/>
              </w:rPr>
              <w:t>Compensation des nouveaux classements en zone à bâtir</w:t>
            </w:r>
          </w:p>
        </w:tc>
      </w:tr>
      <w:tr w:rsidR="00A75149" w:rsidRPr="003F1EDB" w14:paraId="131C6A37" w14:textId="77777777" w:rsidTr="00591374">
        <w:trPr>
          <w:jc w:val="center"/>
        </w:trPr>
        <w:tc>
          <w:tcPr>
            <w:tcW w:w="846" w:type="dxa"/>
            <w:shd w:val="clear" w:color="auto" w:fill="C5E0B3" w:themeFill="accent6" w:themeFillTint="66"/>
          </w:tcPr>
          <w:p w14:paraId="23645CA5" w14:textId="09D3CA61" w:rsidR="00A75149" w:rsidRPr="00572D0C" w:rsidRDefault="147A5F7B" w:rsidP="000955B3">
            <w:pPr>
              <w:spacing w:before="40" w:after="40"/>
              <w:rPr>
                <w:sz w:val="19"/>
                <w:szCs w:val="19"/>
                <w:lang w:val="fr-CH"/>
              </w:rPr>
            </w:pPr>
            <w:r w:rsidRPr="00572D0C">
              <w:rPr>
                <w:sz w:val="19"/>
                <w:szCs w:val="19"/>
                <w:lang w:val="fr-CH"/>
              </w:rPr>
              <w:t>GL</w:t>
            </w:r>
          </w:p>
        </w:tc>
        <w:tc>
          <w:tcPr>
            <w:tcW w:w="2273" w:type="dxa"/>
            <w:shd w:val="clear" w:color="auto" w:fill="C5E0B3" w:themeFill="accent6" w:themeFillTint="66"/>
          </w:tcPr>
          <w:p w14:paraId="5C42E21C" w14:textId="72F84EE8" w:rsidR="00A75149" w:rsidRPr="00572D0C" w:rsidRDefault="004D0265" w:rsidP="000955B3">
            <w:pPr>
              <w:spacing w:before="40" w:after="40"/>
              <w:jc w:val="both"/>
              <w:rPr>
                <w:sz w:val="19"/>
                <w:szCs w:val="19"/>
                <w:lang w:val="fr-CH"/>
              </w:rPr>
            </w:pPr>
            <w:r>
              <w:rPr>
                <w:sz w:val="19"/>
                <w:szCs w:val="19"/>
                <w:lang w:val="fr-CH"/>
              </w:rPr>
              <w:t>Oui</w:t>
            </w:r>
          </w:p>
        </w:tc>
        <w:tc>
          <w:tcPr>
            <w:tcW w:w="1701" w:type="dxa"/>
            <w:shd w:val="clear" w:color="auto" w:fill="C5E0B3" w:themeFill="accent6" w:themeFillTint="66"/>
          </w:tcPr>
          <w:p w14:paraId="0CE9208B" w14:textId="3FCC5D98" w:rsidR="00A75149" w:rsidRPr="00572D0C" w:rsidRDefault="004D0265" w:rsidP="000955B3">
            <w:pPr>
              <w:spacing w:before="40" w:after="40"/>
              <w:rPr>
                <w:sz w:val="19"/>
                <w:szCs w:val="19"/>
                <w:lang w:val="fr-CH"/>
              </w:rPr>
            </w:pPr>
            <w:r>
              <w:rPr>
                <w:sz w:val="19"/>
                <w:szCs w:val="19"/>
                <w:lang w:val="fr-CH"/>
              </w:rPr>
              <w:t>Plan directeur cantonal</w:t>
            </w:r>
            <w:r w:rsidR="147A5F7B" w:rsidRPr="00572D0C">
              <w:rPr>
                <w:sz w:val="19"/>
                <w:szCs w:val="19"/>
                <w:lang w:val="fr-CH"/>
              </w:rPr>
              <w:t xml:space="preserve"> (</w:t>
            </w:r>
            <w:r>
              <w:rPr>
                <w:sz w:val="19"/>
                <w:szCs w:val="19"/>
                <w:lang w:val="fr-CH"/>
              </w:rPr>
              <w:t>projet</w:t>
            </w:r>
            <w:r w:rsidR="147A5F7B" w:rsidRPr="00572D0C">
              <w:rPr>
                <w:sz w:val="19"/>
                <w:szCs w:val="19"/>
                <w:lang w:val="fr-CH"/>
              </w:rPr>
              <w:t xml:space="preserve"> </w:t>
            </w:r>
            <w:r>
              <w:rPr>
                <w:sz w:val="19"/>
                <w:szCs w:val="19"/>
                <w:lang w:val="fr-CH"/>
              </w:rPr>
              <w:t>pour</w:t>
            </w:r>
            <w:r w:rsidR="147A5F7B" w:rsidRPr="00572D0C">
              <w:rPr>
                <w:sz w:val="19"/>
                <w:szCs w:val="19"/>
                <w:lang w:val="fr-CH"/>
              </w:rPr>
              <w:t xml:space="preserve"> 2018)</w:t>
            </w:r>
          </w:p>
        </w:tc>
        <w:tc>
          <w:tcPr>
            <w:tcW w:w="4678" w:type="dxa"/>
            <w:shd w:val="clear" w:color="auto" w:fill="C5E0B3" w:themeFill="accent6" w:themeFillTint="66"/>
          </w:tcPr>
          <w:p w14:paraId="66923C33" w14:textId="587FBFCE" w:rsidR="00A75149" w:rsidRPr="00572D0C" w:rsidRDefault="002817C9" w:rsidP="000955B3">
            <w:pPr>
              <w:spacing w:before="40" w:after="40"/>
              <w:rPr>
                <w:sz w:val="19"/>
                <w:szCs w:val="19"/>
                <w:lang w:val="fr-CH"/>
              </w:rPr>
            </w:pPr>
            <w:r>
              <w:rPr>
                <w:sz w:val="19"/>
                <w:szCs w:val="19"/>
                <w:lang w:val="fr-CH"/>
              </w:rPr>
              <w:t>Compensation de nouveaux classement</w:t>
            </w:r>
            <w:r w:rsidR="00212346">
              <w:rPr>
                <w:sz w:val="19"/>
                <w:szCs w:val="19"/>
                <w:lang w:val="fr-CH"/>
              </w:rPr>
              <w:t>s</w:t>
            </w:r>
            <w:r>
              <w:rPr>
                <w:sz w:val="19"/>
                <w:szCs w:val="19"/>
                <w:lang w:val="fr-CH"/>
              </w:rPr>
              <w:t xml:space="preserve"> en zone à bâtir</w:t>
            </w:r>
          </w:p>
        </w:tc>
      </w:tr>
      <w:tr w:rsidR="00A75149" w:rsidRPr="00572D0C" w14:paraId="70D2E943" w14:textId="77777777" w:rsidTr="00591374">
        <w:trPr>
          <w:jc w:val="center"/>
        </w:trPr>
        <w:tc>
          <w:tcPr>
            <w:tcW w:w="846" w:type="dxa"/>
            <w:shd w:val="clear" w:color="auto" w:fill="F7CAAC" w:themeFill="accent2" w:themeFillTint="66"/>
          </w:tcPr>
          <w:p w14:paraId="442372DB" w14:textId="09D3CA61" w:rsidR="00A75149" w:rsidRPr="00572D0C" w:rsidRDefault="147A5F7B" w:rsidP="000955B3">
            <w:pPr>
              <w:spacing w:before="40" w:after="40"/>
              <w:rPr>
                <w:sz w:val="19"/>
                <w:szCs w:val="19"/>
                <w:lang w:val="fr-CH"/>
              </w:rPr>
            </w:pPr>
            <w:r w:rsidRPr="00572D0C">
              <w:rPr>
                <w:sz w:val="19"/>
                <w:szCs w:val="19"/>
                <w:lang w:val="fr-CH"/>
              </w:rPr>
              <w:t>ZG</w:t>
            </w:r>
          </w:p>
        </w:tc>
        <w:tc>
          <w:tcPr>
            <w:tcW w:w="2273" w:type="dxa"/>
            <w:shd w:val="clear" w:color="auto" w:fill="F7CAAC" w:themeFill="accent2" w:themeFillTint="66"/>
          </w:tcPr>
          <w:p w14:paraId="1EFA2236" w14:textId="6AE74394" w:rsidR="00A75149" w:rsidRPr="00572D0C" w:rsidRDefault="004D0265" w:rsidP="000955B3">
            <w:pPr>
              <w:spacing w:before="40" w:after="40"/>
              <w:jc w:val="both"/>
              <w:rPr>
                <w:sz w:val="19"/>
                <w:szCs w:val="19"/>
                <w:lang w:val="fr-CH"/>
              </w:rPr>
            </w:pPr>
            <w:r w:rsidRPr="00572D0C">
              <w:rPr>
                <w:sz w:val="19"/>
                <w:szCs w:val="19"/>
                <w:lang w:val="fr-CH"/>
              </w:rPr>
              <w:t>N</w:t>
            </w:r>
            <w:r>
              <w:rPr>
                <w:sz w:val="19"/>
                <w:szCs w:val="19"/>
                <w:lang w:val="fr-CH"/>
              </w:rPr>
              <w:t>o</w:t>
            </w:r>
            <w:r w:rsidRPr="00572D0C">
              <w:rPr>
                <w:sz w:val="19"/>
                <w:szCs w:val="19"/>
                <w:lang w:val="fr-CH"/>
              </w:rPr>
              <w:t xml:space="preserve">n, </w:t>
            </w:r>
            <w:r>
              <w:rPr>
                <w:sz w:val="19"/>
                <w:szCs w:val="19"/>
                <w:lang w:val="fr-CH"/>
              </w:rPr>
              <w:t>pas d’obligation</w:t>
            </w:r>
          </w:p>
        </w:tc>
        <w:tc>
          <w:tcPr>
            <w:tcW w:w="1701" w:type="dxa"/>
            <w:shd w:val="clear" w:color="auto" w:fill="F7CAAC" w:themeFill="accent2" w:themeFillTint="66"/>
          </w:tcPr>
          <w:p w14:paraId="7CFF459C" w14:textId="77777777" w:rsidR="00A75149" w:rsidRPr="00572D0C" w:rsidRDefault="00A75149" w:rsidP="000955B3">
            <w:pPr>
              <w:spacing w:before="40" w:after="40"/>
              <w:rPr>
                <w:sz w:val="19"/>
                <w:szCs w:val="19"/>
                <w:lang w:val="fr-CH"/>
              </w:rPr>
            </w:pPr>
          </w:p>
        </w:tc>
        <w:tc>
          <w:tcPr>
            <w:tcW w:w="4678" w:type="dxa"/>
            <w:shd w:val="clear" w:color="auto" w:fill="F7CAAC" w:themeFill="accent2" w:themeFillTint="66"/>
          </w:tcPr>
          <w:p w14:paraId="681E6343" w14:textId="77777777" w:rsidR="00A75149" w:rsidRPr="00572D0C" w:rsidRDefault="00A75149" w:rsidP="000955B3">
            <w:pPr>
              <w:spacing w:before="40" w:after="40"/>
              <w:rPr>
                <w:sz w:val="19"/>
                <w:szCs w:val="19"/>
                <w:lang w:val="fr-CH"/>
              </w:rPr>
            </w:pPr>
          </w:p>
        </w:tc>
      </w:tr>
      <w:tr w:rsidR="00A75149" w:rsidRPr="003F1EDB" w14:paraId="027C77C9" w14:textId="77777777" w:rsidTr="00591374">
        <w:trPr>
          <w:jc w:val="center"/>
        </w:trPr>
        <w:tc>
          <w:tcPr>
            <w:tcW w:w="846" w:type="dxa"/>
            <w:shd w:val="clear" w:color="auto" w:fill="C5E0B3" w:themeFill="accent6" w:themeFillTint="66"/>
          </w:tcPr>
          <w:p w14:paraId="664BAD11" w14:textId="09D3CA61" w:rsidR="00A75149" w:rsidRPr="00572D0C" w:rsidRDefault="147A5F7B" w:rsidP="000955B3">
            <w:pPr>
              <w:spacing w:before="40" w:after="40"/>
              <w:rPr>
                <w:sz w:val="19"/>
                <w:szCs w:val="19"/>
                <w:lang w:val="fr-CH"/>
              </w:rPr>
            </w:pPr>
            <w:r w:rsidRPr="00572D0C">
              <w:rPr>
                <w:sz w:val="19"/>
                <w:szCs w:val="19"/>
                <w:lang w:val="fr-CH"/>
              </w:rPr>
              <w:t>FR</w:t>
            </w:r>
          </w:p>
        </w:tc>
        <w:tc>
          <w:tcPr>
            <w:tcW w:w="2273" w:type="dxa"/>
            <w:shd w:val="clear" w:color="auto" w:fill="C5E0B3" w:themeFill="accent6" w:themeFillTint="66"/>
          </w:tcPr>
          <w:p w14:paraId="003B5D97" w14:textId="573D257C" w:rsidR="00A75149" w:rsidRPr="00572D0C" w:rsidRDefault="004D0265" w:rsidP="000955B3">
            <w:pPr>
              <w:spacing w:before="40" w:after="40"/>
              <w:jc w:val="both"/>
              <w:rPr>
                <w:sz w:val="19"/>
                <w:szCs w:val="19"/>
                <w:lang w:val="fr-CH"/>
              </w:rPr>
            </w:pPr>
            <w:r>
              <w:rPr>
                <w:sz w:val="19"/>
                <w:szCs w:val="19"/>
                <w:lang w:val="fr-CH"/>
              </w:rPr>
              <w:t>Oui</w:t>
            </w:r>
          </w:p>
        </w:tc>
        <w:tc>
          <w:tcPr>
            <w:tcW w:w="1701" w:type="dxa"/>
            <w:shd w:val="clear" w:color="auto" w:fill="C5E0B3" w:themeFill="accent6" w:themeFillTint="66"/>
          </w:tcPr>
          <w:p w14:paraId="0082195D" w14:textId="54B273DB" w:rsidR="00A75149" w:rsidRPr="00572D0C" w:rsidRDefault="004D0265" w:rsidP="000955B3">
            <w:pPr>
              <w:spacing w:before="40" w:after="40"/>
              <w:rPr>
                <w:sz w:val="19"/>
                <w:szCs w:val="19"/>
                <w:lang w:val="fr-CH"/>
              </w:rPr>
            </w:pPr>
            <w:r>
              <w:rPr>
                <w:sz w:val="19"/>
                <w:szCs w:val="19"/>
                <w:lang w:val="fr-CH"/>
              </w:rPr>
              <w:t>Plan directeu</w:t>
            </w:r>
            <w:r w:rsidR="00C321C7">
              <w:rPr>
                <w:sz w:val="19"/>
                <w:szCs w:val="19"/>
                <w:lang w:val="fr-CH"/>
              </w:rPr>
              <w:t>r cantonal</w:t>
            </w:r>
            <w:r w:rsidR="00AF30BC" w:rsidRPr="00572D0C">
              <w:rPr>
                <w:sz w:val="19"/>
                <w:szCs w:val="19"/>
                <w:lang w:val="fr-CH"/>
              </w:rPr>
              <w:t xml:space="preserve"> (</w:t>
            </w:r>
            <w:r w:rsidR="00C321C7">
              <w:rPr>
                <w:sz w:val="19"/>
                <w:szCs w:val="19"/>
                <w:lang w:val="fr-CH"/>
              </w:rPr>
              <w:t>projet pour</w:t>
            </w:r>
            <w:r w:rsidR="00AF30BC" w:rsidRPr="00572D0C">
              <w:rPr>
                <w:sz w:val="19"/>
                <w:szCs w:val="19"/>
                <w:lang w:val="fr-CH"/>
              </w:rPr>
              <w:t xml:space="preserve"> 2018)</w:t>
            </w:r>
          </w:p>
        </w:tc>
        <w:tc>
          <w:tcPr>
            <w:tcW w:w="4678" w:type="dxa"/>
            <w:shd w:val="clear" w:color="auto" w:fill="C5E0B3" w:themeFill="accent6" w:themeFillTint="66"/>
          </w:tcPr>
          <w:p w14:paraId="1A13BE69" w14:textId="21A37C4E" w:rsidR="00A75149" w:rsidRPr="00572D0C" w:rsidRDefault="002817C9" w:rsidP="000955B3">
            <w:pPr>
              <w:spacing w:before="40" w:after="40"/>
              <w:rPr>
                <w:sz w:val="19"/>
                <w:szCs w:val="19"/>
                <w:lang w:val="fr-CH"/>
              </w:rPr>
            </w:pPr>
            <w:r>
              <w:rPr>
                <w:sz w:val="19"/>
                <w:szCs w:val="19"/>
                <w:lang w:val="fr-CH"/>
              </w:rPr>
              <w:t>Obligation de compensation si utilisation de SDA dans des zones spéciales hors du territoire à bâtir et si non prévu dans le plan directeur cantonal</w:t>
            </w:r>
            <w:r w:rsidR="00AF30BC" w:rsidRPr="00572D0C">
              <w:rPr>
                <w:sz w:val="19"/>
                <w:szCs w:val="19"/>
                <w:lang w:val="fr-CH"/>
              </w:rPr>
              <w:t xml:space="preserve"> </w:t>
            </w:r>
          </w:p>
        </w:tc>
      </w:tr>
      <w:tr w:rsidR="00A75149" w:rsidRPr="00572D0C" w14:paraId="0DCB60D3" w14:textId="77777777" w:rsidTr="00591374">
        <w:trPr>
          <w:jc w:val="center"/>
        </w:trPr>
        <w:tc>
          <w:tcPr>
            <w:tcW w:w="846" w:type="dxa"/>
            <w:shd w:val="clear" w:color="auto" w:fill="F7CAAC" w:themeFill="accent2" w:themeFillTint="66"/>
          </w:tcPr>
          <w:p w14:paraId="7C0C0433" w14:textId="09D3CA61" w:rsidR="00A75149" w:rsidRPr="00572D0C" w:rsidRDefault="147A5F7B" w:rsidP="000955B3">
            <w:pPr>
              <w:spacing w:before="40" w:after="40"/>
              <w:rPr>
                <w:sz w:val="19"/>
                <w:szCs w:val="19"/>
                <w:lang w:val="fr-CH"/>
              </w:rPr>
            </w:pPr>
            <w:r w:rsidRPr="00572D0C">
              <w:rPr>
                <w:sz w:val="19"/>
                <w:szCs w:val="19"/>
                <w:lang w:val="fr-CH"/>
              </w:rPr>
              <w:t>SO</w:t>
            </w:r>
          </w:p>
        </w:tc>
        <w:tc>
          <w:tcPr>
            <w:tcW w:w="2273" w:type="dxa"/>
            <w:shd w:val="clear" w:color="auto" w:fill="F7CAAC" w:themeFill="accent2" w:themeFillTint="66"/>
          </w:tcPr>
          <w:p w14:paraId="740A22D8" w14:textId="5495DF2C" w:rsidR="00A75149" w:rsidRPr="00572D0C" w:rsidRDefault="004D0265" w:rsidP="000955B3">
            <w:pPr>
              <w:spacing w:before="40" w:after="40"/>
              <w:jc w:val="both"/>
              <w:rPr>
                <w:sz w:val="19"/>
                <w:szCs w:val="19"/>
                <w:lang w:val="fr-CH"/>
              </w:rPr>
            </w:pPr>
            <w:r w:rsidRPr="00572D0C">
              <w:rPr>
                <w:sz w:val="19"/>
                <w:szCs w:val="19"/>
                <w:lang w:val="fr-CH"/>
              </w:rPr>
              <w:t>N</w:t>
            </w:r>
            <w:r>
              <w:rPr>
                <w:sz w:val="19"/>
                <w:szCs w:val="19"/>
                <w:lang w:val="fr-CH"/>
              </w:rPr>
              <w:t>o</w:t>
            </w:r>
            <w:r w:rsidRPr="00572D0C">
              <w:rPr>
                <w:sz w:val="19"/>
                <w:szCs w:val="19"/>
                <w:lang w:val="fr-CH"/>
              </w:rPr>
              <w:t xml:space="preserve">n, </w:t>
            </w:r>
            <w:r>
              <w:rPr>
                <w:sz w:val="19"/>
                <w:szCs w:val="19"/>
                <w:lang w:val="fr-CH"/>
              </w:rPr>
              <w:t>pas d’obligation</w:t>
            </w:r>
          </w:p>
        </w:tc>
        <w:tc>
          <w:tcPr>
            <w:tcW w:w="1701" w:type="dxa"/>
            <w:shd w:val="clear" w:color="auto" w:fill="F7CAAC" w:themeFill="accent2" w:themeFillTint="66"/>
          </w:tcPr>
          <w:p w14:paraId="43E7B539" w14:textId="3F5D2036" w:rsidR="00A75149" w:rsidRPr="00572D0C" w:rsidRDefault="00A75149" w:rsidP="000955B3">
            <w:pPr>
              <w:spacing w:before="40" w:after="40"/>
              <w:rPr>
                <w:sz w:val="19"/>
                <w:szCs w:val="19"/>
                <w:lang w:val="fr-CH"/>
              </w:rPr>
            </w:pPr>
          </w:p>
        </w:tc>
        <w:tc>
          <w:tcPr>
            <w:tcW w:w="4678" w:type="dxa"/>
            <w:shd w:val="clear" w:color="auto" w:fill="F7CAAC" w:themeFill="accent2" w:themeFillTint="66"/>
          </w:tcPr>
          <w:p w14:paraId="2B20362F" w14:textId="066DA741" w:rsidR="00A75149" w:rsidRPr="00572D0C" w:rsidRDefault="00A75149" w:rsidP="000955B3">
            <w:pPr>
              <w:spacing w:before="40" w:after="40"/>
              <w:rPr>
                <w:sz w:val="19"/>
                <w:szCs w:val="19"/>
                <w:lang w:val="fr-CH"/>
              </w:rPr>
            </w:pPr>
          </w:p>
        </w:tc>
      </w:tr>
      <w:tr w:rsidR="00A75149" w:rsidRPr="00572D0C" w14:paraId="4E331535" w14:textId="77777777" w:rsidTr="00591374">
        <w:trPr>
          <w:jc w:val="center"/>
        </w:trPr>
        <w:tc>
          <w:tcPr>
            <w:tcW w:w="846" w:type="dxa"/>
            <w:shd w:val="clear" w:color="auto" w:fill="F7CAAC" w:themeFill="accent2" w:themeFillTint="66"/>
          </w:tcPr>
          <w:p w14:paraId="4E4E3786" w14:textId="09D3CA61" w:rsidR="00A75149" w:rsidRPr="00572D0C" w:rsidRDefault="147A5F7B" w:rsidP="000955B3">
            <w:pPr>
              <w:spacing w:before="40" w:after="40"/>
              <w:rPr>
                <w:sz w:val="19"/>
                <w:szCs w:val="19"/>
                <w:lang w:val="fr-CH"/>
              </w:rPr>
            </w:pPr>
            <w:r w:rsidRPr="00572D0C">
              <w:rPr>
                <w:sz w:val="19"/>
                <w:szCs w:val="19"/>
                <w:lang w:val="fr-CH"/>
              </w:rPr>
              <w:t>BS</w:t>
            </w:r>
          </w:p>
        </w:tc>
        <w:tc>
          <w:tcPr>
            <w:tcW w:w="2273" w:type="dxa"/>
            <w:shd w:val="clear" w:color="auto" w:fill="F7CAAC" w:themeFill="accent2" w:themeFillTint="66"/>
          </w:tcPr>
          <w:p w14:paraId="29B4E45A" w14:textId="471D541F" w:rsidR="00A75149" w:rsidRPr="00572D0C" w:rsidRDefault="004D0265" w:rsidP="000955B3">
            <w:pPr>
              <w:spacing w:before="40" w:after="40"/>
              <w:jc w:val="both"/>
              <w:rPr>
                <w:sz w:val="19"/>
                <w:szCs w:val="19"/>
                <w:lang w:val="fr-CH"/>
              </w:rPr>
            </w:pPr>
            <w:r w:rsidRPr="00572D0C">
              <w:rPr>
                <w:sz w:val="19"/>
                <w:szCs w:val="19"/>
                <w:lang w:val="fr-CH"/>
              </w:rPr>
              <w:t>N</w:t>
            </w:r>
            <w:r>
              <w:rPr>
                <w:sz w:val="19"/>
                <w:szCs w:val="19"/>
                <w:lang w:val="fr-CH"/>
              </w:rPr>
              <w:t>o</w:t>
            </w:r>
            <w:r w:rsidRPr="00572D0C">
              <w:rPr>
                <w:sz w:val="19"/>
                <w:szCs w:val="19"/>
                <w:lang w:val="fr-CH"/>
              </w:rPr>
              <w:t xml:space="preserve">n, </w:t>
            </w:r>
            <w:r>
              <w:rPr>
                <w:sz w:val="19"/>
                <w:szCs w:val="19"/>
                <w:lang w:val="fr-CH"/>
              </w:rPr>
              <w:t>pas d’obligation</w:t>
            </w:r>
          </w:p>
        </w:tc>
        <w:tc>
          <w:tcPr>
            <w:tcW w:w="1701" w:type="dxa"/>
            <w:shd w:val="clear" w:color="auto" w:fill="F7CAAC" w:themeFill="accent2" w:themeFillTint="66"/>
          </w:tcPr>
          <w:p w14:paraId="1BA90DEA" w14:textId="77777777" w:rsidR="00A75149" w:rsidRPr="00572D0C" w:rsidRDefault="00A75149" w:rsidP="000955B3">
            <w:pPr>
              <w:spacing w:before="40" w:after="40"/>
              <w:rPr>
                <w:sz w:val="19"/>
                <w:szCs w:val="19"/>
                <w:lang w:val="fr-CH"/>
              </w:rPr>
            </w:pPr>
          </w:p>
        </w:tc>
        <w:tc>
          <w:tcPr>
            <w:tcW w:w="4678" w:type="dxa"/>
            <w:shd w:val="clear" w:color="auto" w:fill="F7CAAC" w:themeFill="accent2" w:themeFillTint="66"/>
          </w:tcPr>
          <w:p w14:paraId="3F878CD8" w14:textId="77777777" w:rsidR="00A75149" w:rsidRPr="00572D0C" w:rsidRDefault="00A75149" w:rsidP="000955B3">
            <w:pPr>
              <w:spacing w:before="40" w:after="40"/>
              <w:rPr>
                <w:sz w:val="19"/>
                <w:szCs w:val="19"/>
                <w:lang w:val="fr-CH"/>
              </w:rPr>
            </w:pPr>
          </w:p>
        </w:tc>
      </w:tr>
      <w:tr w:rsidR="00A75149" w:rsidRPr="00572D0C" w14:paraId="070CE906" w14:textId="77777777" w:rsidTr="00591374">
        <w:trPr>
          <w:jc w:val="center"/>
        </w:trPr>
        <w:tc>
          <w:tcPr>
            <w:tcW w:w="846" w:type="dxa"/>
            <w:shd w:val="clear" w:color="auto" w:fill="F7CAAC" w:themeFill="accent2" w:themeFillTint="66"/>
          </w:tcPr>
          <w:p w14:paraId="18C16AD2" w14:textId="37C11D19" w:rsidR="00A75149" w:rsidRPr="00572D0C" w:rsidRDefault="147A5F7B" w:rsidP="000955B3">
            <w:pPr>
              <w:spacing w:before="40" w:after="40"/>
              <w:rPr>
                <w:sz w:val="19"/>
                <w:szCs w:val="19"/>
                <w:lang w:val="fr-CH"/>
              </w:rPr>
            </w:pPr>
            <w:r w:rsidRPr="00572D0C">
              <w:rPr>
                <w:sz w:val="19"/>
                <w:szCs w:val="19"/>
                <w:lang w:val="fr-CH"/>
              </w:rPr>
              <w:t>BL</w:t>
            </w:r>
          </w:p>
        </w:tc>
        <w:tc>
          <w:tcPr>
            <w:tcW w:w="2273" w:type="dxa"/>
            <w:shd w:val="clear" w:color="auto" w:fill="F7CAAC" w:themeFill="accent2" w:themeFillTint="66"/>
          </w:tcPr>
          <w:p w14:paraId="4F2BC897" w14:textId="33B25E36" w:rsidR="00A75149" w:rsidRPr="00572D0C" w:rsidRDefault="004D0265" w:rsidP="000955B3">
            <w:pPr>
              <w:spacing w:before="40" w:after="40"/>
              <w:jc w:val="both"/>
              <w:rPr>
                <w:sz w:val="19"/>
                <w:szCs w:val="19"/>
                <w:lang w:val="fr-CH"/>
              </w:rPr>
            </w:pPr>
            <w:r w:rsidRPr="00572D0C">
              <w:rPr>
                <w:sz w:val="19"/>
                <w:szCs w:val="19"/>
                <w:lang w:val="fr-CH"/>
              </w:rPr>
              <w:t>N</w:t>
            </w:r>
            <w:r>
              <w:rPr>
                <w:sz w:val="19"/>
                <w:szCs w:val="19"/>
                <w:lang w:val="fr-CH"/>
              </w:rPr>
              <w:t>o</w:t>
            </w:r>
            <w:r w:rsidRPr="00572D0C">
              <w:rPr>
                <w:sz w:val="19"/>
                <w:szCs w:val="19"/>
                <w:lang w:val="fr-CH"/>
              </w:rPr>
              <w:t xml:space="preserve">n, </w:t>
            </w:r>
            <w:r>
              <w:rPr>
                <w:sz w:val="19"/>
                <w:szCs w:val="19"/>
                <w:lang w:val="fr-CH"/>
              </w:rPr>
              <w:t>pas d’obligation</w:t>
            </w:r>
          </w:p>
        </w:tc>
        <w:tc>
          <w:tcPr>
            <w:tcW w:w="1701" w:type="dxa"/>
            <w:shd w:val="clear" w:color="auto" w:fill="F7CAAC" w:themeFill="accent2" w:themeFillTint="66"/>
          </w:tcPr>
          <w:p w14:paraId="5DBB1B93" w14:textId="2662F7F7" w:rsidR="00A75149" w:rsidRPr="00572D0C" w:rsidRDefault="00A75149" w:rsidP="000955B3">
            <w:pPr>
              <w:spacing w:before="40" w:after="40"/>
              <w:rPr>
                <w:sz w:val="19"/>
                <w:szCs w:val="19"/>
                <w:lang w:val="fr-CH"/>
              </w:rPr>
            </w:pPr>
          </w:p>
        </w:tc>
        <w:tc>
          <w:tcPr>
            <w:tcW w:w="4678" w:type="dxa"/>
            <w:shd w:val="clear" w:color="auto" w:fill="F7CAAC" w:themeFill="accent2" w:themeFillTint="66"/>
          </w:tcPr>
          <w:p w14:paraId="6E1DC49F" w14:textId="0E90A0DD" w:rsidR="00A75149" w:rsidRPr="00572D0C" w:rsidRDefault="00A75149" w:rsidP="000955B3">
            <w:pPr>
              <w:spacing w:before="40" w:after="40"/>
              <w:rPr>
                <w:sz w:val="19"/>
                <w:szCs w:val="19"/>
                <w:lang w:val="fr-CH"/>
              </w:rPr>
            </w:pPr>
          </w:p>
        </w:tc>
      </w:tr>
      <w:tr w:rsidR="00A75149" w:rsidRPr="003F1EDB" w14:paraId="576F770D" w14:textId="77777777" w:rsidTr="00591374">
        <w:trPr>
          <w:jc w:val="center"/>
        </w:trPr>
        <w:tc>
          <w:tcPr>
            <w:tcW w:w="846" w:type="dxa"/>
            <w:shd w:val="clear" w:color="auto" w:fill="C5E0B3" w:themeFill="accent6" w:themeFillTint="66"/>
          </w:tcPr>
          <w:p w14:paraId="155435F7" w14:textId="37C11D19" w:rsidR="00A75149" w:rsidRPr="00572D0C" w:rsidRDefault="147A5F7B" w:rsidP="000955B3">
            <w:pPr>
              <w:spacing w:before="40" w:after="40"/>
              <w:rPr>
                <w:sz w:val="19"/>
                <w:szCs w:val="19"/>
                <w:lang w:val="fr-CH"/>
              </w:rPr>
            </w:pPr>
            <w:r w:rsidRPr="00572D0C">
              <w:rPr>
                <w:sz w:val="19"/>
                <w:szCs w:val="19"/>
                <w:lang w:val="fr-CH"/>
              </w:rPr>
              <w:t>SH</w:t>
            </w:r>
          </w:p>
        </w:tc>
        <w:tc>
          <w:tcPr>
            <w:tcW w:w="2273" w:type="dxa"/>
            <w:shd w:val="clear" w:color="auto" w:fill="C5E0B3" w:themeFill="accent6" w:themeFillTint="66"/>
          </w:tcPr>
          <w:p w14:paraId="5AA713B4" w14:textId="609F5DD9" w:rsidR="00A75149" w:rsidRPr="00572D0C" w:rsidRDefault="004D0265" w:rsidP="000955B3">
            <w:pPr>
              <w:spacing w:before="40" w:after="40"/>
              <w:jc w:val="both"/>
              <w:rPr>
                <w:sz w:val="19"/>
                <w:szCs w:val="19"/>
                <w:lang w:val="fr-CH"/>
              </w:rPr>
            </w:pPr>
            <w:r>
              <w:rPr>
                <w:sz w:val="19"/>
                <w:szCs w:val="19"/>
                <w:lang w:val="fr-CH"/>
              </w:rPr>
              <w:t>Oui</w:t>
            </w:r>
          </w:p>
        </w:tc>
        <w:tc>
          <w:tcPr>
            <w:tcW w:w="1701" w:type="dxa"/>
            <w:shd w:val="clear" w:color="auto" w:fill="C5E0B3" w:themeFill="accent6" w:themeFillTint="66"/>
          </w:tcPr>
          <w:p w14:paraId="56ABCB76" w14:textId="1DF28B64" w:rsidR="00A75149" w:rsidRPr="00572D0C" w:rsidRDefault="00C321C7" w:rsidP="000955B3">
            <w:pPr>
              <w:spacing w:before="40" w:after="40"/>
              <w:rPr>
                <w:sz w:val="19"/>
                <w:szCs w:val="19"/>
                <w:lang w:val="fr-CH"/>
              </w:rPr>
            </w:pPr>
            <w:r>
              <w:rPr>
                <w:sz w:val="19"/>
                <w:szCs w:val="19"/>
                <w:lang w:val="fr-CH"/>
              </w:rPr>
              <w:t>Plan directeur cantonal</w:t>
            </w:r>
            <w:r w:rsidR="007E7775" w:rsidRPr="00572D0C">
              <w:rPr>
                <w:sz w:val="19"/>
                <w:szCs w:val="19"/>
                <w:lang w:val="fr-CH"/>
              </w:rPr>
              <w:t xml:space="preserve"> 2015</w:t>
            </w:r>
          </w:p>
        </w:tc>
        <w:tc>
          <w:tcPr>
            <w:tcW w:w="4678" w:type="dxa"/>
            <w:shd w:val="clear" w:color="auto" w:fill="C5E0B3" w:themeFill="accent6" w:themeFillTint="66"/>
          </w:tcPr>
          <w:p w14:paraId="17A95D5D" w14:textId="41B9BCA7" w:rsidR="00A75149" w:rsidRPr="00572D0C" w:rsidRDefault="002817C9" w:rsidP="000955B3">
            <w:pPr>
              <w:spacing w:before="40" w:after="40"/>
              <w:rPr>
                <w:sz w:val="19"/>
                <w:szCs w:val="19"/>
                <w:lang w:val="fr-CH"/>
              </w:rPr>
            </w:pPr>
            <w:r>
              <w:rPr>
                <w:sz w:val="19"/>
                <w:szCs w:val="19"/>
                <w:lang w:val="fr-CH"/>
              </w:rPr>
              <w:t xml:space="preserve">Obligation de compenser la surface perdue par une surface de qualité équivalente </w:t>
            </w:r>
          </w:p>
        </w:tc>
      </w:tr>
      <w:tr w:rsidR="00A75149" w:rsidRPr="003F1EDB" w14:paraId="7514058E" w14:textId="77777777" w:rsidTr="00591374">
        <w:trPr>
          <w:jc w:val="center"/>
        </w:trPr>
        <w:tc>
          <w:tcPr>
            <w:tcW w:w="846" w:type="dxa"/>
            <w:shd w:val="clear" w:color="auto" w:fill="C5E0B3" w:themeFill="accent6" w:themeFillTint="66"/>
          </w:tcPr>
          <w:p w14:paraId="6A370563" w14:textId="37C11D19" w:rsidR="00A75149" w:rsidRPr="00572D0C" w:rsidRDefault="147A5F7B" w:rsidP="000955B3">
            <w:pPr>
              <w:spacing w:before="40" w:after="40"/>
              <w:rPr>
                <w:sz w:val="19"/>
                <w:szCs w:val="19"/>
                <w:lang w:val="fr-CH"/>
              </w:rPr>
            </w:pPr>
            <w:r w:rsidRPr="00572D0C">
              <w:rPr>
                <w:sz w:val="19"/>
                <w:szCs w:val="19"/>
                <w:lang w:val="fr-CH"/>
              </w:rPr>
              <w:t>AR</w:t>
            </w:r>
          </w:p>
        </w:tc>
        <w:tc>
          <w:tcPr>
            <w:tcW w:w="2273" w:type="dxa"/>
            <w:shd w:val="clear" w:color="auto" w:fill="C5E0B3" w:themeFill="accent6" w:themeFillTint="66"/>
          </w:tcPr>
          <w:p w14:paraId="5BD694BC" w14:textId="20390DD2" w:rsidR="00A75149" w:rsidRPr="00572D0C" w:rsidRDefault="004D0265" w:rsidP="000955B3">
            <w:pPr>
              <w:spacing w:before="40" w:after="40"/>
              <w:jc w:val="both"/>
              <w:rPr>
                <w:sz w:val="19"/>
                <w:szCs w:val="19"/>
                <w:lang w:val="fr-CH"/>
              </w:rPr>
            </w:pPr>
            <w:r>
              <w:rPr>
                <w:sz w:val="19"/>
                <w:szCs w:val="19"/>
                <w:lang w:val="fr-CH"/>
              </w:rPr>
              <w:t>Oui</w:t>
            </w:r>
          </w:p>
        </w:tc>
        <w:tc>
          <w:tcPr>
            <w:tcW w:w="1701" w:type="dxa"/>
            <w:shd w:val="clear" w:color="auto" w:fill="C5E0B3" w:themeFill="accent6" w:themeFillTint="66"/>
          </w:tcPr>
          <w:p w14:paraId="5214CE1B" w14:textId="11571CDF" w:rsidR="00A75149" w:rsidRPr="00572D0C" w:rsidRDefault="00C321C7" w:rsidP="000955B3">
            <w:pPr>
              <w:spacing w:before="40" w:after="40"/>
              <w:rPr>
                <w:sz w:val="19"/>
                <w:szCs w:val="19"/>
                <w:lang w:val="fr-CH"/>
              </w:rPr>
            </w:pPr>
            <w:r>
              <w:rPr>
                <w:sz w:val="19"/>
                <w:szCs w:val="19"/>
                <w:lang w:val="fr-CH"/>
              </w:rPr>
              <w:t>Plan directeur cantonal</w:t>
            </w:r>
            <w:r w:rsidR="147A5F7B" w:rsidRPr="00572D0C">
              <w:rPr>
                <w:sz w:val="19"/>
                <w:szCs w:val="19"/>
                <w:lang w:val="fr-CH"/>
              </w:rPr>
              <w:t xml:space="preserve"> 2012</w:t>
            </w:r>
          </w:p>
        </w:tc>
        <w:tc>
          <w:tcPr>
            <w:tcW w:w="4678" w:type="dxa"/>
            <w:shd w:val="clear" w:color="auto" w:fill="C5E0B3" w:themeFill="accent6" w:themeFillTint="66"/>
          </w:tcPr>
          <w:p w14:paraId="0333CB89" w14:textId="185AABDC" w:rsidR="00A75149" w:rsidRPr="00572D0C" w:rsidRDefault="00241104" w:rsidP="00CD36FF">
            <w:pPr>
              <w:spacing w:before="40" w:after="40"/>
              <w:rPr>
                <w:sz w:val="19"/>
                <w:szCs w:val="19"/>
                <w:lang w:val="fr-CH"/>
              </w:rPr>
            </w:pPr>
            <w:r>
              <w:rPr>
                <w:sz w:val="19"/>
                <w:szCs w:val="19"/>
                <w:lang w:val="fr-CH"/>
              </w:rPr>
              <w:t xml:space="preserve">Possibilité de soustraire à titre exceptionnel de petites surfaces en cas de remplacement de valeur quasiment équivalente </w:t>
            </w:r>
          </w:p>
        </w:tc>
      </w:tr>
      <w:tr w:rsidR="00A75149" w:rsidRPr="00572D0C" w14:paraId="2B4E4A32" w14:textId="77777777" w:rsidTr="00591374">
        <w:trPr>
          <w:jc w:val="center"/>
        </w:trPr>
        <w:tc>
          <w:tcPr>
            <w:tcW w:w="846" w:type="dxa"/>
            <w:shd w:val="clear" w:color="auto" w:fill="F7CAAC" w:themeFill="accent2" w:themeFillTint="66"/>
          </w:tcPr>
          <w:p w14:paraId="1C262109" w14:textId="37C11D19" w:rsidR="00A75149" w:rsidRPr="00572D0C" w:rsidRDefault="147A5F7B" w:rsidP="000955B3">
            <w:pPr>
              <w:spacing w:before="40" w:after="40"/>
              <w:rPr>
                <w:sz w:val="19"/>
                <w:szCs w:val="19"/>
                <w:lang w:val="fr-CH"/>
              </w:rPr>
            </w:pPr>
            <w:r w:rsidRPr="00572D0C">
              <w:rPr>
                <w:sz w:val="19"/>
                <w:szCs w:val="19"/>
                <w:lang w:val="fr-CH"/>
              </w:rPr>
              <w:t>AI</w:t>
            </w:r>
          </w:p>
        </w:tc>
        <w:tc>
          <w:tcPr>
            <w:tcW w:w="2273" w:type="dxa"/>
            <w:shd w:val="clear" w:color="auto" w:fill="F7CAAC" w:themeFill="accent2" w:themeFillTint="66"/>
          </w:tcPr>
          <w:p w14:paraId="7DCE17D4" w14:textId="5006EE7B" w:rsidR="00A75149" w:rsidRPr="00572D0C" w:rsidRDefault="00C321C7" w:rsidP="000955B3">
            <w:pPr>
              <w:spacing w:before="40" w:after="40"/>
              <w:jc w:val="both"/>
              <w:rPr>
                <w:sz w:val="19"/>
                <w:szCs w:val="19"/>
                <w:lang w:val="fr-CH"/>
              </w:rPr>
            </w:pPr>
            <w:r w:rsidRPr="00572D0C">
              <w:rPr>
                <w:sz w:val="19"/>
                <w:szCs w:val="19"/>
                <w:lang w:val="fr-CH"/>
              </w:rPr>
              <w:t>N</w:t>
            </w:r>
            <w:r>
              <w:rPr>
                <w:sz w:val="19"/>
                <w:szCs w:val="19"/>
                <w:lang w:val="fr-CH"/>
              </w:rPr>
              <w:t>o</w:t>
            </w:r>
            <w:r w:rsidRPr="00572D0C">
              <w:rPr>
                <w:sz w:val="19"/>
                <w:szCs w:val="19"/>
                <w:lang w:val="fr-CH"/>
              </w:rPr>
              <w:t xml:space="preserve">n, </w:t>
            </w:r>
            <w:r>
              <w:rPr>
                <w:sz w:val="19"/>
                <w:szCs w:val="19"/>
                <w:lang w:val="fr-CH"/>
              </w:rPr>
              <w:t>pas d’obligation</w:t>
            </w:r>
          </w:p>
        </w:tc>
        <w:tc>
          <w:tcPr>
            <w:tcW w:w="1701" w:type="dxa"/>
            <w:shd w:val="clear" w:color="auto" w:fill="F7CAAC" w:themeFill="accent2" w:themeFillTint="66"/>
          </w:tcPr>
          <w:p w14:paraId="66751DBE" w14:textId="77777777" w:rsidR="00A75149" w:rsidRPr="00572D0C" w:rsidRDefault="00A75149" w:rsidP="000955B3">
            <w:pPr>
              <w:spacing w:before="40" w:after="40"/>
              <w:rPr>
                <w:sz w:val="19"/>
                <w:szCs w:val="19"/>
                <w:lang w:val="fr-CH"/>
              </w:rPr>
            </w:pPr>
          </w:p>
        </w:tc>
        <w:tc>
          <w:tcPr>
            <w:tcW w:w="4678" w:type="dxa"/>
            <w:shd w:val="clear" w:color="auto" w:fill="F7CAAC" w:themeFill="accent2" w:themeFillTint="66"/>
          </w:tcPr>
          <w:p w14:paraId="3602FA6F" w14:textId="77777777" w:rsidR="00A75149" w:rsidRPr="00572D0C" w:rsidRDefault="00A75149" w:rsidP="000955B3">
            <w:pPr>
              <w:spacing w:before="40" w:after="40"/>
              <w:rPr>
                <w:sz w:val="19"/>
                <w:szCs w:val="19"/>
                <w:lang w:val="fr-CH"/>
              </w:rPr>
            </w:pPr>
          </w:p>
        </w:tc>
      </w:tr>
      <w:tr w:rsidR="00A75149" w:rsidRPr="00572D0C" w14:paraId="43A42FB8" w14:textId="77777777" w:rsidTr="00591374">
        <w:trPr>
          <w:jc w:val="center"/>
        </w:trPr>
        <w:tc>
          <w:tcPr>
            <w:tcW w:w="846" w:type="dxa"/>
            <w:shd w:val="clear" w:color="auto" w:fill="F7CAAC" w:themeFill="accent2" w:themeFillTint="66"/>
          </w:tcPr>
          <w:p w14:paraId="758119C8" w14:textId="37C11D19" w:rsidR="00A75149" w:rsidRPr="00572D0C" w:rsidRDefault="147A5F7B" w:rsidP="000955B3">
            <w:pPr>
              <w:spacing w:before="40" w:after="40"/>
              <w:rPr>
                <w:sz w:val="19"/>
                <w:szCs w:val="19"/>
                <w:lang w:val="fr-CH"/>
              </w:rPr>
            </w:pPr>
            <w:r w:rsidRPr="00572D0C">
              <w:rPr>
                <w:sz w:val="19"/>
                <w:szCs w:val="19"/>
                <w:lang w:val="fr-CH"/>
              </w:rPr>
              <w:t>SG</w:t>
            </w:r>
          </w:p>
        </w:tc>
        <w:tc>
          <w:tcPr>
            <w:tcW w:w="2273" w:type="dxa"/>
            <w:shd w:val="clear" w:color="auto" w:fill="F7CAAC" w:themeFill="accent2" w:themeFillTint="66"/>
          </w:tcPr>
          <w:p w14:paraId="74C701A4" w14:textId="22460A78" w:rsidR="00A75149" w:rsidRPr="00572D0C" w:rsidRDefault="00C321C7" w:rsidP="000955B3">
            <w:pPr>
              <w:spacing w:before="40" w:after="40"/>
              <w:jc w:val="both"/>
              <w:rPr>
                <w:sz w:val="19"/>
                <w:szCs w:val="19"/>
                <w:lang w:val="fr-CH"/>
              </w:rPr>
            </w:pPr>
            <w:r w:rsidRPr="00572D0C">
              <w:rPr>
                <w:sz w:val="19"/>
                <w:szCs w:val="19"/>
                <w:lang w:val="fr-CH"/>
              </w:rPr>
              <w:t>N</w:t>
            </w:r>
            <w:r>
              <w:rPr>
                <w:sz w:val="19"/>
                <w:szCs w:val="19"/>
                <w:lang w:val="fr-CH"/>
              </w:rPr>
              <w:t>o</w:t>
            </w:r>
            <w:r w:rsidRPr="00572D0C">
              <w:rPr>
                <w:sz w:val="19"/>
                <w:szCs w:val="19"/>
                <w:lang w:val="fr-CH"/>
              </w:rPr>
              <w:t xml:space="preserve">n, </w:t>
            </w:r>
            <w:r>
              <w:rPr>
                <w:sz w:val="19"/>
                <w:szCs w:val="19"/>
                <w:lang w:val="fr-CH"/>
              </w:rPr>
              <w:t>pas d’obligation</w:t>
            </w:r>
          </w:p>
        </w:tc>
        <w:tc>
          <w:tcPr>
            <w:tcW w:w="1701" w:type="dxa"/>
            <w:shd w:val="clear" w:color="auto" w:fill="F7CAAC" w:themeFill="accent2" w:themeFillTint="66"/>
          </w:tcPr>
          <w:p w14:paraId="1196F7AD" w14:textId="77777777" w:rsidR="00A75149" w:rsidRPr="00572D0C" w:rsidRDefault="00A75149" w:rsidP="000955B3">
            <w:pPr>
              <w:spacing w:before="40" w:after="40"/>
              <w:rPr>
                <w:sz w:val="19"/>
                <w:szCs w:val="19"/>
                <w:lang w:val="fr-CH"/>
              </w:rPr>
            </w:pPr>
          </w:p>
        </w:tc>
        <w:tc>
          <w:tcPr>
            <w:tcW w:w="4678" w:type="dxa"/>
            <w:shd w:val="clear" w:color="auto" w:fill="F7CAAC" w:themeFill="accent2" w:themeFillTint="66"/>
          </w:tcPr>
          <w:p w14:paraId="67A86E81" w14:textId="77777777" w:rsidR="00A75149" w:rsidRPr="00572D0C" w:rsidRDefault="00A75149" w:rsidP="000955B3">
            <w:pPr>
              <w:spacing w:before="40" w:after="40"/>
              <w:rPr>
                <w:sz w:val="19"/>
                <w:szCs w:val="19"/>
                <w:lang w:val="fr-CH"/>
              </w:rPr>
            </w:pPr>
          </w:p>
        </w:tc>
      </w:tr>
      <w:tr w:rsidR="00A75149" w:rsidRPr="00572D0C" w14:paraId="40568B0B" w14:textId="77777777" w:rsidTr="00591374">
        <w:trPr>
          <w:jc w:val="center"/>
        </w:trPr>
        <w:tc>
          <w:tcPr>
            <w:tcW w:w="846" w:type="dxa"/>
            <w:shd w:val="clear" w:color="auto" w:fill="F7CAAC" w:themeFill="accent2" w:themeFillTint="66"/>
          </w:tcPr>
          <w:p w14:paraId="0CC76C0E" w14:textId="37C11D19" w:rsidR="00A75149" w:rsidRPr="00572D0C" w:rsidRDefault="147A5F7B" w:rsidP="000955B3">
            <w:pPr>
              <w:spacing w:before="40" w:after="40"/>
              <w:rPr>
                <w:sz w:val="19"/>
                <w:szCs w:val="19"/>
                <w:lang w:val="fr-CH"/>
              </w:rPr>
            </w:pPr>
            <w:r w:rsidRPr="00572D0C">
              <w:rPr>
                <w:sz w:val="19"/>
                <w:szCs w:val="19"/>
                <w:lang w:val="fr-CH"/>
              </w:rPr>
              <w:lastRenderedPageBreak/>
              <w:t>GR</w:t>
            </w:r>
          </w:p>
        </w:tc>
        <w:tc>
          <w:tcPr>
            <w:tcW w:w="2273" w:type="dxa"/>
            <w:shd w:val="clear" w:color="auto" w:fill="F7CAAC" w:themeFill="accent2" w:themeFillTint="66"/>
          </w:tcPr>
          <w:p w14:paraId="59891021" w14:textId="1C68B958" w:rsidR="00A75149" w:rsidRPr="00572D0C" w:rsidRDefault="00C321C7" w:rsidP="000955B3">
            <w:pPr>
              <w:spacing w:before="40" w:after="40"/>
              <w:jc w:val="both"/>
              <w:rPr>
                <w:sz w:val="19"/>
                <w:szCs w:val="19"/>
                <w:lang w:val="fr-CH"/>
              </w:rPr>
            </w:pPr>
            <w:r w:rsidRPr="00572D0C">
              <w:rPr>
                <w:sz w:val="19"/>
                <w:szCs w:val="19"/>
                <w:lang w:val="fr-CH"/>
              </w:rPr>
              <w:t>N</w:t>
            </w:r>
            <w:r>
              <w:rPr>
                <w:sz w:val="19"/>
                <w:szCs w:val="19"/>
                <w:lang w:val="fr-CH"/>
              </w:rPr>
              <w:t>o</w:t>
            </w:r>
            <w:r w:rsidRPr="00572D0C">
              <w:rPr>
                <w:sz w:val="19"/>
                <w:szCs w:val="19"/>
                <w:lang w:val="fr-CH"/>
              </w:rPr>
              <w:t xml:space="preserve">n, </w:t>
            </w:r>
            <w:r>
              <w:rPr>
                <w:sz w:val="19"/>
                <w:szCs w:val="19"/>
                <w:lang w:val="fr-CH"/>
              </w:rPr>
              <w:t>pas d’obligation</w:t>
            </w:r>
          </w:p>
        </w:tc>
        <w:tc>
          <w:tcPr>
            <w:tcW w:w="1701" w:type="dxa"/>
            <w:shd w:val="clear" w:color="auto" w:fill="F7CAAC" w:themeFill="accent2" w:themeFillTint="66"/>
          </w:tcPr>
          <w:p w14:paraId="7A3CA0EB" w14:textId="77777777" w:rsidR="00A75149" w:rsidRPr="00572D0C" w:rsidRDefault="00A75149" w:rsidP="000955B3">
            <w:pPr>
              <w:spacing w:before="40" w:after="40"/>
              <w:rPr>
                <w:sz w:val="19"/>
                <w:szCs w:val="19"/>
                <w:lang w:val="fr-CH"/>
              </w:rPr>
            </w:pPr>
          </w:p>
        </w:tc>
        <w:tc>
          <w:tcPr>
            <w:tcW w:w="4678" w:type="dxa"/>
            <w:shd w:val="clear" w:color="auto" w:fill="F7CAAC" w:themeFill="accent2" w:themeFillTint="66"/>
          </w:tcPr>
          <w:p w14:paraId="02F65CE6" w14:textId="77777777" w:rsidR="00A75149" w:rsidRPr="00572D0C" w:rsidRDefault="00A75149" w:rsidP="000955B3">
            <w:pPr>
              <w:spacing w:before="40" w:after="40"/>
              <w:rPr>
                <w:sz w:val="19"/>
                <w:szCs w:val="19"/>
                <w:lang w:val="fr-CH"/>
              </w:rPr>
            </w:pPr>
          </w:p>
        </w:tc>
      </w:tr>
      <w:tr w:rsidR="00A75149" w:rsidRPr="00572D0C" w14:paraId="687A04A1" w14:textId="77777777" w:rsidTr="00591374">
        <w:trPr>
          <w:jc w:val="center"/>
        </w:trPr>
        <w:tc>
          <w:tcPr>
            <w:tcW w:w="846" w:type="dxa"/>
            <w:shd w:val="clear" w:color="auto" w:fill="F7CAAC" w:themeFill="accent2" w:themeFillTint="66"/>
          </w:tcPr>
          <w:p w14:paraId="5320F446" w14:textId="37C11D19" w:rsidR="00A75149" w:rsidRPr="00572D0C" w:rsidRDefault="147A5F7B" w:rsidP="000955B3">
            <w:pPr>
              <w:spacing w:before="40" w:after="40"/>
              <w:rPr>
                <w:sz w:val="19"/>
                <w:szCs w:val="19"/>
                <w:lang w:val="fr-CH"/>
              </w:rPr>
            </w:pPr>
            <w:r w:rsidRPr="00572D0C">
              <w:rPr>
                <w:sz w:val="19"/>
                <w:szCs w:val="19"/>
                <w:lang w:val="fr-CH"/>
              </w:rPr>
              <w:t>AG</w:t>
            </w:r>
          </w:p>
        </w:tc>
        <w:tc>
          <w:tcPr>
            <w:tcW w:w="2273" w:type="dxa"/>
            <w:shd w:val="clear" w:color="auto" w:fill="F7CAAC" w:themeFill="accent2" w:themeFillTint="66"/>
          </w:tcPr>
          <w:p w14:paraId="3247F2A7" w14:textId="7463F849" w:rsidR="00A75149" w:rsidRPr="00572D0C" w:rsidRDefault="00C321C7" w:rsidP="000955B3">
            <w:pPr>
              <w:spacing w:before="40" w:after="40"/>
              <w:jc w:val="both"/>
              <w:rPr>
                <w:sz w:val="19"/>
                <w:szCs w:val="19"/>
                <w:lang w:val="fr-CH"/>
              </w:rPr>
            </w:pPr>
            <w:r w:rsidRPr="00572D0C">
              <w:rPr>
                <w:sz w:val="19"/>
                <w:szCs w:val="19"/>
                <w:lang w:val="fr-CH"/>
              </w:rPr>
              <w:t>N</w:t>
            </w:r>
            <w:r>
              <w:rPr>
                <w:sz w:val="19"/>
                <w:szCs w:val="19"/>
                <w:lang w:val="fr-CH"/>
              </w:rPr>
              <w:t>o</w:t>
            </w:r>
            <w:r w:rsidRPr="00572D0C">
              <w:rPr>
                <w:sz w:val="19"/>
                <w:szCs w:val="19"/>
                <w:lang w:val="fr-CH"/>
              </w:rPr>
              <w:t xml:space="preserve">n, </w:t>
            </w:r>
            <w:r>
              <w:rPr>
                <w:sz w:val="19"/>
                <w:szCs w:val="19"/>
                <w:lang w:val="fr-CH"/>
              </w:rPr>
              <w:t>pas d’obligation</w:t>
            </w:r>
          </w:p>
        </w:tc>
        <w:tc>
          <w:tcPr>
            <w:tcW w:w="1701" w:type="dxa"/>
            <w:shd w:val="clear" w:color="auto" w:fill="F7CAAC" w:themeFill="accent2" w:themeFillTint="66"/>
          </w:tcPr>
          <w:p w14:paraId="0D34C69D" w14:textId="77777777" w:rsidR="00A75149" w:rsidRPr="00572D0C" w:rsidRDefault="00A75149" w:rsidP="000955B3">
            <w:pPr>
              <w:spacing w:before="40" w:after="40"/>
              <w:rPr>
                <w:sz w:val="19"/>
                <w:szCs w:val="19"/>
                <w:lang w:val="fr-CH"/>
              </w:rPr>
            </w:pPr>
          </w:p>
        </w:tc>
        <w:tc>
          <w:tcPr>
            <w:tcW w:w="4678" w:type="dxa"/>
            <w:shd w:val="clear" w:color="auto" w:fill="F7CAAC" w:themeFill="accent2" w:themeFillTint="66"/>
          </w:tcPr>
          <w:p w14:paraId="3CB435A0" w14:textId="77777777" w:rsidR="00A75149" w:rsidRPr="00572D0C" w:rsidRDefault="00A75149" w:rsidP="000955B3">
            <w:pPr>
              <w:spacing w:before="40" w:after="40"/>
              <w:rPr>
                <w:sz w:val="19"/>
                <w:szCs w:val="19"/>
                <w:lang w:val="fr-CH"/>
              </w:rPr>
            </w:pPr>
          </w:p>
        </w:tc>
      </w:tr>
      <w:tr w:rsidR="00A75149" w:rsidRPr="00572D0C" w14:paraId="0D93C812" w14:textId="77777777" w:rsidTr="00591374">
        <w:trPr>
          <w:jc w:val="center"/>
        </w:trPr>
        <w:tc>
          <w:tcPr>
            <w:tcW w:w="846" w:type="dxa"/>
            <w:shd w:val="clear" w:color="auto" w:fill="F7CAAC" w:themeFill="accent2" w:themeFillTint="66"/>
          </w:tcPr>
          <w:p w14:paraId="2C107599" w14:textId="37C11D19" w:rsidR="00A75149" w:rsidRPr="00572D0C" w:rsidRDefault="147A5F7B" w:rsidP="000955B3">
            <w:pPr>
              <w:spacing w:before="40" w:after="40"/>
              <w:rPr>
                <w:sz w:val="19"/>
                <w:szCs w:val="19"/>
                <w:lang w:val="fr-CH"/>
              </w:rPr>
            </w:pPr>
            <w:r w:rsidRPr="00572D0C">
              <w:rPr>
                <w:sz w:val="19"/>
                <w:szCs w:val="19"/>
                <w:lang w:val="fr-CH"/>
              </w:rPr>
              <w:t>TG</w:t>
            </w:r>
          </w:p>
        </w:tc>
        <w:tc>
          <w:tcPr>
            <w:tcW w:w="2273" w:type="dxa"/>
            <w:shd w:val="clear" w:color="auto" w:fill="F7CAAC" w:themeFill="accent2" w:themeFillTint="66"/>
          </w:tcPr>
          <w:p w14:paraId="0E7C31A5" w14:textId="37B78279" w:rsidR="00A75149" w:rsidRPr="00572D0C" w:rsidRDefault="00C321C7" w:rsidP="000955B3">
            <w:pPr>
              <w:spacing w:before="40" w:after="40"/>
              <w:jc w:val="both"/>
              <w:rPr>
                <w:sz w:val="19"/>
                <w:szCs w:val="19"/>
                <w:lang w:val="fr-CH"/>
              </w:rPr>
            </w:pPr>
            <w:r w:rsidRPr="00572D0C">
              <w:rPr>
                <w:sz w:val="19"/>
                <w:szCs w:val="19"/>
                <w:lang w:val="fr-CH"/>
              </w:rPr>
              <w:t>N</w:t>
            </w:r>
            <w:r>
              <w:rPr>
                <w:sz w:val="19"/>
                <w:szCs w:val="19"/>
                <w:lang w:val="fr-CH"/>
              </w:rPr>
              <w:t>o</w:t>
            </w:r>
            <w:r w:rsidRPr="00572D0C">
              <w:rPr>
                <w:sz w:val="19"/>
                <w:szCs w:val="19"/>
                <w:lang w:val="fr-CH"/>
              </w:rPr>
              <w:t xml:space="preserve">n, </w:t>
            </w:r>
            <w:r>
              <w:rPr>
                <w:sz w:val="19"/>
                <w:szCs w:val="19"/>
                <w:lang w:val="fr-CH"/>
              </w:rPr>
              <w:t>pas d’obligation</w:t>
            </w:r>
          </w:p>
        </w:tc>
        <w:tc>
          <w:tcPr>
            <w:tcW w:w="1701" w:type="dxa"/>
            <w:shd w:val="clear" w:color="auto" w:fill="F7CAAC" w:themeFill="accent2" w:themeFillTint="66"/>
          </w:tcPr>
          <w:p w14:paraId="4D895039" w14:textId="77777777" w:rsidR="00A75149" w:rsidRPr="00572D0C" w:rsidRDefault="00A75149" w:rsidP="000955B3">
            <w:pPr>
              <w:spacing w:before="40" w:after="40"/>
              <w:rPr>
                <w:sz w:val="19"/>
                <w:szCs w:val="19"/>
                <w:lang w:val="fr-CH"/>
              </w:rPr>
            </w:pPr>
          </w:p>
        </w:tc>
        <w:tc>
          <w:tcPr>
            <w:tcW w:w="4678" w:type="dxa"/>
            <w:shd w:val="clear" w:color="auto" w:fill="F7CAAC" w:themeFill="accent2" w:themeFillTint="66"/>
          </w:tcPr>
          <w:p w14:paraId="27D766E9" w14:textId="77777777" w:rsidR="00A75149" w:rsidRPr="00572D0C" w:rsidRDefault="00A75149" w:rsidP="000955B3">
            <w:pPr>
              <w:spacing w:before="40" w:after="40"/>
              <w:rPr>
                <w:sz w:val="19"/>
                <w:szCs w:val="19"/>
                <w:lang w:val="fr-CH"/>
              </w:rPr>
            </w:pPr>
          </w:p>
        </w:tc>
      </w:tr>
      <w:tr w:rsidR="00A75149" w:rsidRPr="00572D0C" w14:paraId="17176197" w14:textId="77777777" w:rsidTr="00591374">
        <w:trPr>
          <w:jc w:val="center"/>
        </w:trPr>
        <w:tc>
          <w:tcPr>
            <w:tcW w:w="846" w:type="dxa"/>
            <w:shd w:val="clear" w:color="auto" w:fill="F7CAAC" w:themeFill="accent2" w:themeFillTint="66"/>
          </w:tcPr>
          <w:p w14:paraId="796F22B1" w14:textId="37C11D19" w:rsidR="00A75149" w:rsidRPr="00572D0C" w:rsidRDefault="147A5F7B" w:rsidP="000955B3">
            <w:pPr>
              <w:spacing w:before="40" w:after="40"/>
              <w:rPr>
                <w:sz w:val="19"/>
                <w:szCs w:val="19"/>
                <w:lang w:val="fr-CH"/>
              </w:rPr>
            </w:pPr>
            <w:r w:rsidRPr="00572D0C">
              <w:rPr>
                <w:sz w:val="19"/>
                <w:szCs w:val="19"/>
                <w:lang w:val="fr-CH"/>
              </w:rPr>
              <w:t>TI</w:t>
            </w:r>
          </w:p>
        </w:tc>
        <w:tc>
          <w:tcPr>
            <w:tcW w:w="2273" w:type="dxa"/>
            <w:shd w:val="clear" w:color="auto" w:fill="F7CAAC" w:themeFill="accent2" w:themeFillTint="66"/>
          </w:tcPr>
          <w:p w14:paraId="3792DD6F" w14:textId="4716C0C6" w:rsidR="00A75149" w:rsidRPr="00572D0C" w:rsidRDefault="00C321C7" w:rsidP="000955B3">
            <w:pPr>
              <w:spacing w:before="40" w:after="40"/>
              <w:jc w:val="both"/>
              <w:rPr>
                <w:sz w:val="19"/>
                <w:szCs w:val="19"/>
                <w:lang w:val="fr-CH"/>
              </w:rPr>
            </w:pPr>
            <w:r w:rsidRPr="00572D0C">
              <w:rPr>
                <w:sz w:val="19"/>
                <w:szCs w:val="19"/>
                <w:lang w:val="fr-CH"/>
              </w:rPr>
              <w:t>N</w:t>
            </w:r>
            <w:r>
              <w:rPr>
                <w:sz w:val="19"/>
                <w:szCs w:val="19"/>
                <w:lang w:val="fr-CH"/>
              </w:rPr>
              <w:t>o</w:t>
            </w:r>
            <w:r w:rsidRPr="00572D0C">
              <w:rPr>
                <w:sz w:val="19"/>
                <w:szCs w:val="19"/>
                <w:lang w:val="fr-CH"/>
              </w:rPr>
              <w:t xml:space="preserve">n, </w:t>
            </w:r>
            <w:r>
              <w:rPr>
                <w:sz w:val="19"/>
                <w:szCs w:val="19"/>
                <w:lang w:val="fr-CH"/>
              </w:rPr>
              <w:t>pas d’obligation</w:t>
            </w:r>
          </w:p>
        </w:tc>
        <w:tc>
          <w:tcPr>
            <w:tcW w:w="1701" w:type="dxa"/>
            <w:shd w:val="clear" w:color="auto" w:fill="F7CAAC" w:themeFill="accent2" w:themeFillTint="66"/>
          </w:tcPr>
          <w:p w14:paraId="1845ABFD" w14:textId="56DA4AB2" w:rsidR="00A75149" w:rsidRPr="00572D0C" w:rsidRDefault="00A75149" w:rsidP="000955B3">
            <w:pPr>
              <w:spacing w:before="40" w:after="40"/>
              <w:rPr>
                <w:sz w:val="19"/>
                <w:szCs w:val="19"/>
                <w:lang w:val="fr-CH"/>
              </w:rPr>
            </w:pPr>
          </w:p>
        </w:tc>
        <w:tc>
          <w:tcPr>
            <w:tcW w:w="4678" w:type="dxa"/>
            <w:shd w:val="clear" w:color="auto" w:fill="F7CAAC" w:themeFill="accent2" w:themeFillTint="66"/>
          </w:tcPr>
          <w:p w14:paraId="43E3D962" w14:textId="0A031BF5" w:rsidR="00A75149" w:rsidRPr="00572D0C" w:rsidRDefault="00A75149" w:rsidP="000955B3">
            <w:pPr>
              <w:spacing w:before="40" w:after="40"/>
              <w:rPr>
                <w:sz w:val="19"/>
                <w:szCs w:val="19"/>
                <w:lang w:val="fr-CH"/>
              </w:rPr>
            </w:pPr>
          </w:p>
        </w:tc>
      </w:tr>
      <w:tr w:rsidR="00A75149" w:rsidRPr="00572D0C" w14:paraId="1837A374" w14:textId="77777777" w:rsidTr="00591374">
        <w:trPr>
          <w:jc w:val="center"/>
        </w:trPr>
        <w:tc>
          <w:tcPr>
            <w:tcW w:w="846" w:type="dxa"/>
            <w:shd w:val="clear" w:color="auto" w:fill="F7CAAC" w:themeFill="accent2" w:themeFillTint="66"/>
          </w:tcPr>
          <w:p w14:paraId="7707A14A" w14:textId="37C11D19" w:rsidR="00A75149" w:rsidRPr="00572D0C" w:rsidRDefault="147A5F7B" w:rsidP="000955B3">
            <w:pPr>
              <w:spacing w:before="40" w:after="40"/>
              <w:rPr>
                <w:sz w:val="19"/>
                <w:szCs w:val="19"/>
                <w:lang w:val="fr-CH"/>
              </w:rPr>
            </w:pPr>
            <w:r w:rsidRPr="00572D0C">
              <w:rPr>
                <w:sz w:val="19"/>
                <w:szCs w:val="19"/>
                <w:lang w:val="fr-CH"/>
              </w:rPr>
              <w:t>VD</w:t>
            </w:r>
          </w:p>
        </w:tc>
        <w:tc>
          <w:tcPr>
            <w:tcW w:w="2273" w:type="dxa"/>
            <w:shd w:val="clear" w:color="auto" w:fill="F7CAAC" w:themeFill="accent2" w:themeFillTint="66"/>
          </w:tcPr>
          <w:p w14:paraId="7AC38000" w14:textId="24005EDF" w:rsidR="00A75149" w:rsidRPr="00572D0C" w:rsidRDefault="00C321C7" w:rsidP="000955B3">
            <w:pPr>
              <w:spacing w:before="40" w:after="40"/>
              <w:jc w:val="both"/>
              <w:rPr>
                <w:sz w:val="19"/>
                <w:szCs w:val="19"/>
                <w:lang w:val="fr-CH"/>
              </w:rPr>
            </w:pPr>
            <w:r w:rsidRPr="00572D0C">
              <w:rPr>
                <w:sz w:val="19"/>
                <w:szCs w:val="19"/>
                <w:lang w:val="fr-CH"/>
              </w:rPr>
              <w:t>N</w:t>
            </w:r>
            <w:r>
              <w:rPr>
                <w:sz w:val="19"/>
                <w:szCs w:val="19"/>
                <w:lang w:val="fr-CH"/>
              </w:rPr>
              <w:t>o</w:t>
            </w:r>
            <w:r w:rsidRPr="00572D0C">
              <w:rPr>
                <w:sz w:val="19"/>
                <w:szCs w:val="19"/>
                <w:lang w:val="fr-CH"/>
              </w:rPr>
              <w:t xml:space="preserve">n, </w:t>
            </w:r>
            <w:r>
              <w:rPr>
                <w:sz w:val="19"/>
                <w:szCs w:val="19"/>
                <w:lang w:val="fr-CH"/>
              </w:rPr>
              <w:t>pas d’obligation</w:t>
            </w:r>
          </w:p>
        </w:tc>
        <w:tc>
          <w:tcPr>
            <w:tcW w:w="1701" w:type="dxa"/>
            <w:shd w:val="clear" w:color="auto" w:fill="F7CAAC" w:themeFill="accent2" w:themeFillTint="66"/>
          </w:tcPr>
          <w:p w14:paraId="39128466" w14:textId="4334C7A0" w:rsidR="00997702" w:rsidRPr="00572D0C" w:rsidRDefault="00997702" w:rsidP="000955B3">
            <w:pPr>
              <w:spacing w:before="40" w:after="40"/>
              <w:rPr>
                <w:sz w:val="19"/>
                <w:szCs w:val="19"/>
                <w:lang w:val="fr-CH"/>
              </w:rPr>
            </w:pPr>
          </w:p>
        </w:tc>
        <w:tc>
          <w:tcPr>
            <w:tcW w:w="4678" w:type="dxa"/>
            <w:shd w:val="clear" w:color="auto" w:fill="F7CAAC" w:themeFill="accent2" w:themeFillTint="66"/>
          </w:tcPr>
          <w:p w14:paraId="166E1566" w14:textId="77777777" w:rsidR="00A75149" w:rsidRPr="00572D0C" w:rsidRDefault="00A75149" w:rsidP="000955B3">
            <w:pPr>
              <w:spacing w:before="40" w:after="40"/>
              <w:rPr>
                <w:sz w:val="19"/>
                <w:szCs w:val="19"/>
                <w:lang w:val="fr-CH"/>
              </w:rPr>
            </w:pPr>
          </w:p>
        </w:tc>
      </w:tr>
      <w:tr w:rsidR="00A75149" w:rsidRPr="003F1EDB" w14:paraId="128751AC" w14:textId="77777777" w:rsidTr="00591374">
        <w:trPr>
          <w:jc w:val="center"/>
        </w:trPr>
        <w:tc>
          <w:tcPr>
            <w:tcW w:w="846" w:type="dxa"/>
            <w:shd w:val="clear" w:color="auto" w:fill="C5E0B3" w:themeFill="accent6" w:themeFillTint="66"/>
          </w:tcPr>
          <w:p w14:paraId="298651DD" w14:textId="22CF9AA6" w:rsidR="00A75149" w:rsidRPr="00572D0C" w:rsidRDefault="147A5F7B" w:rsidP="000955B3">
            <w:pPr>
              <w:spacing w:before="40" w:after="40"/>
              <w:rPr>
                <w:sz w:val="19"/>
                <w:szCs w:val="19"/>
                <w:lang w:val="fr-CH"/>
              </w:rPr>
            </w:pPr>
            <w:r w:rsidRPr="00572D0C">
              <w:rPr>
                <w:sz w:val="19"/>
                <w:szCs w:val="19"/>
                <w:lang w:val="fr-CH"/>
              </w:rPr>
              <w:t>VS</w:t>
            </w:r>
          </w:p>
        </w:tc>
        <w:tc>
          <w:tcPr>
            <w:tcW w:w="2273" w:type="dxa"/>
            <w:shd w:val="clear" w:color="auto" w:fill="C5E0B3" w:themeFill="accent6" w:themeFillTint="66"/>
          </w:tcPr>
          <w:p w14:paraId="20FF5205" w14:textId="2880136B" w:rsidR="00A75149" w:rsidRPr="00572D0C" w:rsidRDefault="004D0265" w:rsidP="000955B3">
            <w:pPr>
              <w:spacing w:before="40" w:after="40"/>
              <w:jc w:val="both"/>
              <w:rPr>
                <w:sz w:val="19"/>
                <w:szCs w:val="19"/>
                <w:lang w:val="fr-CH"/>
              </w:rPr>
            </w:pPr>
            <w:r>
              <w:rPr>
                <w:sz w:val="19"/>
                <w:szCs w:val="19"/>
                <w:lang w:val="fr-CH"/>
              </w:rPr>
              <w:t>Oui</w:t>
            </w:r>
          </w:p>
        </w:tc>
        <w:tc>
          <w:tcPr>
            <w:tcW w:w="1701" w:type="dxa"/>
            <w:shd w:val="clear" w:color="auto" w:fill="C5E0B3" w:themeFill="accent6" w:themeFillTint="66"/>
          </w:tcPr>
          <w:p w14:paraId="7DFA4F45" w14:textId="46391487" w:rsidR="00A75149" w:rsidRPr="00572D0C" w:rsidRDefault="00C321C7" w:rsidP="000955B3">
            <w:pPr>
              <w:spacing w:before="40" w:after="40"/>
              <w:rPr>
                <w:sz w:val="19"/>
                <w:szCs w:val="19"/>
                <w:lang w:val="fr-CH"/>
              </w:rPr>
            </w:pPr>
            <w:r>
              <w:rPr>
                <w:sz w:val="19"/>
                <w:szCs w:val="19"/>
                <w:lang w:val="fr-CH"/>
              </w:rPr>
              <w:t>Plan directeur cantonal</w:t>
            </w:r>
            <w:r w:rsidR="147A5F7B" w:rsidRPr="00572D0C">
              <w:rPr>
                <w:sz w:val="19"/>
                <w:szCs w:val="19"/>
                <w:lang w:val="fr-CH"/>
              </w:rPr>
              <w:t xml:space="preserve"> 2017</w:t>
            </w:r>
          </w:p>
        </w:tc>
        <w:tc>
          <w:tcPr>
            <w:tcW w:w="4678" w:type="dxa"/>
            <w:shd w:val="clear" w:color="auto" w:fill="C5E0B3" w:themeFill="accent6" w:themeFillTint="66"/>
          </w:tcPr>
          <w:p w14:paraId="06C018E2" w14:textId="240D518D" w:rsidR="00A75149" w:rsidRPr="00572D0C" w:rsidRDefault="00241104" w:rsidP="000955B3">
            <w:pPr>
              <w:spacing w:before="40" w:after="40"/>
              <w:rPr>
                <w:sz w:val="19"/>
                <w:szCs w:val="19"/>
                <w:lang w:val="fr-CH"/>
              </w:rPr>
            </w:pPr>
            <w:r>
              <w:rPr>
                <w:sz w:val="19"/>
                <w:szCs w:val="19"/>
                <w:lang w:val="fr-CH"/>
              </w:rPr>
              <w:t>C</w:t>
            </w:r>
            <w:r w:rsidR="147A5F7B" w:rsidRPr="00572D0C">
              <w:rPr>
                <w:sz w:val="19"/>
                <w:szCs w:val="19"/>
                <w:lang w:val="fr-CH"/>
              </w:rPr>
              <w:t xml:space="preserve">ompensation </w:t>
            </w:r>
            <w:r>
              <w:rPr>
                <w:sz w:val="19"/>
                <w:szCs w:val="19"/>
                <w:lang w:val="fr-CH"/>
              </w:rPr>
              <w:t>de toutes les SDA sollicitées</w:t>
            </w:r>
          </w:p>
        </w:tc>
      </w:tr>
      <w:tr w:rsidR="00A75149" w:rsidRPr="008B563A" w14:paraId="6EA666CE" w14:textId="77777777" w:rsidTr="00591374">
        <w:trPr>
          <w:jc w:val="center"/>
        </w:trPr>
        <w:tc>
          <w:tcPr>
            <w:tcW w:w="846" w:type="dxa"/>
            <w:shd w:val="clear" w:color="auto" w:fill="C5E0B3" w:themeFill="accent6" w:themeFillTint="66"/>
          </w:tcPr>
          <w:p w14:paraId="6C54F678" w14:textId="22CF9AA6" w:rsidR="00A75149" w:rsidRPr="00572D0C" w:rsidRDefault="147A5F7B" w:rsidP="000955B3">
            <w:pPr>
              <w:spacing w:before="40" w:after="40"/>
              <w:rPr>
                <w:sz w:val="19"/>
                <w:szCs w:val="19"/>
                <w:lang w:val="fr-CH"/>
              </w:rPr>
            </w:pPr>
            <w:r w:rsidRPr="00572D0C">
              <w:rPr>
                <w:sz w:val="19"/>
                <w:szCs w:val="19"/>
                <w:lang w:val="fr-CH"/>
              </w:rPr>
              <w:t>NE</w:t>
            </w:r>
          </w:p>
        </w:tc>
        <w:tc>
          <w:tcPr>
            <w:tcW w:w="2273" w:type="dxa"/>
            <w:shd w:val="clear" w:color="auto" w:fill="C5E0B3" w:themeFill="accent6" w:themeFillTint="66"/>
          </w:tcPr>
          <w:p w14:paraId="12804246" w14:textId="42D41ECD" w:rsidR="00A75149" w:rsidRPr="00572D0C" w:rsidRDefault="004D0265" w:rsidP="000955B3">
            <w:pPr>
              <w:spacing w:before="40" w:after="40"/>
              <w:jc w:val="both"/>
              <w:rPr>
                <w:sz w:val="19"/>
                <w:szCs w:val="19"/>
                <w:lang w:val="fr-CH"/>
              </w:rPr>
            </w:pPr>
            <w:r>
              <w:rPr>
                <w:sz w:val="19"/>
                <w:szCs w:val="19"/>
                <w:lang w:val="fr-CH"/>
              </w:rPr>
              <w:t>Oui</w:t>
            </w:r>
          </w:p>
        </w:tc>
        <w:tc>
          <w:tcPr>
            <w:tcW w:w="1701" w:type="dxa"/>
            <w:shd w:val="clear" w:color="auto" w:fill="C5E0B3" w:themeFill="accent6" w:themeFillTint="66"/>
          </w:tcPr>
          <w:p w14:paraId="5D7B2177" w14:textId="72CA0135" w:rsidR="00A75149" w:rsidRPr="00572D0C" w:rsidRDefault="00C321C7" w:rsidP="000955B3">
            <w:pPr>
              <w:spacing w:before="40" w:after="40"/>
              <w:rPr>
                <w:sz w:val="19"/>
                <w:szCs w:val="19"/>
                <w:lang w:val="fr-CH"/>
              </w:rPr>
            </w:pPr>
            <w:r>
              <w:rPr>
                <w:sz w:val="19"/>
                <w:szCs w:val="19"/>
                <w:lang w:val="fr-CH"/>
              </w:rPr>
              <w:t>Plan directeur cantonal</w:t>
            </w:r>
            <w:r w:rsidR="00D4107D" w:rsidRPr="00572D0C">
              <w:rPr>
                <w:sz w:val="19"/>
                <w:szCs w:val="19"/>
                <w:lang w:val="fr-CH"/>
              </w:rPr>
              <w:t xml:space="preserve"> 2013</w:t>
            </w:r>
          </w:p>
        </w:tc>
        <w:tc>
          <w:tcPr>
            <w:tcW w:w="4678" w:type="dxa"/>
            <w:shd w:val="clear" w:color="auto" w:fill="C5E0B3" w:themeFill="accent6" w:themeFillTint="66"/>
          </w:tcPr>
          <w:p w14:paraId="57BFA83F" w14:textId="72689208" w:rsidR="00A75149" w:rsidRPr="00572D0C" w:rsidRDefault="00AB7A38" w:rsidP="008D3375">
            <w:pPr>
              <w:spacing w:before="40" w:after="40"/>
              <w:rPr>
                <w:sz w:val="19"/>
                <w:szCs w:val="19"/>
                <w:lang w:val="fr-CH"/>
              </w:rPr>
            </w:pPr>
            <w:r>
              <w:rPr>
                <w:sz w:val="19"/>
                <w:szCs w:val="19"/>
                <w:lang w:val="fr-CH"/>
              </w:rPr>
              <w:t>En présence d’</w:t>
            </w:r>
            <w:r w:rsidR="00241104">
              <w:rPr>
                <w:sz w:val="19"/>
                <w:szCs w:val="19"/>
                <w:lang w:val="fr-CH"/>
              </w:rPr>
              <w:t>intérêts cantonaux prépondérants</w:t>
            </w:r>
            <w:r>
              <w:rPr>
                <w:sz w:val="19"/>
                <w:szCs w:val="19"/>
                <w:lang w:val="fr-CH"/>
              </w:rPr>
              <w:t xml:space="preserve">, le canton apprécie s’il y a lieu de prévoir une compensation et, dans l’affirmative, fixe à hauteur de combien il y a lieu de compenser. </w:t>
            </w:r>
            <w:r w:rsidR="00241104">
              <w:rPr>
                <w:sz w:val="19"/>
                <w:szCs w:val="19"/>
                <w:lang w:val="fr-CH"/>
              </w:rPr>
              <w:t xml:space="preserve">Sinon, </w:t>
            </w:r>
            <w:r>
              <w:rPr>
                <w:sz w:val="19"/>
                <w:szCs w:val="19"/>
                <w:lang w:val="fr-CH"/>
              </w:rPr>
              <w:t>toute emprise doit être entièrement compensée</w:t>
            </w:r>
            <w:r w:rsidR="00241104">
              <w:rPr>
                <w:sz w:val="19"/>
                <w:szCs w:val="19"/>
                <w:lang w:val="fr-CH"/>
              </w:rPr>
              <w:t xml:space="preserve"> (</w:t>
            </w:r>
            <w:r w:rsidR="147A5F7B" w:rsidRPr="00572D0C">
              <w:rPr>
                <w:sz w:val="19"/>
                <w:szCs w:val="19"/>
                <w:lang w:val="fr-CH"/>
              </w:rPr>
              <w:t>1:1</w:t>
            </w:r>
            <w:r w:rsidR="00241104">
              <w:rPr>
                <w:sz w:val="19"/>
                <w:szCs w:val="19"/>
                <w:lang w:val="fr-CH"/>
              </w:rPr>
              <w:t>)</w:t>
            </w:r>
          </w:p>
        </w:tc>
      </w:tr>
      <w:tr w:rsidR="00A75149" w:rsidRPr="00572D0C" w14:paraId="39E19ABF" w14:textId="77777777" w:rsidTr="00591374">
        <w:trPr>
          <w:jc w:val="center"/>
        </w:trPr>
        <w:tc>
          <w:tcPr>
            <w:tcW w:w="846" w:type="dxa"/>
            <w:shd w:val="clear" w:color="auto" w:fill="F7CAAC" w:themeFill="accent2" w:themeFillTint="66"/>
          </w:tcPr>
          <w:p w14:paraId="00C2D896" w14:textId="22CF9AA6" w:rsidR="00A75149" w:rsidRPr="00572D0C" w:rsidRDefault="147A5F7B" w:rsidP="000955B3">
            <w:pPr>
              <w:spacing w:before="40" w:after="40"/>
              <w:rPr>
                <w:sz w:val="19"/>
                <w:szCs w:val="19"/>
                <w:lang w:val="fr-CH"/>
              </w:rPr>
            </w:pPr>
            <w:r w:rsidRPr="00572D0C">
              <w:rPr>
                <w:sz w:val="19"/>
                <w:szCs w:val="19"/>
                <w:lang w:val="fr-CH"/>
              </w:rPr>
              <w:t>GE</w:t>
            </w:r>
          </w:p>
        </w:tc>
        <w:tc>
          <w:tcPr>
            <w:tcW w:w="2273" w:type="dxa"/>
            <w:shd w:val="clear" w:color="auto" w:fill="F7CAAC" w:themeFill="accent2" w:themeFillTint="66"/>
          </w:tcPr>
          <w:p w14:paraId="4DFBADC3" w14:textId="038AACF8" w:rsidR="00A75149" w:rsidRPr="00572D0C" w:rsidRDefault="00C321C7" w:rsidP="000955B3">
            <w:pPr>
              <w:spacing w:before="40" w:after="40"/>
              <w:jc w:val="both"/>
              <w:rPr>
                <w:sz w:val="19"/>
                <w:szCs w:val="19"/>
                <w:lang w:val="fr-CH"/>
              </w:rPr>
            </w:pPr>
            <w:r w:rsidRPr="00572D0C">
              <w:rPr>
                <w:sz w:val="19"/>
                <w:szCs w:val="19"/>
                <w:lang w:val="fr-CH"/>
              </w:rPr>
              <w:t>N</w:t>
            </w:r>
            <w:r>
              <w:rPr>
                <w:sz w:val="19"/>
                <w:szCs w:val="19"/>
                <w:lang w:val="fr-CH"/>
              </w:rPr>
              <w:t>o</w:t>
            </w:r>
            <w:r w:rsidRPr="00572D0C">
              <w:rPr>
                <w:sz w:val="19"/>
                <w:szCs w:val="19"/>
                <w:lang w:val="fr-CH"/>
              </w:rPr>
              <w:t xml:space="preserve">n, </w:t>
            </w:r>
            <w:r>
              <w:rPr>
                <w:sz w:val="19"/>
                <w:szCs w:val="19"/>
                <w:lang w:val="fr-CH"/>
              </w:rPr>
              <w:t>pas d’obligation</w:t>
            </w:r>
          </w:p>
        </w:tc>
        <w:tc>
          <w:tcPr>
            <w:tcW w:w="1701" w:type="dxa"/>
            <w:shd w:val="clear" w:color="auto" w:fill="F7CAAC" w:themeFill="accent2" w:themeFillTint="66"/>
          </w:tcPr>
          <w:p w14:paraId="4B45DF51" w14:textId="77777777" w:rsidR="00A75149" w:rsidRPr="00572D0C" w:rsidRDefault="00A75149" w:rsidP="000955B3">
            <w:pPr>
              <w:spacing w:before="40" w:after="40"/>
              <w:rPr>
                <w:sz w:val="19"/>
                <w:szCs w:val="19"/>
                <w:lang w:val="fr-CH"/>
              </w:rPr>
            </w:pPr>
          </w:p>
        </w:tc>
        <w:tc>
          <w:tcPr>
            <w:tcW w:w="4678" w:type="dxa"/>
            <w:shd w:val="clear" w:color="auto" w:fill="F7CAAC" w:themeFill="accent2" w:themeFillTint="66"/>
          </w:tcPr>
          <w:p w14:paraId="529504AF" w14:textId="77777777" w:rsidR="00A75149" w:rsidRPr="00572D0C" w:rsidRDefault="00A75149" w:rsidP="000955B3">
            <w:pPr>
              <w:spacing w:before="40" w:after="40"/>
              <w:rPr>
                <w:sz w:val="19"/>
                <w:szCs w:val="19"/>
                <w:lang w:val="fr-CH"/>
              </w:rPr>
            </w:pPr>
          </w:p>
        </w:tc>
      </w:tr>
      <w:tr w:rsidR="00A75149" w:rsidRPr="00572D0C" w14:paraId="7DB397FF" w14:textId="77777777" w:rsidTr="00591374">
        <w:trPr>
          <w:jc w:val="center"/>
        </w:trPr>
        <w:tc>
          <w:tcPr>
            <w:tcW w:w="846" w:type="dxa"/>
            <w:shd w:val="clear" w:color="auto" w:fill="F7CAAC" w:themeFill="accent2" w:themeFillTint="66"/>
          </w:tcPr>
          <w:p w14:paraId="1EFA5DD1" w14:textId="22CF9AA6" w:rsidR="00A75149" w:rsidRPr="00572D0C" w:rsidRDefault="147A5F7B" w:rsidP="000955B3">
            <w:pPr>
              <w:spacing w:before="40" w:after="40"/>
              <w:rPr>
                <w:sz w:val="19"/>
                <w:szCs w:val="19"/>
                <w:lang w:val="fr-CH"/>
              </w:rPr>
            </w:pPr>
            <w:r w:rsidRPr="00572D0C">
              <w:rPr>
                <w:sz w:val="19"/>
                <w:szCs w:val="19"/>
                <w:lang w:val="fr-CH"/>
              </w:rPr>
              <w:t>JU</w:t>
            </w:r>
          </w:p>
        </w:tc>
        <w:tc>
          <w:tcPr>
            <w:tcW w:w="2273" w:type="dxa"/>
            <w:shd w:val="clear" w:color="auto" w:fill="F7CAAC" w:themeFill="accent2" w:themeFillTint="66"/>
          </w:tcPr>
          <w:p w14:paraId="05EDD8E5" w14:textId="5E2D7BC1" w:rsidR="00A75149" w:rsidRPr="00572D0C" w:rsidRDefault="00C321C7" w:rsidP="000955B3">
            <w:pPr>
              <w:spacing w:before="40" w:after="40"/>
              <w:jc w:val="both"/>
              <w:rPr>
                <w:sz w:val="19"/>
                <w:szCs w:val="19"/>
                <w:lang w:val="fr-CH"/>
              </w:rPr>
            </w:pPr>
            <w:r w:rsidRPr="00572D0C">
              <w:rPr>
                <w:sz w:val="19"/>
                <w:szCs w:val="19"/>
                <w:lang w:val="fr-CH"/>
              </w:rPr>
              <w:t>N</w:t>
            </w:r>
            <w:r>
              <w:rPr>
                <w:sz w:val="19"/>
                <w:szCs w:val="19"/>
                <w:lang w:val="fr-CH"/>
              </w:rPr>
              <w:t>o</w:t>
            </w:r>
            <w:r w:rsidRPr="00572D0C">
              <w:rPr>
                <w:sz w:val="19"/>
                <w:szCs w:val="19"/>
                <w:lang w:val="fr-CH"/>
              </w:rPr>
              <w:t xml:space="preserve">n, </w:t>
            </w:r>
            <w:r>
              <w:rPr>
                <w:sz w:val="19"/>
                <w:szCs w:val="19"/>
                <w:lang w:val="fr-CH"/>
              </w:rPr>
              <w:t>pas d’obligation</w:t>
            </w:r>
          </w:p>
        </w:tc>
        <w:tc>
          <w:tcPr>
            <w:tcW w:w="1701" w:type="dxa"/>
            <w:shd w:val="clear" w:color="auto" w:fill="F7CAAC" w:themeFill="accent2" w:themeFillTint="66"/>
          </w:tcPr>
          <w:p w14:paraId="10A684FD" w14:textId="77777777" w:rsidR="00A75149" w:rsidRPr="00572D0C" w:rsidRDefault="00A75149" w:rsidP="000955B3">
            <w:pPr>
              <w:spacing w:before="40" w:after="40"/>
              <w:rPr>
                <w:sz w:val="19"/>
                <w:szCs w:val="19"/>
                <w:lang w:val="fr-CH"/>
              </w:rPr>
            </w:pPr>
          </w:p>
        </w:tc>
        <w:tc>
          <w:tcPr>
            <w:tcW w:w="4678" w:type="dxa"/>
            <w:shd w:val="clear" w:color="auto" w:fill="F7CAAC" w:themeFill="accent2" w:themeFillTint="66"/>
          </w:tcPr>
          <w:p w14:paraId="5F488F70" w14:textId="77777777" w:rsidR="00A75149" w:rsidRPr="00572D0C" w:rsidRDefault="00A75149" w:rsidP="000955B3">
            <w:pPr>
              <w:spacing w:before="40" w:after="40"/>
              <w:rPr>
                <w:sz w:val="19"/>
                <w:szCs w:val="19"/>
                <w:lang w:val="fr-CH"/>
              </w:rPr>
            </w:pPr>
          </w:p>
        </w:tc>
      </w:tr>
    </w:tbl>
    <w:p w14:paraId="07064557" w14:textId="15522E5A" w:rsidR="00A75149" w:rsidRPr="00572D0C" w:rsidRDefault="00A75149" w:rsidP="00A75149">
      <w:pPr>
        <w:rPr>
          <w:b/>
          <w:u w:val="single"/>
          <w:lang w:val="fr-CH"/>
        </w:rPr>
      </w:pPr>
    </w:p>
    <w:p w14:paraId="46DC9581" w14:textId="118B115D" w:rsidR="00ED4FE4" w:rsidRPr="00572D0C" w:rsidRDefault="003A5950" w:rsidP="00ED4FE4">
      <w:pPr>
        <w:pStyle w:val="Listenabsatz"/>
        <w:numPr>
          <w:ilvl w:val="0"/>
          <w:numId w:val="29"/>
        </w:numPr>
        <w:shd w:val="clear" w:color="auto" w:fill="D9D9D9" w:themeFill="background1" w:themeFillShade="D9"/>
        <w:spacing w:before="240"/>
        <w:ind w:left="426" w:hanging="426"/>
        <w:rPr>
          <w:b/>
          <w:bCs/>
          <w:i w:val="0"/>
          <w:lang w:val="fr-CH"/>
        </w:rPr>
      </w:pPr>
      <w:bookmarkStart w:id="112" w:name="_Ref527035016"/>
      <w:r>
        <w:rPr>
          <w:b/>
          <w:bCs/>
          <w:i w:val="0"/>
          <w:lang w:val="fr-CH"/>
        </w:rPr>
        <w:t>Chaque c</w:t>
      </w:r>
      <w:r w:rsidR="00ED4FE4" w:rsidRPr="00572D0C">
        <w:rPr>
          <w:b/>
          <w:bCs/>
          <w:i w:val="0"/>
          <w:lang w:val="fr-CH"/>
        </w:rPr>
        <w:t xml:space="preserve">anton </w:t>
      </w:r>
      <w:r>
        <w:rPr>
          <w:b/>
          <w:bCs/>
          <w:i w:val="0"/>
          <w:lang w:val="fr-CH"/>
        </w:rPr>
        <w:t>peut créer un f</w:t>
      </w:r>
      <w:r w:rsidR="00ED4FE4" w:rsidRPr="00572D0C">
        <w:rPr>
          <w:b/>
          <w:bCs/>
          <w:i w:val="0"/>
          <w:lang w:val="fr-CH"/>
        </w:rPr>
        <w:t xml:space="preserve">onds </w:t>
      </w:r>
      <w:r w:rsidR="00722D87">
        <w:rPr>
          <w:b/>
          <w:bCs/>
          <w:i w:val="0"/>
          <w:lang w:val="fr-CH"/>
        </w:rPr>
        <w:t xml:space="preserve">SDA sur lequel peuvent être versées des indemnités </w:t>
      </w:r>
      <w:r w:rsidR="00FF1133">
        <w:rPr>
          <w:b/>
          <w:bCs/>
          <w:i w:val="0"/>
          <w:lang w:val="fr-CH"/>
        </w:rPr>
        <w:t>dépendant de</w:t>
      </w:r>
      <w:r w:rsidR="00722D87">
        <w:rPr>
          <w:b/>
          <w:bCs/>
          <w:i w:val="0"/>
          <w:lang w:val="fr-CH"/>
        </w:rPr>
        <w:t xml:space="preserve"> la surface de SDA sollicitée</w:t>
      </w:r>
      <w:r w:rsidR="00ED4FE4" w:rsidRPr="00572D0C">
        <w:rPr>
          <w:b/>
          <w:bCs/>
          <w:i w:val="0"/>
          <w:lang w:val="fr-CH"/>
        </w:rPr>
        <w:t>.</w:t>
      </w:r>
      <w:bookmarkEnd w:id="112"/>
    </w:p>
    <w:p w14:paraId="46353687" w14:textId="53FC675B" w:rsidR="00A75149" w:rsidRPr="00572D0C" w:rsidRDefault="00FA2B89" w:rsidP="00A75149">
      <w:pPr>
        <w:rPr>
          <w:lang w:val="fr-CH"/>
        </w:rPr>
      </w:pPr>
      <w:r>
        <w:rPr>
          <w:lang w:val="fr-CH"/>
        </w:rPr>
        <w:t>Même lorsqu’il est possible d’alimenter un fonds SDA, tout projet d</w:t>
      </w:r>
      <w:r w:rsidR="001D363E">
        <w:rPr>
          <w:lang w:val="fr-CH"/>
        </w:rPr>
        <w:t>’emprise sur une</w:t>
      </w:r>
      <w:r>
        <w:rPr>
          <w:lang w:val="fr-CH"/>
        </w:rPr>
        <w:t xml:space="preserve"> SDA doit faire l’objet d’une pesée des intérêts en présence et </w:t>
      </w:r>
      <w:r w:rsidR="001D363E">
        <w:rPr>
          <w:lang w:val="fr-CH"/>
        </w:rPr>
        <w:t>d’</w:t>
      </w:r>
      <w:r>
        <w:rPr>
          <w:lang w:val="fr-CH"/>
        </w:rPr>
        <w:t>un contrôle du respect de toutes les conditions légales</w:t>
      </w:r>
      <w:r w:rsidR="197C7369" w:rsidRPr="00572D0C">
        <w:rPr>
          <w:lang w:val="fr-CH"/>
        </w:rPr>
        <w:t xml:space="preserve">. </w:t>
      </w:r>
    </w:p>
    <w:p w14:paraId="0CBB2A62" w14:textId="2E8BA71A" w:rsidR="00A75149" w:rsidRPr="00572D0C" w:rsidRDefault="00FA2B89" w:rsidP="00A75149">
      <w:pPr>
        <w:rPr>
          <w:lang w:val="fr-CH"/>
        </w:rPr>
      </w:pPr>
      <w:r>
        <w:rPr>
          <w:lang w:val="fr-CH"/>
        </w:rPr>
        <w:t xml:space="preserve">Les versements peuvent compenser </w:t>
      </w:r>
      <w:r w:rsidR="00E40F80">
        <w:rPr>
          <w:lang w:val="fr-CH"/>
        </w:rPr>
        <w:t xml:space="preserve">tant </w:t>
      </w:r>
      <w:r>
        <w:rPr>
          <w:lang w:val="fr-CH"/>
        </w:rPr>
        <w:t>des projets fédéraux que des projets cantonaux</w:t>
      </w:r>
      <w:r w:rsidR="197C7369" w:rsidRPr="00572D0C">
        <w:rPr>
          <w:lang w:val="fr-CH"/>
        </w:rPr>
        <w:t>.</w:t>
      </w:r>
    </w:p>
    <w:p w14:paraId="2393F0EE" w14:textId="3FFB9E14" w:rsidR="00A75149" w:rsidRPr="00572D0C" w:rsidRDefault="00FA2B89" w:rsidP="00A75149">
      <w:pPr>
        <w:rPr>
          <w:lang w:val="fr-CH"/>
        </w:rPr>
      </w:pPr>
      <w:r>
        <w:rPr>
          <w:lang w:val="fr-CH"/>
        </w:rPr>
        <w:t xml:space="preserve">L’alimentation du fonds en lieu et place d’une compensation n’est pas possible lorsque le contingent cantonal est </w:t>
      </w:r>
      <w:r w:rsidR="00E40F80">
        <w:rPr>
          <w:lang w:val="fr-CH"/>
        </w:rPr>
        <w:t xml:space="preserve">encore </w:t>
      </w:r>
      <w:r>
        <w:rPr>
          <w:lang w:val="fr-CH"/>
        </w:rPr>
        <w:t>tout juste respecté ou qu’il n’est plus respecté.</w:t>
      </w:r>
      <w:r w:rsidR="006163FC">
        <w:rPr>
          <w:lang w:val="fr-CH"/>
        </w:rPr>
        <w:t xml:space="preserve"> L’alimentation du fonds n’est en ce sens possible que si le canton dispose encore de suffisamment de SDA.</w:t>
      </w:r>
    </w:p>
    <w:p w14:paraId="563D6758" w14:textId="4A14036F" w:rsidR="009109BA" w:rsidRPr="00572D0C" w:rsidRDefault="005D772A" w:rsidP="009109BA">
      <w:pPr>
        <w:rPr>
          <w:lang w:val="fr-CH"/>
        </w:rPr>
      </w:pPr>
      <w:r>
        <w:rPr>
          <w:lang w:val="fr-CH"/>
        </w:rPr>
        <w:t xml:space="preserve">La base </w:t>
      </w:r>
      <w:r w:rsidR="00E40F80">
        <w:rPr>
          <w:lang w:val="fr-CH"/>
        </w:rPr>
        <w:t xml:space="preserve">légale </w:t>
      </w:r>
      <w:r>
        <w:rPr>
          <w:lang w:val="fr-CH"/>
        </w:rPr>
        <w:t xml:space="preserve">du fonds doit garantir que les fonds versés à titre de compensation auront une affectation obligatoire, et seront </w:t>
      </w:r>
      <w:r w:rsidR="001D363E">
        <w:rPr>
          <w:lang w:val="fr-CH"/>
        </w:rPr>
        <w:t>destinés</w:t>
      </w:r>
      <w:r>
        <w:rPr>
          <w:lang w:val="fr-CH"/>
        </w:rPr>
        <w:t xml:space="preserve"> par ex. à des mesures de </w:t>
      </w:r>
      <w:r w:rsidR="005F61FD">
        <w:rPr>
          <w:lang w:val="fr-CH"/>
        </w:rPr>
        <w:t xml:space="preserve">revalorisation </w:t>
      </w:r>
      <w:r>
        <w:rPr>
          <w:lang w:val="fr-CH"/>
        </w:rPr>
        <w:t xml:space="preserve">ou de </w:t>
      </w:r>
      <w:r w:rsidR="005F61FD">
        <w:rPr>
          <w:lang w:val="fr-CH"/>
        </w:rPr>
        <w:t>réhabilitation</w:t>
      </w:r>
      <w:r>
        <w:rPr>
          <w:lang w:val="fr-CH"/>
        </w:rPr>
        <w:t xml:space="preserve"> des sols</w:t>
      </w:r>
      <w:r w:rsidR="197C7369" w:rsidRPr="00572D0C">
        <w:rPr>
          <w:lang w:val="fr-CH"/>
        </w:rPr>
        <w:t xml:space="preserve">. </w:t>
      </w:r>
      <w:r>
        <w:rPr>
          <w:lang w:val="fr-CH"/>
        </w:rPr>
        <w:t>Il est également important de fixer un délai pour l’utilisation de ces montants à affectation obligatoire</w:t>
      </w:r>
      <w:r w:rsidR="197C7369" w:rsidRPr="00572D0C">
        <w:rPr>
          <w:lang w:val="fr-CH"/>
        </w:rPr>
        <w:t>.</w:t>
      </w:r>
    </w:p>
    <w:p w14:paraId="6D03D3E0" w14:textId="73F19C31" w:rsidR="009109BA" w:rsidRPr="00572D0C" w:rsidRDefault="00E40F80" w:rsidP="009109BA">
      <w:pPr>
        <w:rPr>
          <w:lang w:val="fr-CH"/>
        </w:rPr>
      </w:pPr>
      <w:r>
        <w:rPr>
          <w:lang w:val="fr-CH"/>
        </w:rPr>
        <w:t>En cas de versement d’une</w:t>
      </w:r>
      <w:r w:rsidR="00DF5606">
        <w:rPr>
          <w:lang w:val="fr-CH"/>
        </w:rPr>
        <w:t xml:space="preserve"> indemnisation</w:t>
      </w:r>
      <w:r>
        <w:rPr>
          <w:lang w:val="fr-CH"/>
        </w:rPr>
        <w:t xml:space="preserve"> remplaçant une compensation</w:t>
      </w:r>
      <w:r w:rsidR="00DF5606">
        <w:rPr>
          <w:lang w:val="fr-CH"/>
        </w:rPr>
        <w:t xml:space="preserve">, </w:t>
      </w:r>
      <w:r w:rsidR="00A70E90">
        <w:rPr>
          <w:lang w:val="fr-CH"/>
        </w:rPr>
        <w:t xml:space="preserve">le canton doit, </w:t>
      </w:r>
      <w:r w:rsidR="00DF5606">
        <w:rPr>
          <w:lang w:val="fr-CH"/>
        </w:rPr>
        <w:t xml:space="preserve">dans le cadre du rapport </w:t>
      </w:r>
      <w:r w:rsidR="00A70E90">
        <w:rPr>
          <w:lang w:val="fr-CH"/>
        </w:rPr>
        <w:t xml:space="preserve">qu’il </w:t>
      </w:r>
      <w:r w:rsidR="00DF5606">
        <w:rPr>
          <w:lang w:val="fr-CH"/>
        </w:rPr>
        <w:t>transm</w:t>
      </w:r>
      <w:r w:rsidR="00A70E90">
        <w:rPr>
          <w:lang w:val="fr-CH"/>
        </w:rPr>
        <w:t>et</w:t>
      </w:r>
      <w:r w:rsidR="00DF5606">
        <w:rPr>
          <w:lang w:val="fr-CH"/>
        </w:rPr>
        <w:t xml:space="preserve"> tous les quatre ans </w:t>
      </w:r>
      <w:r w:rsidR="009109BA" w:rsidRPr="00572D0C">
        <w:rPr>
          <w:lang w:val="fr-CH"/>
        </w:rPr>
        <w:t>(</w:t>
      </w:r>
      <w:r w:rsidR="009109BA" w:rsidRPr="00572D0C">
        <w:rPr>
          <w:lang w:val="fr-CH"/>
        </w:rPr>
        <w:fldChar w:fldCharType="begin"/>
      </w:r>
      <w:r w:rsidR="009109BA" w:rsidRPr="00572D0C">
        <w:rPr>
          <w:lang w:val="fr-CH"/>
        </w:rPr>
        <w:instrText xml:space="preserve"> REF _Ref527029590 \r \h </w:instrText>
      </w:r>
      <w:r w:rsidR="009109BA" w:rsidRPr="00572D0C">
        <w:rPr>
          <w:lang w:val="fr-CH"/>
        </w:rPr>
      </w:r>
      <w:r w:rsidR="009109BA" w:rsidRPr="00572D0C">
        <w:rPr>
          <w:lang w:val="fr-CH"/>
        </w:rPr>
        <w:fldChar w:fldCharType="separate"/>
      </w:r>
      <w:r w:rsidR="00A65A9C">
        <w:rPr>
          <w:lang w:val="fr-CH"/>
        </w:rPr>
        <w:t>P15</w:t>
      </w:r>
      <w:r w:rsidR="009109BA" w:rsidRPr="00572D0C">
        <w:rPr>
          <w:lang w:val="fr-CH"/>
        </w:rPr>
        <w:fldChar w:fldCharType="end"/>
      </w:r>
      <w:r w:rsidR="009109BA" w:rsidRPr="00572D0C">
        <w:rPr>
          <w:lang w:val="fr-CH"/>
        </w:rPr>
        <w:t>)</w:t>
      </w:r>
      <w:r w:rsidR="00A70E90">
        <w:rPr>
          <w:lang w:val="fr-CH"/>
        </w:rPr>
        <w:t>,</w:t>
      </w:r>
      <w:r w:rsidR="00A70E90" w:rsidRPr="00A70E90">
        <w:rPr>
          <w:lang w:val="fr-CH"/>
        </w:rPr>
        <w:t xml:space="preserve"> </w:t>
      </w:r>
      <w:r w:rsidR="00A70E90">
        <w:rPr>
          <w:lang w:val="fr-CH"/>
        </w:rPr>
        <w:t>renseigner l’ARE</w:t>
      </w:r>
      <w:r w:rsidR="009109BA" w:rsidRPr="00572D0C">
        <w:rPr>
          <w:lang w:val="fr-CH"/>
        </w:rPr>
        <w:t xml:space="preserve"> </w:t>
      </w:r>
      <w:r w:rsidR="00DF5606">
        <w:rPr>
          <w:lang w:val="fr-CH"/>
        </w:rPr>
        <w:t>sur les</w:t>
      </w:r>
      <w:r w:rsidR="00A70E90">
        <w:rPr>
          <w:lang w:val="fr-CH"/>
        </w:rPr>
        <w:t xml:space="preserve"> travaux de </w:t>
      </w:r>
      <w:r w:rsidR="005F61FD">
        <w:rPr>
          <w:lang w:val="fr-CH"/>
        </w:rPr>
        <w:t xml:space="preserve">revalorisation ou de réhabilitation </w:t>
      </w:r>
      <w:r w:rsidR="00A70E90">
        <w:rPr>
          <w:lang w:val="fr-CH"/>
        </w:rPr>
        <w:t>des sols qui ont été effectués.</w:t>
      </w:r>
    </w:p>
    <w:p w14:paraId="2CE03A80" w14:textId="197DCEC0" w:rsidR="00A75149" w:rsidRPr="00572D0C" w:rsidRDefault="00A70E90" w:rsidP="197C7369">
      <w:pPr>
        <w:rPr>
          <w:lang w:val="fr-CH"/>
        </w:rPr>
      </w:pPr>
      <w:r>
        <w:rPr>
          <w:lang w:val="fr-CH"/>
        </w:rPr>
        <w:t>L’indemnisation doit permettre de financer les matériaux nécessaires à la réhabilitation ainsi que les travaux de réhabilitation. La surface réhabilitée doit avoir une superficie au moins équivalente à celle de la surface sollicitée et présenter une qualité SDA</w:t>
      </w:r>
      <w:r w:rsidR="197C7369" w:rsidRPr="00572D0C">
        <w:rPr>
          <w:lang w:val="fr-CH"/>
        </w:rPr>
        <w:t xml:space="preserve">. </w:t>
      </w:r>
    </w:p>
    <w:p w14:paraId="278F3ED1" w14:textId="3C4BA744" w:rsidR="006163FC" w:rsidRPr="008B563A" w:rsidRDefault="006163FC" w:rsidP="00501D1D">
      <w:pPr>
        <w:pStyle w:val="berschrift2"/>
        <w:rPr>
          <w:lang w:val="fr-CH"/>
        </w:rPr>
      </w:pPr>
      <w:bookmarkStart w:id="113" w:name="_Toc531102188"/>
      <w:bookmarkStart w:id="114" w:name="_Toc531103704"/>
      <w:bookmarkStart w:id="115" w:name="_Toc526946714"/>
      <w:bookmarkStart w:id="116" w:name="_Toc531193006"/>
      <w:bookmarkStart w:id="117" w:name="_Toc532996288"/>
      <w:r w:rsidRPr="008B563A">
        <w:rPr>
          <w:lang w:val="fr-CH"/>
        </w:rPr>
        <w:t xml:space="preserve">Traitement des SDA par les autorités fédérales et les </w:t>
      </w:r>
      <w:bookmarkEnd w:id="113"/>
      <w:bookmarkEnd w:id="114"/>
      <w:r w:rsidR="009E302C">
        <w:rPr>
          <w:lang w:val="fr-CH"/>
        </w:rPr>
        <w:t>services</w:t>
      </w:r>
      <w:r w:rsidR="009E302C" w:rsidRPr="008B563A">
        <w:rPr>
          <w:lang w:val="fr-CH"/>
        </w:rPr>
        <w:t xml:space="preserve"> </w:t>
      </w:r>
      <w:r w:rsidRPr="008B563A">
        <w:rPr>
          <w:lang w:val="fr-CH"/>
        </w:rPr>
        <w:t>fédéraux</w:t>
      </w:r>
      <w:bookmarkEnd w:id="117"/>
    </w:p>
    <w:bookmarkEnd w:id="115"/>
    <w:bookmarkEnd w:id="116"/>
    <w:p w14:paraId="263EAF9B" w14:textId="638967D3" w:rsidR="008778D4" w:rsidRPr="00572D0C" w:rsidRDefault="00722D87" w:rsidP="008778D4">
      <w:pPr>
        <w:pStyle w:val="Listenabsatz"/>
        <w:numPr>
          <w:ilvl w:val="0"/>
          <w:numId w:val="29"/>
        </w:numPr>
        <w:shd w:val="clear" w:color="auto" w:fill="D9D9D9" w:themeFill="background1" w:themeFillShade="D9"/>
        <w:spacing w:before="240"/>
        <w:ind w:left="567" w:hanging="567"/>
        <w:rPr>
          <w:b/>
          <w:bCs/>
          <w:i w:val="0"/>
          <w:lang w:val="fr-CH"/>
        </w:rPr>
      </w:pPr>
      <w:r>
        <w:rPr>
          <w:b/>
          <w:bCs/>
          <w:i w:val="0"/>
          <w:lang w:val="fr-CH"/>
        </w:rPr>
        <w:t xml:space="preserve">La Confédération </w:t>
      </w:r>
      <w:r w:rsidR="009E302C">
        <w:rPr>
          <w:b/>
          <w:bCs/>
          <w:i w:val="0"/>
          <w:lang w:val="fr-CH"/>
        </w:rPr>
        <w:t>se préoccupe</w:t>
      </w:r>
      <w:r>
        <w:rPr>
          <w:b/>
          <w:bCs/>
          <w:i w:val="0"/>
          <w:lang w:val="fr-CH"/>
        </w:rPr>
        <w:t xml:space="preserve"> des SDA dans l’accomplissement de ses activités à incidence territoriale</w:t>
      </w:r>
      <w:r w:rsidR="008778D4" w:rsidRPr="00572D0C">
        <w:rPr>
          <w:b/>
          <w:bCs/>
          <w:i w:val="0"/>
          <w:lang w:val="fr-CH"/>
        </w:rPr>
        <w:t>.</w:t>
      </w:r>
    </w:p>
    <w:p w14:paraId="5ED0B48A" w14:textId="30CD5327" w:rsidR="0031148B" w:rsidRPr="00572D0C" w:rsidRDefault="001D363E" w:rsidP="0031148B">
      <w:pPr>
        <w:rPr>
          <w:lang w:val="fr-CH"/>
        </w:rPr>
      </w:pPr>
      <w:r>
        <w:rPr>
          <w:lang w:val="fr-CH"/>
        </w:rPr>
        <w:t>La Confédération empiè</w:t>
      </w:r>
      <w:r w:rsidR="0031148B" w:rsidRPr="00572D0C">
        <w:rPr>
          <w:lang w:val="fr-CH"/>
        </w:rPr>
        <w:t>t</w:t>
      </w:r>
      <w:r>
        <w:rPr>
          <w:lang w:val="fr-CH"/>
        </w:rPr>
        <w:t xml:space="preserve">e sur les SDA par des projets </w:t>
      </w:r>
      <w:r w:rsidR="002D1B5F">
        <w:rPr>
          <w:lang w:val="fr-CH"/>
        </w:rPr>
        <w:t>d’infrastructure</w:t>
      </w:r>
      <w:r w:rsidR="0031148B" w:rsidRPr="00572D0C">
        <w:rPr>
          <w:lang w:val="fr-CH"/>
        </w:rPr>
        <w:t xml:space="preserve">. </w:t>
      </w:r>
      <w:r w:rsidR="009E302C">
        <w:rPr>
          <w:lang w:val="fr-CH"/>
        </w:rPr>
        <w:t>La défense des intérêts de la Confédération peut également solliciter,</w:t>
      </w:r>
      <w:r w:rsidR="002D1B5F">
        <w:rPr>
          <w:lang w:val="fr-CH"/>
        </w:rPr>
        <w:t xml:space="preserve"> directement ou indirectement</w:t>
      </w:r>
      <w:r w:rsidR="009E302C">
        <w:rPr>
          <w:lang w:val="fr-CH"/>
        </w:rPr>
        <w:t>,</w:t>
      </w:r>
      <w:r w:rsidR="002D1B5F">
        <w:rPr>
          <w:lang w:val="fr-CH"/>
        </w:rPr>
        <w:t xml:space="preserve"> </w:t>
      </w:r>
      <w:r w:rsidR="009E302C">
        <w:rPr>
          <w:lang w:val="fr-CH"/>
        </w:rPr>
        <w:t xml:space="preserve">des </w:t>
      </w:r>
      <w:r w:rsidR="002D1B5F">
        <w:rPr>
          <w:lang w:val="fr-CH"/>
        </w:rPr>
        <w:t>SDA. En font partie</w:t>
      </w:r>
      <w:r w:rsidR="001708F0">
        <w:rPr>
          <w:lang w:val="fr-CH"/>
        </w:rPr>
        <w:t xml:space="preserve"> notamment</w:t>
      </w:r>
      <w:r w:rsidR="002D1B5F">
        <w:rPr>
          <w:lang w:val="fr-CH"/>
        </w:rPr>
        <w:t xml:space="preserve"> les projets qui nécessitent une autorisation cantonale et/ou communale et qui sont (co)financés et/ou réalisés par la Confédération</w:t>
      </w:r>
      <w:r w:rsidR="001C716F" w:rsidRPr="00572D0C">
        <w:rPr>
          <w:lang w:val="fr-CH"/>
        </w:rPr>
        <w:t xml:space="preserve">. </w:t>
      </w:r>
      <w:r w:rsidR="002D1B5F">
        <w:rPr>
          <w:lang w:val="fr-CH"/>
        </w:rPr>
        <w:t xml:space="preserve">Les autorités fédérales et les </w:t>
      </w:r>
      <w:r w:rsidR="009E302C">
        <w:rPr>
          <w:lang w:val="fr-CH"/>
        </w:rPr>
        <w:t xml:space="preserve">services </w:t>
      </w:r>
      <w:r w:rsidR="002D1B5F">
        <w:rPr>
          <w:lang w:val="fr-CH"/>
        </w:rPr>
        <w:t>fédéraux doivent par conséquent tenir compte des SDA lors de la mise en œuvre de leurs projets mais également lors de la réalisation de stratégies et de concepts</w:t>
      </w:r>
      <w:r w:rsidR="0031148B" w:rsidRPr="00572D0C">
        <w:rPr>
          <w:lang w:val="fr-CH"/>
        </w:rPr>
        <w:t>.</w:t>
      </w:r>
    </w:p>
    <w:p w14:paraId="02A0268B" w14:textId="3B6480AE" w:rsidR="001C716F" w:rsidRPr="00572D0C" w:rsidRDefault="002D1B5F" w:rsidP="0031148B">
      <w:pPr>
        <w:rPr>
          <w:lang w:val="fr-CH"/>
        </w:rPr>
      </w:pPr>
      <w:r>
        <w:rPr>
          <w:lang w:val="fr-CH"/>
        </w:rPr>
        <w:lastRenderedPageBreak/>
        <w:t xml:space="preserve">En cas de conflits d’objectifs, il </w:t>
      </w:r>
      <w:r w:rsidR="009E302C">
        <w:rPr>
          <w:lang w:val="fr-CH"/>
        </w:rPr>
        <w:t>convient d’accorder l’attention nécessaire aux</w:t>
      </w:r>
      <w:r>
        <w:rPr>
          <w:lang w:val="fr-CH"/>
        </w:rPr>
        <w:t xml:space="preserve"> SDA dans le cadre d’une pesée des intérêts transparente</w:t>
      </w:r>
      <w:r w:rsidR="0031148B" w:rsidRPr="00572D0C">
        <w:rPr>
          <w:lang w:val="fr-CH"/>
        </w:rPr>
        <w:t xml:space="preserve">. </w:t>
      </w:r>
      <w:r>
        <w:rPr>
          <w:lang w:val="fr-CH"/>
        </w:rPr>
        <w:t>Cette manière de procéder permet de trouver la solution la plus adaptée compte tenu de tous les intérêts en présence</w:t>
      </w:r>
      <w:r w:rsidR="0031148B" w:rsidRPr="00572D0C">
        <w:rPr>
          <w:lang w:val="fr-CH"/>
        </w:rPr>
        <w:t>.</w:t>
      </w:r>
    </w:p>
    <w:p w14:paraId="6FB95E5F" w14:textId="1FDB153C" w:rsidR="008778D4" w:rsidRPr="00572D0C" w:rsidRDefault="00722D87" w:rsidP="008778D4">
      <w:pPr>
        <w:pStyle w:val="Listenabsatz"/>
        <w:numPr>
          <w:ilvl w:val="0"/>
          <w:numId w:val="29"/>
        </w:numPr>
        <w:shd w:val="clear" w:color="auto" w:fill="D9D9D9" w:themeFill="background1" w:themeFillShade="D9"/>
        <w:spacing w:before="240"/>
        <w:ind w:left="567" w:hanging="567"/>
        <w:rPr>
          <w:b/>
          <w:bCs/>
          <w:i w:val="0"/>
          <w:lang w:val="fr-CH"/>
        </w:rPr>
      </w:pPr>
      <w:r>
        <w:rPr>
          <w:b/>
          <w:bCs/>
          <w:i w:val="0"/>
          <w:lang w:val="fr-CH"/>
        </w:rPr>
        <w:t xml:space="preserve">Les projets fédéraux nécessitant plus de </w:t>
      </w:r>
      <w:r w:rsidR="006163FC">
        <w:rPr>
          <w:b/>
          <w:bCs/>
          <w:i w:val="0"/>
          <w:lang w:val="fr-CH"/>
        </w:rPr>
        <w:t>5</w:t>
      </w:r>
      <w:r w:rsidR="008778D4" w:rsidRPr="00572D0C">
        <w:rPr>
          <w:b/>
          <w:bCs/>
          <w:i w:val="0"/>
          <w:lang w:val="fr-CH"/>
        </w:rPr>
        <w:t xml:space="preserve"> ha </w:t>
      </w:r>
      <w:r>
        <w:rPr>
          <w:b/>
          <w:bCs/>
          <w:i w:val="0"/>
          <w:lang w:val="fr-CH"/>
        </w:rPr>
        <w:t xml:space="preserve">de SDA </w:t>
      </w:r>
      <w:r w:rsidR="00CC380D">
        <w:rPr>
          <w:b/>
          <w:bCs/>
          <w:i w:val="0"/>
          <w:lang w:val="fr-CH"/>
        </w:rPr>
        <w:t xml:space="preserve">répertoriées dans un inventaire cantonal </w:t>
      </w:r>
      <w:r>
        <w:rPr>
          <w:b/>
          <w:bCs/>
          <w:i w:val="0"/>
          <w:lang w:val="fr-CH"/>
        </w:rPr>
        <w:t>font en principe l’objet d’un plan sectoriel</w:t>
      </w:r>
      <w:r w:rsidR="008778D4" w:rsidRPr="00572D0C">
        <w:rPr>
          <w:b/>
          <w:bCs/>
          <w:i w:val="0"/>
          <w:lang w:val="fr-CH"/>
        </w:rPr>
        <w:t xml:space="preserve">. </w:t>
      </w:r>
    </w:p>
    <w:p w14:paraId="75F1A63B" w14:textId="53129348" w:rsidR="0031148B" w:rsidRDefault="002D1B5F" w:rsidP="0031148B">
      <w:pPr>
        <w:rPr>
          <w:lang w:val="fr-CH"/>
        </w:rPr>
      </w:pPr>
      <w:r>
        <w:rPr>
          <w:lang w:val="fr-CH"/>
        </w:rPr>
        <w:t>Les projet</w:t>
      </w:r>
      <w:r w:rsidR="00F76A8A">
        <w:rPr>
          <w:lang w:val="fr-CH"/>
        </w:rPr>
        <w:t xml:space="preserve">s </w:t>
      </w:r>
      <w:r w:rsidR="006163FC">
        <w:rPr>
          <w:lang w:val="fr-CH"/>
        </w:rPr>
        <w:t xml:space="preserve">de cette ampleur </w:t>
      </w:r>
      <w:r w:rsidR="00F76A8A">
        <w:rPr>
          <w:lang w:val="fr-CH"/>
        </w:rPr>
        <w:t>ont des effets considérables sur le territoire. Ils empiètent sur une grande superficie de</w:t>
      </w:r>
      <w:r w:rsidR="00CA6343">
        <w:rPr>
          <w:lang w:val="fr-CH"/>
        </w:rPr>
        <w:t xml:space="preserve"> bonnes</w:t>
      </w:r>
      <w:r w:rsidR="00F76A8A">
        <w:rPr>
          <w:lang w:val="fr-CH"/>
        </w:rPr>
        <w:t xml:space="preserve"> terres cultivables</w:t>
      </w:r>
      <w:r w:rsidR="0031148B" w:rsidRPr="00572D0C">
        <w:rPr>
          <w:lang w:val="fr-CH"/>
        </w:rPr>
        <w:t>.</w:t>
      </w:r>
      <w:r w:rsidR="00F76A8A">
        <w:rPr>
          <w:lang w:val="fr-CH"/>
        </w:rPr>
        <w:t xml:space="preserve"> Comme les SDA contribuent également souvent au maintien de paysages ouverts ainsi qu’à la préservation de la biodiversité et de surfaces de compensation écologique, leur </w:t>
      </w:r>
      <w:r w:rsidR="00CA6343">
        <w:rPr>
          <w:lang w:val="fr-CH"/>
        </w:rPr>
        <w:t xml:space="preserve">utilisation </w:t>
      </w:r>
      <w:r w:rsidR="00F76A8A">
        <w:rPr>
          <w:lang w:val="fr-CH"/>
        </w:rPr>
        <w:t>a des effets</w:t>
      </w:r>
      <w:r w:rsidR="001708F0">
        <w:rPr>
          <w:lang w:val="fr-CH"/>
        </w:rPr>
        <w:t xml:space="preserve"> aussi</w:t>
      </w:r>
      <w:r w:rsidR="00F76A8A">
        <w:rPr>
          <w:lang w:val="fr-CH"/>
        </w:rPr>
        <w:t xml:space="preserve"> sur </w:t>
      </w:r>
      <w:r w:rsidR="00CA6343">
        <w:rPr>
          <w:lang w:val="fr-CH"/>
        </w:rPr>
        <w:t>l’environnement</w:t>
      </w:r>
      <w:r w:rsidR="00F76A8A">
        <w:rPr>
          <w:lang w:val="fr-CH"/>
        </w:rPr>
        <w:t xml:space="preserve">. </w:t>
      </w:r>
      <w:r w:rsidR="00CA6343">
        <w:rPr>
          <w:lang w:val="fr-CH"/>
        </w:rPr>
        <w:t xml:space="preserve">De tels projets doivent </w:t>
      </w:r>
      <w:r w:rsidR="00F76A8A">
        <w:rPr>
          <w:lang w:val="fr-CH"/>
        </w:rPr>
        <w:t xml:space="preserve">par conséquent </w:t>
      </w:r>
      <w:r w:rsidR="00CA6343">
        <w:rPr>
          <w:lang w:val="fr-CH"/>
        </w:rPr>
        <w:t>faire l’objet d’</w:t>
      </w:r>
      <w:r w:rsidR="00F76A8A">
        <w:rPr>
          <w:lang w:val="fr-CH"/>
        </w:rPr>
        <w:t xml:space="preserve">un plan sectoriel ou </w:t>
      </w:r>
      <w:r w:rsidR="00CA6343">
        <w:rPr>
          <w:lang w:val="fr-CH"/>
        </w:rPr>
        <w:t>d’</w:t>
      </w:r>
      <w:r w:rsidR="00F76A8A">
        <w:rPr>
          <w:lang w:val="fr-CH"/>
        </w:rPr>
        <w:t xml:space="preserve">une procédure détaillée analogue. Les procédures de planification accroissent la sécurité de la planification, simplifient les procédures d’autorisation </w:t>
      </w:r>
      <w:r w:rsidR="001708F0">
        <w:rPr>
          <w:lang w:val="fr-CH"/>
        </w:rPr>
        <w:t>ultérieures</w:t>
      </w:r>
      <w:r w:rsidR="00F76A8A">
        <w:rPr>
          <w:lang w:val="fr-CH"/>
        </w:rPr>
        <w:t xml:space="preserve"> et prouvent que la sollicitation </w:t>
      </w:r>
      <w:r w:rsidR="001708F0">
        <w:rPr>
          <w:lang w:val="fr-CH"/>
        </w:rPr>
        <w:t xml:space="preserve">éventuelle </w:t>
      </w:r>
      <w:r w:rsidR="00F76A8A">
        <w:rPr>
          <w:lang w:val="fr-CH"/>
        </w:rPr>
        <w:t xml:space="preserve">des SDA a été </w:t>
      </w:r>
      <w:r w:rsidR="001708F0">
        <w:rPr>
          <w:lang w:val="fr-CH"/>
        </w:rPr>
        <w:t>minimisée</w:t>
      </w:r>
      <w:r w:rsidR="0031148B" w:rsidRPr="00572D0C">
        <w:rPr>
          <w:lang w:val="fr-CH"/>
        </w:rPr>
        <w:t>.</w:t>
      </w:r>
    </w:p>
    <w:p w14:paraId="531A4E1A" w14:textId="1418CDD5" w:rsidR="00CA6343" w:rsidRPr="00572D0C" w:rsidRDefault="00CA6343" w:rsidP="0031148B">
      <w:pPr>
        <w:rPr>
          <w:lang w:val="fr-CH"/>
        </w:rPr>
      </w:pPr>
      <w:r>
        <w:rPr>
          <w:lang w:val="fr-CH"/>
        </w:rPr>
        <w:t>Les 5 ha font référence à l’utilisation définitive d’une surface et ne comportent pas de surfaces sollicitées de façon temporaire, par exemple pour des chantiers.</w:t>
      </w:r>
    </w:p>
    <w:p w14:paraId="13EA5CA9" w14:textId="2ADA935B" w:rsidR="0031148B" w:rsidRPr="00572D0C" w:rsidRDefault="00F76A8A" w:rsidP="0031148B">
      <w:pPr>
        <w:rPr>
          <w:lang w:val="fr-CH"/>
        </w:rPr>
      </w:pPr>
      <w:r>
        <w:rPr>
          <w:lang w:val="fr-CH"/>
        </w:rPr>
        <w:t>Le critère de la pert</w:t>
      </w:r>
      <w:r w:rsidR="005A3CAA">
        <w:rPr>
          <w:lang w:val="fr-CH"/>
        </w:rPr>
        <w:t>inence du P</w:t>
      </w:r>
      <w:r>
        <w:rPr>
          <w:lang w:val="fr-CH"/>
        </w:rPr>
        <w:t xml:space="preserve">lan sectoriel </w:t>
      </w:r>
      <w:r w:rsidR="00096B62">
        <w:rPr>
          <w:lang w:val="fr-CH"/>
        </w:rPr>
        <w:t xml:space="preserve">remplace </w:t>
      </w:r>
      <w:r w:rsidR="001708F0">
        <w:rPr>
          <w:lang w:val="fr-CH"/>
        </w:rPr>
        <w:t xml:space="preserve">des </w:t>
      </w:r>
      <w:r w:rsidR="00096B62">
        <w:rPr>
          <w:lang w:val="fr-CH"/>
        </w:rPr>
        <w:t>critères</w:t>
      </w:r>
      <w:r w:rsidR="001708F0">
        <w:rPr>
          <w:lang w:val="fr-CH"/>
        </w:rPr>
        <w:t xml:space="preserve"> éventuels déjà existants</w:t>
      </w:r>
      <w:r w:rsidR="00096B62">
        <w:rPr>
          <w:lang w:val="fr-CH"/>
        </w:rPr>
        <w:t xml:space="preserve"> la sollicitation de</w:t>
      </w:r>
      <w:r w:rsidR="001708F0">
        <w:rPr>
          <w:lang w:val="fr-CH"/>
        </w:rPr>
        <w:t>s</w:t>
      </w:r>
      <w:r w:rsidR="00096B62">
        <w:rPr>
          <w:lang w:val="fr-CH"/>
        </w:rPr>
        <w:t xml:space="preserve"> SDA dans d’autres plans sectoriels</w:t>
      </w:r>
      <w:r w:rsidR="001708F0">
        <w:rPr>
          <w:lang w:val="fr-CH"/>
        </w:rPr>
        <w:t>, si la valeur fixée</w:t>
      </w:r>
      <w:r w:rsidR="00096B62">
        <w:rPr>
          <w:lang w:val="fr-CH"/>
        </w:rPr>
        <w:t xml:space="preserve"> </w:t>
      </w:r>
      <w:r w:rsidR="001708F0">
        <w:rPr>
          <w:lang w:val="fr-CH"/>
        </w:rPr>
        <w:t>pour la pertinence d’un plan sectoriel est supérieure à 5 ha de SDA</w:t>
      </w:r>
      <w:r w:rsidR="0031148B" w:rsidRPr="00572D0C">
        <w:rPr>
          <w:lang w:val="fr-CH"/>
        </w:rPr>
        <w:t xml:space="preserve">. </w:t>
      </w:r>
      <w:r w:rsidR="00304221">
        <w:rPr>
          <w:lang w:val="fr-CH"/>
        </w:rPr>
        <w:t>Cette valeur devra être adaptée lors du</w:t>
      </w:r>
      <w:r w:rsidR="005A3CAA">
        <w:rPr>
          <w:lang w:val="fr-CH"/>
        </w:rPr>
        <w:t xml:space="preserve"> prochain remaniement du P</w:t>
      </w:r>
      <w:r w:rsidR="00304221">
        <w:rPr>
          <w:lang w:val="fr-CH"/>
        </w:rPr>
        <w:t xml:space="preserve">lan sectoriel </w:t>
      </w:r>
      <w:r w:rsidR="001708F0">
        <w:rPr>
          <w:lang w:val="fr-CH"/>
        </w:rPr>
        <w:t>correspondant</w:t>
      </w:r>
      <w:r w:rsidR="00304221">
        <w:rPr>
          <w:lang w:val="fr-CH"/>
        </w:rPr>
        <w:t xml:space="preserve">. </w:t>
      </w:r>
    </w:p>
    <w:p w14:paraId="20F1756C" w14:textId="34A7A27F" w:rsidR="0031148B" w:rsidRDefault="001B0D86" w:rsidP="0031148B">
      <w:pPr>
        <w:rPr>
          <w:lang w:val="fr-CH"/>
        </w:rPr>
      </w:pPr>
      <w:r>
        <w:rPr>
          <w:lang w:val="fr-CH"/>
        </w:rPr>
        <w:t xml:space="preserve">Pour identifier le plus tôt possible </w:t>
      </w:r>
      <w:r w:rsidR="00CA6343">
        <w:rPr>
          <w:lang w:val="fr-CH"/>
        </w:rPr>
        <w:t xml:space="preserve">des </w:t>
      </w:r>
      <w:r>
        <w:rPr>
          <w:lang w:val="fr-CH"/>
        </w:rPr>
        <w:t>conflits</w:t>
      </w:r>
      <w:r w:rsidR="00CA6343">
        <w:rPr>
          <w:lang w:val="fr-CH"/>
        </w:rPr>
        <w:t xml:space="preserve"> entre les offices fédéraux ou des problèmes avec les cantons</w:t>
      </w:r>
      <w:r>
        <w:rPr>
          <w:lang w:val="fr-CH"/>
        </w:rPr>
        <w:t>, il importe d’associer l’ARE</w:t>
      </w:r>
      <w:r w:rsidR="0031148B" w:rsidRPr="00572D0C">
        <w:rPr>
          <w:lang w:val="fr-CH"/>
        </w:rPr>
        <w:t xml:space="preserve"> </w:t>
      </w:r>
      <w:r w:rsidR="00301BD6">
        <w:rPr>
          <w:lang w:val="fr-CH"/>
        </w:rPr>
        <w:t>de bonne heure</w:t>
      </w:r>
      <w:r>
        <w:rPr>
          <w:lang w:val="fr-CH"/>
        </w:rPr>
        <w:t xml:space="preserve"> au processus de planification</w:t>
      </w:r>
      <w:r w:rsidR="00CA6343">
        <w:rPr>
          <w:lang w:val="fr-CH"/>
        </w:rPr>
        <w:t xml:space="preserve">, </w:t>
      </w:r>
      <w:r w:rsidR="00301BD6">
        <w:rPr>
          <w:lang w:val="fr-CH"/>
        </w:rPr>
        <w:t>soit déjà dans le cadre du choix de la variante</w:t>
      </w:r>
      <w:r>
        <w:rPr>
          <w:lang w:val="fr-CH"/>
        </w:rPr>
        <w:t xml:space="preserve">. </w:t>
      </w:r>
      <w:r w:rsidR="00CA6343">
        <w:rPr>
          <w:lang w:val="fr-CH"/>
        </w:rPr>
        <w:t>L</w:t>
      </w:r>
      <w:r w:rsidR="007E4D2C">
        <w:rPr>
          <w:lang w:val="fr-CH"/>
        </w:rPr>
        <w:t>’</w:t>
      </w:r>
      <w:r w:rsidR="0031148B" w:rsidRPr="00572D0C">
        <w:rPr>
          <w:lang w:val="fr-CH"/>
        </w:rPr>
        <w:t xml:space="preserve">ARE </w:t>
      </w:r>
      <w:r w:rsidR="00CA6343">
        <w:rPr>
          <w:lang w:val="fr-CH"/>
        </w:rPr>
        <w:t xml:space="preserve">peut assurer un soutien efficace </w:t>
      </w:r>
      <w:r w:rsidR="00301BD6">
        <w:rPr>
          <w:lang w:val="fr-CH"/>
        </w:rPr>
        <w:t>si les aspects suivants sont présentés dans la documentation</w:t>
      </w:r>
      <w:r w:rsidR="007E4D2C">
        <w:rPr>
          <w:lang w:val="fr-CH"/>
        </w:rPr>
        <w:t xml:space="preserve"> </w:t>
      </w:r>
      <w:r w:rsidR="0031148B" w:rsidRPr="00572D0C">
        <w:rPr>
          <w:lang w:val="fr-CH"/>
        </w:rPr>
        <w:t xml:space="preserve">: </w:t>
      </w:r>
      <w:r w:rsidR="00301BD6">
        <w:rPr>
          <w:lang w:val="fr-CH"/>
        </w:rPr>
        <w:t xml:space="preserve">la </w:t>
      </w:r>
      <w:r w:rsidR="007E4D2C">
        <w:rPr>
          <w:lang w:val="fr-CH"/>
        </w:rPr>
        <w:t xml:space="preserve">description des exigences d’implantation du projet et du besoin de surface </w:t>
      </w:r>
      <w:r w:rsidR="0031148B" w:rsidRPr="00572D0C">
        <w:rPr>
          <w:lang w:val="fr-CH"/>
        </w:rPr>
        <w:t xml:space="preserve">; </w:t>
      </w:r>
      <w:r w:rsidR="00301BD6">
        <w:rPr>
          <w:lang w:val="fr-CH"/>
        </w:rPr>
        <w:t xml:space="preserve">la </w:t>
      </w:r>
      <w:r w:rsidR="007E4D2C">
        <w:rPr>
          <w:lang w:val="fr-CH"/>
        </w:rPr>
        <w:t xml:space="preserve">preuve de l’étude de variantes sans </w:t>
      </w:r>
      <w:r w:rsidR="00301BD6">
        <w:rPr>
          <w:lang w:val="fr-CH"/>
        </w:rPr>
        <w:t>utilisation de</w:t>
      </w:r>
      <w:r w:rsidR="007E4D2C">
        <w:rPr>
          <w:lang w:val="fr-CH"/>
        </w:rPr>
        <w:t xml:space="preserve"> SDA </w:t>
      </w:r>
      <w:r w:rsidR="0031148B" w:rsidRPr="00572D0C">
        <w:rPr>
          <w:lang w:val="fr-CH"/>
        </w:rPr>
        <w:t>;</w:t>
      </w:r>
      <w:r w:rsidR="00301BD6">
        <w:rPr>
          <w:lang w:val="fr-CH"/>
        </w:rPr>
        <w:t xml:space="preserve"> le résultat de la pesée des intérêts en matière d’aménagement du territoire et la</w:t>
      </w:r>
      <w:r w:rsidR="0031148B" w:rsidRPr="00572D0C">
        <w:rPr>
          <w:lang w:val="fr-CH"/>
        </w:rPr>
        <w:t xml:space="preserve"> </w:t>
      </w:r>
      <w:r w:rsidR="007E4D2C">
        <w:rPr>
          <w:lang w:val="fr-CH"/>
        </w:rPr>
        <w:t>preuve de la collaboration avec le canton concerné et, le cas échéant, les cantons voisins.</w:t>
      </w:r>
      <w:r w:rsidR="00301BD6">
        <w:rPr>
          <w:lang w:val="fr-CH"/>
        </w:rPr>
        <w:t xml:space="preserve"> Les possibilités de compensation (projet de compensation concret) seront présentées au plus tard au moment du projet définitif.</w:t>
      </w:r>
      <w:r w:rsidR="007E4D2C">
        <w:rPr>
          <w:lang w:val="fr-CH"/>
        </w:rPr>
        <w:t xml:space="preserve"> </w:t>
      </w:r>
      <w:r w:rsidR="006C4DEF">
        <w:rPr>
          <w:lang w:val="fr-CH"/>
        </w:rPr>
        <w:t xml:space="preserve">Il va de soi que le soutien de l’ARE peut </w:t>
      </w:r>
      <w:r w:rsidR="00301BD6">
        <w:rPr>
          <w:lang w:val="fr-CH"/>
        </w:rPr>
        <w:t xml:space="preserve">déjà </w:t>
      </w:r>
      <w:r w:rsidR="006C4DEF">
        <w:rPr>
          <w:lang w:val="fr-CH"/>
        </w:rPr>
        <w:t xml:space="preserve">être sollicité </w:t>
      </w:r>
      <w:r w:rsidR="00301BD6">
        <w:rPr>
          <w:lang w:val="fr-CH"/>
        </w:rPr>
        <w:t>plus tôt</w:t>
      </w:r>
      <w:r w:rsidR="006C4DEF">
        <w:rPr>
          <w:lang w:val="fr-CH"/>
        </w:rPr>
        <w:t>.</w:t>
      </w:r>
    </w:p>
    <w:p w14:paraId="7916179F" w14:textId="2C2791FB" w:rsidR="00301BD6" w:rsidRPr="00572D0C" w:rsidRDefault="00301BD6" w:rsidP="0031148B">
      <w:pPr>
        <w:rPr>
          <w:lang w:val="fr-CH"/>
        </w:rPr>
      </w:pPr>
      <w:r>
        <w:rPr>
          <w:lang w:val="fr-CH"/>
        </w:rPr>
        <w:t xml:space="preserve">Les inventaires SDA actuels pourront être consultés à partir de 2021 sur le géoportail national (cf. P13). L’ARE connaît également les inventaires SDA contraignants pour les cantons. En cas de doutes, il est recommandé de prendre contact avec l’ARE. </w:t>
      </w:r>
    </w:p>
    <w:p w14:paraId="2E9258DA" w14:textId="77777777" w:rsidR="0031148B" w:rsidRPr="00572D0C" w:rsidRDefault="007E4D2C" w:rsidP="0031148B">
      <w:pPr>
        <w:rPr>
          <w:lang w:val="fr-CH"/>
        </w:rPr>
      </w:pPr>
      <w:r>
        <w:rPr>
          <w:lang w:val="fr-CH"/>
        </w:rPr>
        <w:t>Pour les projets qui ne font pas partie d’un plan sectoriel de la Confédération, les aspects mentionnés ci-dessus doivent faire l’objet d’une procédure d’approbation d’une planification</w:t>
      </w:r>
      <w:r w:rsidR="0031148B" w:rsidRPr="00572D0C">
        <w:rPr>
          <w:lang w:val="fr-CH"/>
        </w:rPr>
        <w:t>.</w:t>
      </w:r>
    </w:p>
    <w:p w14:paraId="49670C23" w14:textId="52C2BE79" w:rsidR="008778D4" w:rsidRPr="00572D0C" w:rsidRDefault="00591074" w:rsidP="008778D4">
      <w:pPr>
        <w:pStyle w:val="Listenabsatz"/>
        <w:numPr>
          <w:ilvl w:val="0"/>
          <w:numId w:val="29"/>
        </w:numPr>
        <w:shd w:val="clear" w:color="auto" w:fill="D9D9D9" w:themeFill="background1" w:themeFillShade="D9"/>
        <w:spacing w:before="240"/>
        <w:ind w:left="567" w:hanging="567"/>
        <w:rPr>
          <w:b/>
          <w:bCs/>
          <w:i w:val="0"/>
          <w:lang w:val="fr-CH"/>
        </w:rPr>
      </w:pPr>
      <w:r>
        <w:rPr>
          <w:b/>
          <w:bCs/>
          <w:i w:val="0"/>
          <w:lang w:val="fr-CH"/>
        </w:rPr>
        <w:t>En cas d’emprise</w:t>
      </w:r>
      <w:r w:rsidR="00722D87">
        <w:rPr>
          <w:b/>
          <w:bCs/>
          <w:i w:val="0"/>
          <w:lang w:val="fr-CH"/>
        </w:rPr>
        <w:t xml:space="preserve"> </w:t>
      </w:r>
      <w:r>
        <w:rPr>
          <w:b/>
          <w:bCs/>
          <w:i w:val="0"/>
          <w:lang w:val="fr-CH"/>
        </w:rPr>
        <w:t xml:space="preserve">sur des </w:t>
      </w:r>
      <w:r w:rsidR="00722D87">
        <w:rPr>
          <w:b/>
          <w:bCs/>
          <w:i w:val="0"/>
          <w:lang w:val="fr-CH"/>
        </w:rPr>
        <w:t xml:space="preserve">SDA </w:t>
      </w:r>
      <w:r>
        <w:rPr>
          <w:b/>
          <w:bCs/>
          <w:i w:val="0"/>
          <w:lang w:val="fr-CH"/>
        </w:rPr>
        <w:t>lors</w:t>
      </w:r>
      <w:r w:rsidR="00722D87">
        <w:rPr>
          <w:b/>
          <w:bCs/>
          <w:i w:val="0"/>
          <w:lang w:val="fr-CH"/>
        </w:rPr>
        <w:t xml:space="preserve"> de projets fédéraux, toutes les SDA sollicitées seront compensées par des surfaces de qualité et de superficie équivalentes avec le soutien des cantons concernés</w:t>
      </w:r>
      <w:r w:rsidR="008778D4" w:rsidRPr="00572D0C">
        <w:rPr>
          <w:b/>
          <w:bCs/>
          <w:i w:val="0"/>
          <w:lang w:val="fr-CH"/>
        </w:rPr>
        <w:t>.</w:t>
      </w:r>
    </w:p>
    <w:p w14:paraId="7D65F445" w14:textId="25069641" w:rsidR="0031148B" w:rsidRPr="00572D0C" w:rsidRDefault="007665E4">
      <w:pPr>
        <w:rPr>
          <w:lang w:val="fr-CH"/>
        </w:rPr>
      </w:pPr>
      <w:r>
        <w:rPr>
          <w:lang w:val="fr-CH"/>
        </w:rPr>
        <w:t xml:space="preserve">L’obligation </w:t>
      </w:r>
      <w:r w:rsidR="00591074">
        <w:rPr>
          <w:lang w:val="fr-CH"/>
        </w:rPr>
        <w:t xml:space="preserve">pour </w:t>
      </w:r>
      <w:r>
        <w:rPr>
          <w:lang w:val="fr-CH"/>
        </w:rPr>
        <w:t>la Confédération d</w:t>
      </w:r>
      <w:r w:rsidR="00276D9B" w:rsidRPr="00572D0C">
        <w:rPr>
          <w:lang w:val="fr-CH"/>
        </w:rPr>
        <w:t>e</w:t>
      </w:r>
      <w:r>
        <w:rPr>
          <w:lang w:val="fr-CH"/>
        </w:rPr>
        <w:t xml:space="preserve"> compenser les SDA</w:t>
      </w:r>
      <w:r w:rsidR="000634F3">
        <w:rPr>
          <w:lang w:val="fr-CH"/>
        </w:rPr>
        <w:t>,</w:t>
      </w:r>
      <w:r>
        <w:rPr>
          <w:lang w:val="fr-CH"/>
        </w:rPr>
        <w:t xml:space="preserve"> </w:t>
      </w:r>
      <w:r w:rsidR="001B0DB3">
        <w:rPr>
          <w:lang w:val="fr-CH"/>
        </w:rPr>
        <w:t xml:space="preserve">répertoriées dans un inventaire </w:t>
      </w:r>
      <w:r w:rsidR="00591074">
        <w:rPr>
          <w:lang w:val="fr-CH"/>
        </w:rPr>
        <w:t>cantonal</w:t>
      </w:r>
      <w:r w:rsidR="000634F3">
        <w:rPr>
          <w:lang w:val="fr-CH"/>
        </w:rPr>
        <w:t>,</w:t>
      </w:r>
      <w:r w:rsidR="00591074">
        <w:rPr>
          <w:lang w:val="fr-CH"/>
        </w:rPr>
        <w:t xml:space="preserve"> </w:t>
      </w:r>
      <w:r w:rsidR="000634F3">
        <w:rPr>
          <w:lang w:val="fr-CH"/>
        </w:rPr>
        <w:t>nécessaires</w:t>
      </w:r>
      <w:r>
        <w:rPr>
          <w:lang w:val="fr-CH"/>
        </w:rPr>
        <w:t xml:space="preserve"> pour ses projets d’infrastructure</w:t>
      </w:r>
      <w:r w:rsidR="00276D9B" w:rsidRPr="00572D0C">
        <w:rPr>
          <w:lang w:val="fr-CH"/>
        </w:rPr>
        <w:t xml:space="preserve"> </w:t>
      </w:r>
      <w:r>
        <w:rPr>
          <w:lang w:val="fr-CH"/>
        </w:rPr>
        <w:t xml:space="preserve">n’est pas </w:t>
      </w:r>
      <w:r w:rsidR="000634F3">
        <w:rPr>
          <w:lang w:val="fr-CH"/>
        </w:rPr>
        <w:t xml:space="preserve">réglée </w:t>
      </w:r>
      <w:r>
        <w:rPr>
          <w:lang w:val="fr-CH"/>
        </w:rPr>
        <w:t xml:space="preserve">expressément </w:t>
      </w:r>
      <w:r w:rsidR="000634F3">
        <w:rPr>
          <w:lang w:val="fr-CH"/>
        </w:rPr>
        <w:t>par</w:t>
      </w:r>
      <w:r>
        <w:rPr>
          <w:lang w:val="fr-CH"/>
        </w:rPr>
        <w:t xml:space="preserve"> la loi. </w:t>
      </w:r>
      <w:r w:rsidR="000634F3">
        <w:rPr>
          <w:lang w:val="fr-CH"/>
        </w:rPr>
        <w:t>Il est toutefois possible de la déduire</w:t>
      </w:r>
      <w:r w:rsidR="00591074">
        <w:rPr>
          <w:lang w:val="fr-CH"/>
        </w:rPr>
        <w:t xml:space="preserve"> </w:t>
      </w:r>
      <w:r>
        <w:rPr>
          <w:lang w:val="fr-CH"/>
        </w:rPr>
        <w:t xml:space="preserve">indirectement des articles </w:t>
      </w:r>
      <w:r w:rsidR="0031148B" w:rsidRPr="00572D0C">
        <w:rPr>
          <w:rFonts w:ascii="ArialMT" w:eastAsiaTheme="minorEastAsia" w:hAnsi="ArialMT" w:cs="ArialMT"/>
          <w:lang w:val="fr-CH" w:eastAsia="en-US"/>
        </w:rPr>
        <w:t xml:space="preserve">75, 102, 104 </w:t>
      </w:r>
      <w:r>
        <w:rPr>
          <w:rFonts w:eastAsiaTheme="minorEastAsia"/>
          <w:lang w:val="fr-CH" w:eastAsia="en-US"/>
        </w:rPr>
        <w:t>et</w:t>
      </w:r>
      <w:r w:rsidR="0031148B" w:rsidRPr="00572D0C">
        <w:rPr>
          <w:rFonts w:eastAsiaTheme="minorEastAsia"/>
          <w:lang w:val="fr-CH" w:eastAsia="en-US"/>
        </w:rPr>
        <w:t xml:space="preserve"> 104</w:t>
      </w:r>
      <w:r w:rsidR="0031148B" w:rsidRPr="00572D0C">
        <w:rPr>
          <w:rFonts w:ascii="Arial-ItalicMT" w:eastAsiaTheme="minorEastAsia" w:hAnsi="Arial-ItalicMT" w:cs="Arial-ItalicMT"/>
          <w:i/>
          <w:iCs/>
          <w:lang w:val="fr-CH" w:eastAsia="en-US"/>
        </w:rPr>
        <w:t xml:space="preserve">a </w:t>
      </w:r>
      <w:r>
        <w:rPr>
          <w:rFonts w:eastAsiaTheme="minorEastAsia"/>
          <w:lang w:val="fr-CH" w:eastAsia="en-US"/>
        </w:rPr>
        <w:t>let</w:t>
      </w:r>
      <w:r w:rsidR="001B0DB3">
        <w:rPr>
          <w:rFonts w:eastAsiaTheme="minorEastAsia"/>
          <w:lang w:val="fr-CH" w:eastAsia="en-US"/>
        </w:rPr>
        <w:t>tre</w:t>
      </w:r>
      <w:r w:rsidR="0031148B" w:rsidRPr="00572D0C">
        <w:rPr>
          <w:rFonts w:eastAsiaTheme="minorEastAsia"/>
          <w:lang w:val="fr-CH" w:eastAsia="en-US"/>
        </w:rPr>
        <w:t xml:space="preserve"> a</w:t>
      </w:r>
      <w:r w:rsidR="00591074">
        <w:rPr>
          <w:rFonts w:eastAsiaTheme="minorEastAsia"/>
          <w:lang w:val="fr-CH" w:eastAsia="en-US"/>
        </w:rPr>
        <w:t>,</w:t>
      </w:r>
      <w:r w:rsidR="0031148B" w:rsidRPr="00572D0C">
        <w:rPr>
          <w:rFonts w:eastAsiaTheme="minorEastAsia"/>
          <w:lang w:val="fr-CH" w:eastAsia="en-US"/>
        </w:rPr>
        <w:t xml:space="preserve"> </w:t>
      </w:r>
      <w:r>
        <w:rPr>
          <w:rFonts w:eastAsiaTheme="minorEastAsia"/>
          <w:lang w:val="fr-CH" w:eastAsia="en-US"/>
        </w:rPr>
        <w:t>Cst</w:t>
      </w:r>
      <w:r w:rsidR="0031148B" w:rsidRPr="00572D0C">
        <w:rPr>
          <w:rFonts w:eastAsiaTheme="minorEastAsia"/>
          <w:lang w:val="fr-CH" w:eastAsia="en-US"/>
        </w:rPr>
        <w:t>, de</w:t>
      </w:r>
      <w:r>
        <w:rPr>
          <w:rFonts w:eastAsiaTheme="minorEastAsia"/>
          <w:lang w:val="fr-CH" w:eastAsia="en-US"/>
        </w:rPr>
        <w:t>s articles</w:t>
      </w:r>
      <w:r w:rsidR="0031148B" w:rsidRPr="00572D0C">
        <w:rPr>
          <w:rFonts w:eastAsiaTheme="minorEastAsia"/>
          <w:lang w:val="fr-CH" w:eastAsia="en-US"/>
        </w:rPr>
        <w:t xml:space="preserve"> 1 </w:t>
      </w:r>
      <w:r>
        <w:rPr>
          <w:rFonts w:eastAsiaTheme="minorEastAsia"/>
          <w:lang w:val="fr-CH" w:eastAsia="en-US"/>
        </w:rPr>
        <w:t>et</w:t>
      </w:r>
      <w:r w:rsidR="0031148B" w:rsidRPr="00572D0C">
        <w:rPr>
          <w:rFonts w:eastAsiaTheme="minorEastAsia"/>
          <w:lang w:val="fr-CH" w:eastAsia="en-US"/>
        </w:rPr>
        <w:t xml:space="preserve"> 3 </w:t>
      </w:r>
      <w:r>
        <w:rPr>
          <w:rFonts w:eastAsiaTheme="minorEastAsia"/>
          <w:lang w:val="fr-CH" w:eastAsia="en-US"/>
        </w:rPr>
        <w:t xml:space="preserve">LAT et des articles 3 </w:t>
      </w:r>
      <w:r w:rsidR="000634F3">
        <w:rPr>
          <w:rFonts w:eastAsiaTheme="minorEastAsia"/>
          <w:lang w:val="fr-CH" w:eastAsia="en-US"/>
        </w:rPr>
        <w:t>ss</w:t>
      </w:r>
      <w:r>
        <w:rPr>
          <w:rFonts w:eastAsiaTheme="minorEastAsia"/>
          <w:lang w:val="fr-CH" w:eastAsia="en-US"/>
        </w:rPr>
        <w:t xml:space="preserve"> OAT</w:t>
      </w:r>
      <w:r w:rsidR="0031148B" w:rsidRPr="00572D0C">
        <w:rPr>
          <w:rFonts w:eastAsiaTheme="minorEastAsia"/>
          <w:lang w:val="fr-CH" w:eastAsia="en-US"/>
        </w:rPr>
        <w:t xml:space="preserve">. </w:t>
      </w:r>
      <w:r>
        <w:rPr>
          <w:rFonts w:eastAsiaTheme="minorEastAsia"/>
          <w:lang w:val="fr-CH" w:eastAsia="en-US"/>
        </w:rPr>
        <w:t xml:space="preserve">Avec la dernière révision partielle de la LAT et de l’OAT, </w:t>
      </w:r>
      <w:r w:rsidR="000634F3">
        <w:rPr>
          <w:rFonts w:eastAsiaTheme="minorEastAsia"/>
          <w:lang w:val="fr-CH" w:eastAsia="en-US"/>
        </w:rPr>
        <w:t xml:space="preserve">de nouvelles </w:t>
      </w:r>
      <w:r>
        <w:rPr>
          <w:rFonts w:eastAsiaTheme="minorEastAsia"/>
          <w:lang w:val="fr-CH" w:eastAsia="en-US"/>
        </w:rPr>
        <w:t>dispositions qui renforcent la protection des SDA sont entrées en vigueur le 1</w:t>
      </w:r>
      <w:r w:rsidRPr="007665E4">
        <w:rPr>
          <w:rFonts w:eastAsiaTheme="minorEastAsia"/>
          <w:vertAlign w:val="superscript"/>
          <w:lang w:val="fr-CH" w:eastAsia="en-US"/>
        </w:rPr>
        <w:t>er</w:t>
      </w:r>
      <w:r>
        <w:rPr>
          <w:rFonts w:eastAsiaTheme="minorEastAsia"/>
          <w:lang w:val="fr-CH" w:eastAsia="en-US"/>
        </w:rPr>
        <w:t xml:space="preserve"> mai </w:t>
      </w:r>
      <w:r w:rsidR="0031148B" w:rsidRPr="00572D0C">
        <w:rPr>
          <w:rFonts w:eastAsiaTheme="minorEastAsia"/>
          <w:lang w:val="fr-CH" w:eastAsia="en-US"/>
        </w:rPr>
        <w:t>2014</w:t>
      </w:r>
      <w:r w:rsidR="0031148B" w:rsidRPr="00572D0C">
        <w:rPr>
          <w:lang w:val="fr-CH"/>
        </w:rPr>
        <w:t>.</w:t>
      </w:r>
      <w:r w:rsidR="000634F3">
        <w:rPr>
          <w:lang w:val="fr-CH"/>
        </w:rPr>
        <w:t xml:space="preserve"> </w:t>
      </w:r>
      <w:r w:rsidR="000634F3">
        <w:rPr>
          <w:rFonts w:cs="Arial"/>
          <w:lang w:val="fr-CH"/>
        </w:rPr>
        <w:t>À</w:t>
      </w:r>
      <w:r>
        <w:rPr>
          <w:lang w:val="fr-CH"/>
        </w:rPr>
        <w:t xml:space="preserve"> </w:t>
      </w:r>
      <w:r w:rsidR="000634F3">
        <w:rPr>
          <w:lang w:val="fr-CH"/>
        </w:rPr>
        <w:t>cela s’ajoute</w:t>
      </w:r>
      <w:r>
        <w:rPr>
          <w:lang w:val="fr-CH"/>
        </w:rPr>
        <w:t xml:space="preserve"> que la Confédération et les cantons doivent collaborer dans l’accomplissement de leurs tâches et qu’ils se doivent respect et assistance</w:t>
      </w:r>
      <w:r w:rsidR="0031148B" w:rsidRPr="00572D0C">
        <w:rPr>
          <w:lang w:val="fr-CH"/>
        </w:rPr>
        <w:t xml:space="preserve"> (</w:t>
      </w:r>
      <w:r>
        <w:rPr>
          <w:lang w:val="fr-CH"/>
        </w:rPr>
        <w:t>a</w:t>
      </w:r>
      <w:r w:rsidR="0031148B" w:rsidRPr="00572D0C">
        <w:rPr>
          <w:lang w:val="fr-CH"/>
        </w:rPr>
        <w:t>rt. 44</w:t>
      </w:r>
      <w:r w:rsidR="000634F3">
        <w:rPr>
          <w:lang w:val="fr-CH"/>
        </w:rPr>
        <w:t>,</w:t>
      </w:r>
      <w:r w:rsidR="0031148B" w:rsidRPr="00572D0C">
        <w:rPr>
          <w:lang w:val="fr-CH"/>
        </w:rPr>
        <w:t xml:space="preserve"> </w:t>
      </w:r>
      <w:r>
        <w:rPr>
          <w:lang w:val="fr-CH"/>
        </w:rPr>
        <w:t>al</w:t>
      </w:r>
      <w:r w:rsidR="0031148B" w:rsidRPr="00572D0C">
        <w:rPr>
          <w:lang w:val="fr-CH"/>
        </w:rPr>
        <w:t xml:space="preserve">. 1 </w:t>
      </w:r>
      <w:r>
        <w:rPr>
          <w:lang w:val="fr-CH"/>
        </w:rPr>
        <w:t>et</w:t>
      </w:r>
      <w:r w:rsidR="0031148B" w:rsidRPr="00572D0C">
        <w:rPr>
          <w:lang w:val="fr-CH"/>
        </w:rPr>
        <w:t xml:space="preserve"> 2 </w:t>
      </w:r>
      <w:r>
        <w:rPr>
          <w:lang w:val="fr-CH"/>
        </w:rPr>
        <w:t>Cst</w:t>
      </w:r>
      <w:r w:rsidR="000634F3">
        <w:rPr>
          <w:lang w:val="fr-CH"/>
        </w:rPr>
        <w:t>.</w:t>
      </w:r>
      <w:r w:rsidR="0031148B" w:rsidRPr="00572D0C">
        <w:rPr>
          <w:lang w:val="fr-CH"/>
        </w:rPr>
        <w:t xml:space="preserve">). </w:t>
      </w:r>
      <w:r w:rsidR="000634F3">
        <w:rPr>
          <w:lang w:val="fr-CH"/>
        </w:rPr>
        <w:t>La règle de modération dans l’exercice des compétences se déduit notamment de ces principes</w:t>
      </w:r>
      <w:r w:rsidR="0031148B" w:rsidRPr="00572D0C">
        <w:rPr>
          <w:lang w:val="fr-CH"/>
        </w:rPr>
        <w:t xml:space="preserve">. </w:t>
      </w:r>
      <w:r w:rsidR="00791543">
        <w:rPr>
          <w:lang w:val="fr-CH"/>
        </w:rPr>
        <w:t xml:space="preserve">Compte tenu de la situation délicate dans laquelle se trouve un canton </w:t>
      </w:r>
      <w:r w:rsidR="000634F3">
        <w:rPr>
          <w:lang w:val="fr-CH"/>
        </w:rPr>
        <w:t>lorsque la surface minimale de SDA qu’il doit respecter n’est plus atteinte</w:t>
      </w:r>
      <w:r w:rsidR="00791543">
        <w:rPr>
          <w:lang w:val="fr-CH"/>
        </w:rPr>
        <w:t xml:space="preserve">, </w:t>
      </w:r>
      <w:r w:rsidR="000634F3">
        <w:rPr>
          <w:lang w:val="fr-CH"/>
        </w:rPr>
        <w:t xml:space="preserve">la conséquence, pour les projets fédéraux, est que </w:t>
      </w:r>
      <w:r w:rsidR="00791543">
        <w:rPr>
          <w:lang w:val="fr-CH"/>
        </w:rPr>
        <w:t>la Confédération doit</w:t>
      </w:r>
      <w:r w:rsidR="000634F3">
        <w:rPr>
          <w:lang w:val="fr-CH"/>
        </w:rPr>
        <w:t xml:space="preserve"> veiller à</w:t>
      </w:r>
      <w:r w:rsidR="00791543">
        <w:rPr>
          <w:lang w:val="fr-CH"/>
        </w:rPr>
        <w:t xml:space="preserve"> éviter </w:t>
      </w:r>
      <w:r w:rsidR="000634F3">
        <w:rPr>
          <w:lang w:val="fr-CH"/>
        </w:rPr>
        <w:t>le recours aux</w:t>
      </w:r>
      <w:r w:rsidR="00791543">
        <w:rPr>
          <w:lang w:val="fr-CH"/>
        </w:rPr>
        <w:t xml:space="preserve"> SDA </w:t>
      </w:r>
      <w:r w:rsidR="000634F3">
        <w:rPr>
          <w:lang w:val="fr-CH"/>
        </w:rPr>
        <w:t>ou en tout cas à minimiser ce recours</w:t>
      </w:r>
      <w:r w:rsidR="00791543">
        <w:rPr>
          <w:lang w:val="fr-CH"/>
        </w:rPr>
        <w:t>.</w:t>
      </w:r>
      <w:r w:rsidR="0031148B" w:rsidRPr="00572D0C">
        <w:rPr>
          <w:lang w:val="fr-CH"/>
        </w:rPr>
        <w:t xml:space="preserve"> </w:t>
      </w:r>
      <w:r w:rsidR="006D025E">
        <w:rPr>
          <w:lang w:val="fr-CH"/>
        </w:rPr>
        <w:t>Des mesures de compensation permettent d’</w:t>
      </w:r>
      <w:r w:rsidR="00791543">
        <w:rPr>
          <w:lang w:val="fr-CH"/>
        </w:rPr>
        <w:t xml:space="preserve">éviter ou </w:t>
      </w:r>
      <w:r w:rsidR="006D025E">
        <w:rPr>
          <w:lang w:val="fr-CH"/>
        </w:rPr>
        <w:t xml:space="preserve">de </w:t>
      </w:r>
      <w:r w:rsidR="00791543">
        <w:rPr>
          <w:lang w:val="fr-CH"/>
        </w:rPr>
        <w:t xml:space="preserve">minimiser </w:t>
      </w:r>
      <w:r w:rsidR="006D025E">
        <w:rPr>
          <w:lang w:val="fr-CH"/>
        </w:rPr>
        <w:t>le recours aux SDA</w:t>
      </w:r>
      <w:r w:rsidR="00791543">
        <w:rPr>
          <w:lang w:val="fr-CH"/>
        </w:rPr>
        <w:t xml:space="preserve">. </w:t>
      </w:r>
      <w:r w:rsidR="0031148B" w:rsidRPr="00572D0C">
        <w:rPr>
          <w:lang w:val="fr-CH"/>
        </w:rPr>
        <w:t xml:space="preserve"> </w:t>
      </w:r>
    </w:p>
    <w:p w14:paraId="4BBB1C72" w14:textId="60A441CB" w:rsidR="006D025E" w:rsidRDefault="007038B2" w:rsidP="0031148B">
      <w:pPr>
        <w:rPr>
          <w:lang w:val="fr-CH"/>
        </w:rPr>
      </w:pPr>
      <w:r>
        <w:rPr>
          <w:lang w:val="fr-CH"/>
        </w:rPr>
        <w:t>Les Offices fédéraux du développement territorial, des routes, de l’environnement, des transports, de l’aviation civile, de l’énergie et de l’agriculture, le Secrétariat général du DETEC</w:t>
      </w:r>
      <w:r w:rsidR="006D025E">
        <w:rPr>
          <w:lang w:val="fr-CH"/>
        </w:rPr>
        <w:t>,</w:t>
      </w:r>
      <w:r>
        <w:rPr>
          <w:lang w:val="fr-CH"/>
        </w:rPr>
        <w:t xml:space="preserve"> </w:t>
      </w:r>
      <w:r w:rsidR="006D025E">
        <w:rPr>
          <w:lang w:val="fr-CH"/>
        </w:rPr>
        <w:t xml:space="preserve">le Secrétariat général </w:t>
      </w:r>
      <w:r>
        <w:rPr>
          <w:lang w:val="fr-CH"/>
        </w:rPr>
        <w:t>du</w:t>
      </w:r>
      <w:r w:rsidR="0031148B" w:rsidRPr="00572D0C">
        <w:rPr>
          <w:lang w:val="fr-CH"/>
        </w:rPr>
        <w:t xml:space="preserve"> </w:t>
      </w:r>
      <w:r>
        <w:rPr>
          <w:lang w:val="fr-CH"/>
        </w:rPr>
        <w:t>DDP</w:t>
      </w:r>
      <w:r w:rsidR="0031148B" w:rsidRPr="00572D0C">
        <w:rPr>
          <w:lang w:val="fr-CH"/>
        </w:rPr>
        <w:t xml:space="preserve">S </w:t>
      </w:r>
      <w:r>
        <w:rPr>
          <w:lang w:val="fr-CH"/>
        </w:rPr>
        <w:lastRenderedPageBreak/>
        <w:t>et le Secrétariat d’État aux migrations</w:t>
      </w:r>
      <w:r w:rsidR="0031148B" w:rsidRPr="00572D0C">
        <w:rPr>
          <w:lang w:val="fr-CH"/>
        </w:rPr>
        <w:t xml:space="preserve"> </w:t>
      </w:r>
      <w:r>
        <w:rPr>
          <w:lang w:val="fr-CH"/>
        </w:rPr>
        <w:t>ont signé le</w:t>
      </w:r>
      <w:r w:rsidR="0031148B" w:rsidRPr="00572D0C">
        <w:rPr>
          <w:lang w:val="fr-CH"/>
        </w:rPr>
        <w:t xml:space="preserve"> 13</w:t>
      </w:r>
      <w:r>
        <w:rPr>
          <w:lang w:val="fr-CH"/>
        </w:rPr>
        <w:t xml:space="preserve"> décembre</w:t>
      </w:r>
      <w:r w:rsidR="0031148B" w:rsidRPr="00572D0C">
        <w:rPr>
          <w:lang w:val="fr-CH"/>
        </w:rPr>
        <w:t xml:space="preserve"> 2017 </w:t>
      </w:r>
      <w:r>
        <w:rPr>
          <w:lang w:val="fr-CH"/>
        </w:rPr>
        <w:t>une déclaration d’intention sur la compensation des surfaces d’assolement à appliquer en principe lors des projets fédéraux</w:t>
      </w:r>
      <w:r w:rsidR="0031148B" w:rsidRPr="00572D0C">
        <w:rPr>
          <w:rStyle w:val="Funotenzeichen"/>
          <w:lang w:val="fr-CH"/>
        </w:rPr>
        <w:footnoteReference w:id="29"/>
      </w:r>
      <w:r w:rsidR="0031148B" w:rsidRPr="00572D0C">
        <w:rPr>
          <w:lang w:val="fr-CH"/>
        </w:rPr>
        <w:t xml:space="preserve">. </w:t>
      </w:r>
      <w:r w:rsidR="00D1701C">
        <w:rPr>
          <w:lang w:val="fr-CH"/>
        </w:rPr>
        <w:t xml:space="preserve">Ils </w:t>
      </w:r>
      <w:r w:rsidR="006D025E">
        <w:rPr>
          <w:lang w:val="fr-CH"/>
        </w:rPr>
        <w:t>entendent exercer un rôle exemplaire et exigeront</w:t>
      </w:r>
      <w:r w:rsidR="00D1701C">
        <w:rPr>
          <w:lang w:val="fr-CH"/>
        </w:rPr>
        <w:t xml:space="preserve"> un usage parcimonieux des SDA dans les projets d’infrastructure relevant de leur responsabilité</w:t>
      </w:r>
      <w:r w:rsidR="0031148B" w:rsidRPr="00572D0C">
        <w:rPr>
          <w:lang w:val="fr-CH"/>
        </w:rPr>
        <w:t xml:space="preserve">. </w:t>
      </w:r>
      <w:r w:rsidR="00D1701C">
        <w:rPr>
          <w:lang w:val="fr-CH"/>
        </w:rPr>
        <w:t xml:space="preserve">Au cas où des SDA </w:t>
      </w:r>
      <w:r w:rsidR="006D025E">
        <w:rPr>
          <w:lang w:val="fr-CH"/>
        </w:rPr>
        <w:t xml:space="preserve">figurant </w:t>
      </w:r>
      <w:r w:rsidR="00D1701C">
        <w:rPr>
          <w:lang w:val="fr-CH"/>
        </w:rPr>
        <w:t>dans les inventaires cantonaux seraient malgré tout utilisées, ils sont disposés</w:t>
      </w:r>
      <w:r w:rsidR="001B0DB3">
        <w:rPr>
          <w:lang w:val="fr-CH"/>
        </w:rPr>
        <w:t xml:space="preserve"> </w:t>
      </w:r>
      <w:r w:rsidR="00D1701C">
        <w:rPr>
          <w:lang w:val="fr-CH"/>
        </w:rPr>
        <w:t xml:space="preserve">à les compenser ou les faire compenser </w:t>
      </w:r>
      <w:r w:rsidR="001B0DB3">
        <w:rPr>
          <w:lang w:val="fr-CH"/>
        </w:rPr>
        <w:t>dans les délais impartis</w:t>
      </w:r>
      <w:r w:rsidR="0031148B" w:rsidRPr="00572D0C">
        <w:rPr>
          <w:lang w:val="fr-CH"/>
        </w:rPr>
        <w:t>.</w:t>
      </w:r>
      <w:r w:rsidR="001B0DB3">
        <w:rPr>
          <w:lang w:val="fr-CH"/>
        </w:rPr>
        <w:t xml:space="preserve"> </w:t>
      </w:r>
    </w:p>
    <w:p w14:paraId="20BCBCC2" w14:textId="5D208D20" w:rsidR="00AD2C31" w:rsidRDefault="006D025E" w:rsidP="0031148B">
      <w:pPr>
        <w:rPr>
          <w:lang w:val="fr-CH"/>
        </w:rPr>
      </w:pPr>
      <w:r>
        <w:rPr>
          <w:lang w:val="fr-CH"/>
        </w:rPr>
        <w:t xml:space="preserve">Quand l’emprise sur </w:t>
      </w:r>
      <w:r w:rsidR="001B3B45">
        <w:rPr>
          <w:lang w:val="fr-CH"/>
        </w:rPr>
        <w:t>l</w:t>
      </w:r>
      <w:r>
        <w:rPr>
          <w:lang w:val="fr-CH"/>
        </w:rPr>
        <w:t xml:space="preserve">es SDA est très faible, </w:t>
      </w:r>
      <w:r w:rsidR="001B3B45">
        <w:rPr>
          <w:lang w:val="fr-CH"/>
        </w:rPr>
        <w:t>par exemple lors de la pose</w:t>
      </w:r>
      <w:r w:rsidR="00AD2C31">
        <w:rPr>
          <w:lang w:val="fr-CH"/>
        </w:rPr>
        <w:t xml:space="preserve"> de mâts</w:t>
      </w:r>
      <w:r w:rsidR="001B3B45">
        <w:rPr>
          <w:lang w:val="fr-CH"/>
        </w:rPr>
        <w:t>,</w:t>
      </w:r>
      <w:r w:rsidR="00AD2C31">
        <w:rPr>
          <w:lang w:val="fr-CH"/>
        </w:rPr>
        <w:t xml:space="preserve"> </w:t>
      </w:r>
      <w:r w:rsidR="001B3B45">
        <w:rPr>
          <w:lang w:val="fr-CH"/>
        </w:rPr>
        <w:t xml:space="preserve">il </w:t>
      </w:r>
      <w:r w:rsidR="00AD2C31">
        <w:rPr>
          <w:lang w:val="fr-CH"/>
        </w:rPr>
        <w:t>est possible de</w:t>
      </w:r>
      <w:r w:rsidR="001B3B45">
        <w:rPr>
          <w:lang w:val="fr-CH"/>
        </w:rPr>
        <w:t xml:space="preserve"> renoncer à des compensations individuelles. Dans de tels cas, </w:t>
      </w:r>
      <w:r w:rsidR="00AD2C31">
        <w:rPr>
          <w:lang w:val="fr-CH"/>
        </w:rPr>
        <w:t xml:space="preserve">des solutions </w:t>
      </w:r>
      <w:r w:rsidR="001B3B45">
        <w:rPr>
          <w:lang w:val="fr-CH"/>
        </w:rPr>
        <w:t>de cumul des</w:t>
      </w:r>
      <w:r w:rsidR="00AD2C31">
        <w:rPr>
          <w:lang w:val="fr-CH"/>
        </w:rPr>
        <w:t xml:space="preserve"> compensation</w:t>
      </w:r>
      <w:r w:rsidR="001B3B45">
        <w:rPr>
          <w:lang w:val="fr-CH"/>
        </w:rPr>
        <w:t>s</w:t>
      </w:r>
      <w:r w:rsidR="00AD2C31">
        <w:rPr>
          <w:lang w:val="fr-CH"/>
        </w:rPr>
        <w:t xml:space="preserve"> </w:t>
      </w:r>
      <w:r w:rsidR="001B3B45">
        <w:rPr>
          <w:lang w:val="fr-CH"/>
        </w:rPr>
        <w:t xml:space="preserve">sur </w:t>
      </w:r>
      <w:r w:rsidR="00AD2C31">
        <w:rPr>
          <w:lang w:val="fr-CH"/>
        </w:rPr>
        <w:t xml:space="preserve">plusieurs projets ou de </w:t>
      </w:r>
      <w:r w:rsidR="001B3B45">
        <w:rPr>
          <w:lang w:val="fr-CH"/>
        </w:rPr>
        <w:t>versement dans un éventuel</w:t>
      </w:r>
      <w:r w:rsidR="00AD2C31">
        <w:rPr>
          <w:lang w:val="fr-CH"/>
        </w:rPr>
        <w:t xml:space="preserve"> fonds existant</w:t>
      </w:r>
      <w:r w:rsidR="001B3B45">
        <w:rPr>
          <w:lang w:val="fr-CH"/>
        </w:rPr>
        <w:t xml:space="preserve"> sont possibles</w:t>
      </w:r>
      <w:r w:rsidR="00AD2C31">
        <w:rPr>
          <w:lang w:val="fr-CH"/>
        </w:rPr>
        <w:t>.</w:t>
      </w:r>
    </w:p>
    <w:p w14:paraId="4B58F546" w14:textId="6FCFB117" w:rsidR="0031148B" w:rsidRDefault="00AD2C31" w:rsidP="0031148B">
      <w:pPr>
        <w:rPr>
          <w:lang w:val="fr-CH"/>
        </w:rPr>
      </w:pPr>
      <w:r>
        <w:rPr>
          <w:lang w:val="fr-CH"/>
        </w:rPr>
        <w:t xml:space="preserve">La collaboration des cantons est indispensable à la compensation des surfaces utilisées pour des projets fédéraux. Les cantons sont tenus de contribuer à la compensation </w:t>
      </w:r>
      <w:r w:rsidR="00A73022">
        <w:rPr>
          <w:lang w:val="fr-CH"/>
        </w:rPr>
        <w:t>« </w:t>
      </w:r>
      <w:r>
        <w:rPr>
          <w:lang w:val="fr-CH"/>
        </w:rPr>
        <w:t>dans les délais</w:t>
      </w:r>
      <w:r w:rsidR="00A73022">
        <w:rPr>
          <w:lang w:val="fr-CH"/>
        </w:rPr>
        <w:t> »</w:t>
      </w:r>
      <w:r>
        <w:rPr>
          <w:lang w:val="fr-CH"/>
        </w:rPr>
        <w:t xml:space="preserve"> de toute sollicitation de SDA répertoriée</w:t>
      </w:r>
      <w:r w:rsidR="001B3B45">
        <w:rPr>
          <w:lang w:val="fr-CH"/>
        </w:rPr>
        <w:t>s</w:t>
      </w:r>
      <w:r>
        <w:rPr>
          <w:lang w:val="fr-CH"/>
        </w:rPr>
        <w:t xml:space="preserve"> dans leur inventaire.  « Dans les délais » signifie que le projet de compensation doit être déjà entiè</w:t>
      </w:r>
      <w:r w:rsidR="00A73022">
        <w:rPr>
          <w:lang w:val="fr-CH"/>
        </w:rPr>
        <w:t>re</w:t>
      </w:r>
      <w:r>
        <w:rPr>
          <w:lang w:val="fr-CH"/>
        </w:rPr>
        <w:t>ment planifié</w:t>
      </w:r>
      <w:r w:rsidR="00A73022">
        <w:rPr>
          <w:lang w:val="fr-CH"/>
        </w:rPr>
        <w:t xml:space="preserve"> dès le commencement des travaux et qu’il doit être achevé à la fin des travaux du projet fédéral. Pour que cette compensation puisse être garantie, les cantons montrent au requérant les surfaces qui entrent en ligne de compte. De même, les cantons signalent à la Confédération s’ils ont prévu la possibilité de verser une indemnisation (</w:t>
      </w:r>
      <w:r w:rsidR="001B3B45">
        <w:rPr>
          <w:lang w:val="fr-CH"/>
        </w:rPr>
        <w:t>selon</w:t>
      </w:r>
      <w:r w:rsidR="00A73022">
        <w:rPr>
          <w:lang w:val="fr-CH"/>
        </w:rPr>
        <w:t xml:space="preserve"> P9) en lieu et place d’une compensation en nature.</w:t>
      </w:r>
    </w:p>
    <w:p w14:paraId="348B1AE2" w14:textId="53397AAE" w:rsidR="00A73022" w:rsidRDefault="00A73022" w:rsidP="0031148B">
      <w:pPr>
        <w:rPr>
          <w:lang w:val="fr-CH"/>
        </w:rPr>
      </w:pPr>
      <w:r>
        <w:rPr>
          <w:lang w:val="fr-CH"/>
        </w:rPr>
        <w:t xml:space="preserve">Lorsqu’un canton refuse son aide pour une compensation, </w:t>
      </w:r>
      <w:r w:rsidR="00D35BBB">
        <w:rPr>
          <w:lang w:val="fr-CH"/>
        </w:rPr>
        <w:t xml:space="preserve">celle-ci risque de ne pas être réalisée. La </w:t>
      </w:r>
      <w:r>
        <w:rPr>
          <w:lang w:val="fr-CH"/>
        </w:rPr>
        <w:t xml:space="preserve">marge de manœuvre </w:t>
      </w:r>
      <w:r w:rsidR="00D35BBB">
        <w:rPr>
          <w:lang w:val="fr-CH"/>
        </w:rPr>
        <w:t xml:space="preserve">du canton </w:t>
      </w:r>
      <w:r>
        <w:rPr>
          <w:lang w:val="fr-CH"/>
        </w:rPr>
        <w:t xml:space="preserve">en matière de SDA se restreint et </w:t>
      </w:r>
      <w:r w:rsidR="00D35BBB">
        <w:rPr>
          <w:lang w:val="fr-CH"/>
        </w:rPr>
        <w:t xml:space="preserve">le canton </w:t>
      </w:r>
      <w:r>
        <w:rPr>
          <w:lang w:val="fr-CH"/>
        </w:rPr>
        <w:t xml:space="preserve">met en péril sa </w:t>
      </w:r>
      <w:r w:rsidR="00D35BBB">
        <w:rPr>
          <w:lang w:val="fr-CH"/>
        </w:rPr>
        <w:t xml:space="preserve">propre </w:t>
      </w:r>
      <w:r>
        <w:rPr>
          <w:lang w:val="fr-CH"/>
        </w:rPr>
        <w:t xml:space="preserve">flexibilité </w:t>
      </w:r>
      <w:r w:rsidR="00D35BBB">
        <w:rPr>
          <w:lang w:val="fr-CH"/>
        </w:rPr>
        <w:t>lors de projets futurs</w:t>
      </w:r>
      <w:r>
        <w:rPr>
          <w:lang w:val="fr-CH"/>
        </w:rPr>
        <w:t>.</w:t>
      </w:r>
      <w:r w:rsidR="00AB2758">
        <w:rPr>
          <w:lang w:val="fr-CH"/>
        </w:rPr>
        <w:t xml:space="preserve"> De plus, il faut souligner que les projets nationaux apportent dans la plupart des cas une valeur ajoutée </w:t>
      </w:r>
      <w:r w:rsidR="00D35BBB">
        <w:rPr>
          <w:lang w:val="fr-CH"/>
        </w:rPr>
        <w:t>importante</w:t>
      </w:r>
      <w:r w:rsidR="00AB2758">
        <w:rPr>
          <w:lang w:val="fr-CH"/>
        </w:rPr>
        <w:t xml:space="preserve"> </w:t>
      </w:r>
      <w:r w:rsidR="00D35BBB">
        <w:rPr>
          <w:lang w:val="fr-CH"/>
        </w:rPr>
        <w:t>au</w:t>
      </w:r>
      <w:r w:rsidR="00AB2758">
        <w:rPr>
          <w:lang w:val="fr-CH"/>
        </w:rPr>
        <w:t xml:space="preserve"> canton. Les cantons sont par ailleurs tenus de réfléchir dès l’élaboration de leur planification directrice à la façon de compenser les SDA perdues en raison de l’implantation de projets d’infrastructures réalisés par les autorités fédérales. Il est donc recommandé aux cantons de prévoir le plus tôt possible les surfaces nécessaires et de les sécuriser par des mesures d’aménagement</w:t>
      </w:r>
      <w:r w:rsidR="00EB4245">
        <w:rPr>
          <w:lang w:val="fr-CH"/>
        </w:rPr>
        <w:t>, par exemple en les désignant sur la carte indicative selon P7</w:t>
      </w:r>
      <w:r w:rsidR="00AB2758">
        <w:rPr>
          <w:lang w:val="fr-CH"/>
        </w:rPr>
        <w:t>.</w:t>
      </w:r>
    </w:p>
    <w:p w14:paraId="11ADF22C" w14:textId="43C60726" w:rsidR="00AB2758" w:rsidRDefault="00AB2758" w:rsidP="0031148B">
      <w:pPr>
        <w:rPr>
          <w:lang w:val="fr-CH"/>
        </w:rPr>
      </w:pPr>
      <w:r>
        <w:rPr>
          <w:lang w:val="fr-CH"/>
        </w:rPr>
        <w:t>Lorsqu’un projet fédéral est implanté sur plusieurs cantons, la compensation des SDA peut également être prévue sur le territoire de plusieurs cantons. Il faut toutefois éviter que le contingent de SDA d’un des cantons ne soit plus respecté.</w:t>
      </w:r>
    </w:p>
    <w:p w14:paraId="1F0D0291" w14:textId="27E31980" w:rsidR="00AB2758" w:rsidRPr="00572D0C" w:rsidRDefault="00AB2758" w:rsidP="0031148B">
      <w:pPr>
        <w:rPr>
          <w:lang w:val="fr-CH"/>
        </w:rPr>
      </w:pPr>
      <w:r>
        <w:rPr>
          <w:lang w:val="fr-CH"/>
        </w:rPr>
        <w:t xml:space="preserve">L’obligation de compensation des projets fédéraux occasionne un surcroît de dépenses et de coûts </w:t>
      </w:r>
      <w:r w:rsidR="00452BB3">
        <w:rPr>
          <w:lang w:val="fr-CH"/>
        </w:rPr>
        <w:t>à prendre</w:t>
      </w:r>
      <w:r>
        <w:rPr>
          <w:lang w:val="fr-CH"/>
        </w:rPr>
        <w:t xml:space="preserve"> en compte ou</w:t>
      </w:r>
      <w:r w:rsidR="00EB4245">
        <w:rPr>
          <w:lang w:val="fr-CH"/>
        </w:rPr>
        <w:t xml:space="preserve"> à</w:t>
      </w:r>
      <w:r>
        <w:rPr>
          <w:lang w:val="fr-CH"/>
        </w:rPr>
        <w:t xml:space="preserve"> intégr</w:t>
      </w:r>
      <w:r w:rsidR="00452BB3">
        <w:rPr>
          <w:lang w:val="fr-CH"/>
        </w:rPr>
        <w:t>er</w:t>
      </w:r>
      <w:r>
        <w:rPr>
          <w:lang w:val="fr-CH"/>
        </w:rPr>
        <w:t xml:space="preserve"> </w:t>
      </w:r>
      <w:r w:rsidR="00EB4245">
        <w:rPr>
          <w:lang w:val="fr-CH"/>
        </w:rPr>
        <w:t>d’emblée</w:t>
      </w:r>
      <w:r>
        <w:rPr>
          <w:lang w:val="fr-CH"/>
        </w:rPr>
        <w:t xml:space="preserve"> dans la planification des projets et dont le financement </w:t>
      </w:r>
      <w:r w:rsidR="00EB4245">
        <w:rPr>
          <w:lang w:val="fr-CH"/>
        </w:rPr>
        <w:t xml:space="preserve">devrait </w:t>
      </w:r>
      <w:r>
        <w:rPr>
          <w:lang w:val="fr-CH"/>
        </w:rPr>
        <w:t>être assuré.</w:t>
      </w:r>
    </w:p>
    <w:p w14:paraId="592C2C22" w14:textId="300AD176" w:rsidR="00A72832" w:rsidRPr="00572D0C" w:rsidRDefault="00285AB5" w:rsidP="197C7369">
      <w:pPr>
        <w:rPr>
          <w:lang w:val="fr-CH"/>
        </w:rPr>
      </w:pPr>
      <w:r>
        <w:rPr>
          <w:lang w:val="fr-CH"/>
        </w:rPr>
        <w:t>En cas de paiement d’une indemnisation liée à la surface de SDA utilisée selon</w:t>
      </w:r>
      <w:r w:rsidR="0031148B" w:rsidRPr="00572D0C">
        <w:rPr>
          <w:lang w:val="fr-CH"/>
        </w:rPr>
        <w:t xml:space="preserve"> </w:t>
      </w:r>
      <w:r>
        <w:rPr>
          <w:lang w:val="fr-CH"/>
        </w:rPr>
        <w:t xml:space="preserve">P9, l’indemnisation doit en principe avoir été </w:t>
      </w:r>
      <w:r w:rsidR="00F25E89">
        <w:rPr>
          <w:lang w:val="fr-CH"/>
        </w:rPr>
        <w:t xml:space="preserve">affectée à </w:t>
      </w:r>
      <w:r>
        <w:rPr>
          <w:lang w:val="fr-CH"/>
        </w:rPr>
        <w:t xml:space="preserve">une </w:t>
      </w:r>
      <w:r w:rsidR="00687205">
        <w:rPr>
          <w:lang w:val="fr-CH"/>
        </w:rPr>
        <w:t>réhabilitation</w:t>
      </w:r>
      <w:r>
        <w:rPr>
          <w:lang w:val="fr-CH"/>
        </w:rPr>
        <w:t xml:space="preserve"> ou </w:t>
      </w:r>
      <w:r w:rsidR="00EB4245">
        <w:rPr>
          <w:lang w:val="fr-CH"/>
        </w:rPr>
        <w:t xml:space="preserve">à </w:t>
      </w:r>
      <w:r>
        <w:rPr>
          <w:lang w:val="fr-CH"/>
        </w:rPr>
        <w:t xml:space="preserve">une </w:t>
      </w:r>
      <w:r w:rsidR="00687205">
        <w:rPr>
          <w:lang w:val="fr-CH"/>
        </w:rPr>
        <w:t xml:space="preserve">revalorisation </w:t>
      </w:r>
      <w:r>
        <w:rPr>
          <w:lang w:val="fr-CH"/>
        </w:rPr>
        <w:t>d’un sol dégradé par l’activité humaine</w:t>
      </w:r>
      <w:r w:rsidRPr="00285AB5">
        <w:rPr>
          <w:lang w:val="fr-CH"/>
        </w:rPr>
        <w:t xml:space="preserve"> </w:t>
      </w:r>
      <w:r>
        <w:rPr>
          <w:lang w:val="fr-CH"/>
        </w:rPr>
        <w:t>dans les cinq ans qui suivent la réalisation du projet</w:t>
      </w:r>
      <w:r w:rsidR="0031148B" w:rsidRPr="00572D0C">
        <w:rPr>
          <w:lang w:val="fr-CH"/>
        </w:rPr>
        <w:t xml:space="preserve">. </w:t>
      </w:r>
    </w:p>
    <w:p w14:paraId="4A06D8AD" w14:textId="2E6B8532" w:rsidR="00EF39F8" w:rsidRPr="00572D0C" w:rsidRDefault="00EF39F8" w:rsidP="00EF39F8">
      <w:pPr>
        <w:rPr>
          <w:rFonts w:ascii="ArialMT" w:eastAsiaTheme="minorEastAsia" w:hAnsi="ArialMT" w:cs="ArialMT"/>
          <w:lang w:val="fr-CH" w:eastAsia="en-US"/>
        </w:rPr>
      </w:pPr>
      <w:r>
        <w:rPr>
          <w:lang w:val="fr-CH"/>
        </w:rPr>
        <w:t xml:space="preserve">Dans son Mémorandum </w:t>
      </w:r>
      <w:r w:rsidR="00EB4245">
        <w:rPr>
          <w:lang w:val="fr-CH"/>
        </w:rPr>
        <w:t>consacré à ce thème</w:t>
      </w:r>
      <w:r>
        <w:rPr>
          <w:lang w:val="fr-CH"/>
        </w:rPr>
        <w:t>, le groupe de travail</w:t>
      </w:r>
      <w:r w:rsidRPr="00572D0C">
        <w:rPr>
          <w:lang w:val="fr-CH"/>
        </w:rPr>
        <w:t xml:space="preserve"> «</w:t>
      </w:r>
      <w:r>
        <w:rPr>
          <w:lang w:val="fr-CH"/>
        </w:rPr>
        <w:t xml:space="preserve"> Infrastructures de la Confédération et SDA </w:t>
      </w:r>
      <w:r w:rsidRPr="00572D0C">
        <w:rPr>
          <w:lang w:val="fr-CH"/>
        </w:rPr>
        <w:t>»</w:t>
      </w:r>
      <w:r w:rsidRPr="00572D0C">
        <w:rPr>
          <w:rStyle w:val="Funotenzeichen"/>
          <w:lang w:val="fr-CH"/>
        </w:rPr>
        <w:footnoteReference w:id="30"/>
      </w:r>
      <w:r w:rsidRPr="00572D0C">
        <w:rPr>
          <w:lang w:val="fr-CH"/>
        </w:rPr>
        <w:t xml:space="preserve"> </w:t>
      </w:r>
      <w:r>
        <w:rPr>
          <w:lang w:val="fr-CH"/>
        </w:rPr>
        <w:t>a abordé d’autres aspects, notamment la manière de réaliser une compensation</w:t>
      </w:r>
      <w:r w:rsidRPr="00572D0C">
        <w:rPr>
          <w:lang w:val="fr-CH"/>
        </w:rPr>
        <w:t>.</w:t>
      </w:r>
    </w:p>
    <w:p w14:paraId="59FCE1D4" w14:textId="1086B725" w:rsidR="00EF39F8" w:rsidRPr="008B563A" w:rsidRDefault="00EF39F8" w:rsidP="00501D1D">
      <w:pPr>
        <w:pStyle w:val="berschrift2"/>
        <w:rPr>
          <w:lang w:val="fr-CH"/>
        </w:rPr>
      </w:pPr>
      <w:bookmarkStart w:id="118" w:name="_Toc526946715"/>
      <w:bookmarkStart w:id="119" w:name="_Toc531193007"/>
      <w:bookmarkStart w:id="120" w:name="_Toc532996289"/>
      <w:r w:rsidRPr="008B563A">
        <w:rPr>
          <w:lang w:val="fr-CH"/>
        </w:rPr>
        <w:t xml:space="preserve">Observation de l’évolution </w:t>
      </w:r>
      <w:r w:rsidR="00CC380D">
        <w:rPr>
          <w:lang w:val="fr-CH"/>
        </w:rPr>
        <w:t>des inventaires</w:t>
      </w:r>
      <w:r w:rsidRPr="008B563A">
        <w:rPr>
          <w:lang w:val="fr-CH"/>
        </w:rPr>
        <w:t xml:space="preserve"> de SDA</w:t>
      </w:r>
      <w:bookmarkEnd w:id="120"/>
    </w:p>
    <w:bookmarkEnd w:id="108"/>
    <w:bookmarkEnd w:id="109"/>
    <w:bookmarkEnd w:id="118"/>
    <w:bookmarkEnd w:id="119"/>
    <w:p w14:paraId="4EA34FF4" w14:textId="3E28478C" w:rsidR="00D57074" w:rsidRPr="00572D0C" w:rsidRDefault="00836F36" w:rsidP="009B66FE">
      <w:pPr>
        <w:rPr>
          <w:lang w:val="fr-CH"/>
        </w:rPr>
      </w:pPr>
      <w:r>
        <w:rPr>
          <w:lang w:val="fr-CH"/>
        </w:rPr>
        <w:t xml:space="preserve">L’observation </w:t>
      </w:r>
      <w:r w:rsidR="008D3375">
        <w:rPr>
          <w:lang w:val="fr-CH"/>
        </w:rPr>
        <w:t>des inventaires</w:t>
      </w:r>
      <w:r>
        <w:rPr>
          <w:lang w:val="fr-CH"/>
        </w:rPr>
        <w:t xml:space="preserve"> de SDA nécessite une vue d’ensemble harmonisée et actualisée de tous les inventaires cantonaux de SDA</w:t>
      </w:r>
      <w:r w:rsidR="147A5F7B" w:rsidRPr="00572D0C">
        <w:rPr>
          <w:lang w:val="fr-CH"/>
        </w:rPr>
        <w:t xml:space="preserve"> </w:t>
      </w:r>
      <w:r>
        <w:rPr>
          <w:lang w:val="fr-CH"/>
        </w:rPr>
        <w:t>et des modifications opérées dans chaque inventaire afin d’assurer l’information et la sensibilisation des autorités, des particuliers et des autres personnes intéressées.</w:t>
      </w:r>
      <w:r w:rsidR="147A5F7B" w:rsidRPr="00572D0C">
        <w:rPr>
          <w:lang w:val="fr-CH"/>
        </w:rPr>
        <w:t xml:space="preserve"> </w:t>
      </w:r>
    </w:p>
    <w:p w14:paraId="3C5237DA" w14:textId="09900B4E" w:rsidR="008778D4" w:rsidRPr="00572D0C" w:rsidRDefault="00722D87" w:rsidP="008778D4">
      <w:pPr>
        <w:pStyle w:val="Listenabsatz"/>
        <w:numPr>
          <w:ilvl w:val="0"/>
          <w:numId w:val="29"/>
        </w:numPr>
        <w:shd w:val="clear" w:color="auto" w:fill="D9D9D9" w:themeFill="background1" w:themeFillShade="D9"/>
        <w:spacing w:before="240"/>
        <w:ind w:left="567" w:hanging="567"/>
        <w:rPr>
          <w:b/>
          <w:bCs/>
          <w:i w:val="0"/>
          <w:lang w:val="fr-CH"/>
        </w:rPr>
      </w:pPr>
      <w:r>
        <w:rPr>
          <w:b/>
          <w:bCs/>
          <w:i w:val="0"/>
          <w:lang w:val="fr-CH"/>
        </w:rPr>
        <w:lastRenderedPageBreak/>
        <w:t xml:space="preserve">Les cantons actualisent leurs géodonnées </w:t>
      </w:r>
      <w:r w:rsidR="00CC380D">
        <w:rPr>
          <w:b/>
          <w:bCs/>
          <w:i w:val="0"/>
          <w:lang w:val="fr-CH"/>
        </w:rPr>
        <w:t xml:space="preserve">sur </w:t>
      </w:r>
      <w:r w:rsidR="00BB674D">
        <w:rPr>
          <w:b/>
          <w:bCs/>
          <w:i w:val="0"/>
          <w:lang w:val="fr-CH"/>
        </w:rPr>
        <w:t xml:space="preserve">les </w:t>
      </w:r>
      <w:r w:rsidR="00EF39F8">
        <w:rPr>
          <w:b/>
          <w:bCs/>
          <w:i w:val="0"/>
          <w:lang w:val="fr-CH"/>
        </w:rPr>
        <w:t xml:space="preserve">inventaires de </w:t>
      </w:r>
      <w:r>
        <w:rPr>
          <w:b/>
          <w:bCs/>
          <w:i w:val="0"/>
          <w:lang w:val="fr-CH"/>
        </w:rPr>
        <w:t xml:space="preserve">SDA au moins une fois par an, </w:t>
      </w:r>
      <w:r w:rsidR="00BB674D">
        <w:rPr>
          <w:b/>
          <w:bCs/>
          <w:i w:val="0"/>
          <w:lang w:val="fr-CH"/>
        </w:rPr>
        <w:t>au</w:t>
      </w:r>
      <w:r>
        <w:rPr>
          <w:b/>
          <w:bCs/>
          <w:i w:val="0"/>
          <w:lang w:val="fr-CH"/>
        </w:rPr>
        <w:t xml:space="preserve"> 1</w:t>
      </w:r>
      <w:r w:rsidRPr="00722D87">
        <w:rPr>
          <w:b/>
          <w:bCs/>
          <w:i w:val="0"/>
          <w:vertAlign w:val="superscript"/>
          <w:lang w:val="fr-CH"/>
        </w:rPr>
        <w:t>er</w:t>
      </w:r>
      <w:r>
        <w:rPr>
          <w:b/>
          <w:bCs/>
          <w:i w:val="0"/>
          <w:lang w:val="fr-CH"/>
        </w:rPr>
        <w:t xml:space="preserve"> janvier</w:t>
      </w:r>
      <w:r w:rsidR="008778D4" w:rsidRPr="00572D0C">
        <w:rPr>
          <w:b/>
          <w:bCs/>
          <w:i w:val="0"/>
          <w:lang w:val="fr-CH"/>
        </w:rPr>
        <w:t xml:space="preserve">. </w:t>
      </w:r>
    </w:p>
    <w:p w14:paraId="4B968849" w14:textId="6A389DAD" w:rsidR="009B66FE" w:rsidRPr="00572D0C" w:rsidRDefault="00836F36" w:rsidP="147A5F7B">
      <w:pPr>
        <w:rPr>
          <w:rFonts w:cs="Arial"/>
          <w:lang w:val="fr-CH"/>
        </w:rPr>
      </w:pPr>
      <w:r>
        <w:rPr>
          <w:rFonts w:cs="Arial"/>
          <w:lang w:val="fr-CH"/>
        </w:rPr>
        <w:t>Jusqu’à présent, les inventaires cantonaux de SDA n’étaient que partiellement accessibles au public s</w:t>
      </w:r>
      <w:r w:rsidR="00BC7DCA" w:rsidRPr="00572D0C">
        <w:rPr>
          <w:rFonts w:cs="Arial"/>
          <w:lang w:val="fr-CH"/>
        </w:rPr>
        <w:t xml:space="preserve">ur </w:t>
      </w:r>
      <w:r>
        <w:rPr>
          <w:rFonts w:cs="Arial"/>
          <w:lang w:val="fr-CH"/>
        </w:rPr>
        <w:t>les géoportails des cantons</w:t>
      </w:r>
      <w:r w:rsidR="009B66FE" w:rsidRPr="00572D0C">
        <w:rPr>
          <w:rFonts w:cs="Arial"/>
          <w:lang w:val="fr-CH"/>
        </w:rPr>
        <w:t xml:space="preserve">. </w:t>
      </w:r>
      <w:r w:rsidR="00DC0DCB">
        <w:rPr>
          <w:rFonts w:cs="Arial"/>
          <w:lang w:val="fr-CH"/>
        </w:rPr>
        <w:t>Avec la mise en œuvre du modèle minimal de géodonnée</w:t>
      </w:r>
      <w:r w:rsidR="009B66FE" w:rsidRPr="00572D0C">
        <w:rPr>
          <w:rFonts w:cs="Arial"/>
          <w:lang w:val="fr-CH"/>
        </w:rPr>
        <w:t>s</w:t>
      </w:r>
      <w:r w:rsidR="002919A4" w:rsidRPr="00572D0C">
        <w:rPr>
          <w:rStyle w:val="Funotenzeichen"/>
          <w:rFonts w:cs="Arial"/>
          <w:lang w:val="fr-CH"/>
        </w:rPr>
        <w:footnoteReference w:id="31"/>
      </w:r>
      <w:r w:rsidR="009B66FE" w:rsidRPr="00572D0C">
        <w:rPr>
          <w:rFonts w:cs="Arial"/>
          <w:lang w:val="fr-CH"/>
        </w:rPr>
        <w:t xml:space="preserve"> </w:t>
      </w:r>
      <w:r w:rsidR="00DC0DCB">
        <w:rPr>
          <w:rFonts w:cs="Arial"/>
          <w:lang w:val="fr-CH"/>
        </w:rPr>
        <w:t xml:space="preserve">et le remaniement du </w:t>
      </w:r>
      <w:r w:rsidR="005A3CAA">
        <w:rPr>
          <w:rFonts w:cs="Arial"/>
          <w:lang w:val="fr-CH"/>
        </w:rPr>
        <w:t>P</w:t>
      </w:r>
      <w:r w:rsidR="00DC0DCB">
        <w:rPr>
          <w:rFonts w:cs="Arial"/>
          <w:lang w:val="fr-CH"/>
        </w:rPr>
        <w:t>lan sectoriel SDA, les inventaires SDA de tous les cantons seront dorénavant accessibles au public sur le futur géoportail de la Confédération</w:t>
      </w:r>
      <w:r w:rsidR="009B66FE" w:rsidRPr="00572D0C">
        <w:rPr>
          <w:rFonts w:cs="Arial"/>
          <w:lang w:val="fr-CH"/>
        </w:rPr>
        <w:t xml:space="preserve">. </w:t>
      </w:r>
    </w:p>
    <w:p w14:paraId="68F72B77" w14:textId="79ABB785" w:rsidR="009B66FE" w:rsidRPr="00572D0C" w:rsidRDefault="00DC0DCB" w:rsidP="147A5F7B">
      <w:pPr>
        <w:rPr>
          <w:rFonts w:cs="Arial"/>
          <w:lang w:val="fr-CH"/>
        </w:rPr>
      </w:pPr>
      <w:r>
        <w:rPr>
          <w:rFonts w:cs="Arial"/>
          <w:lang w:val="fr-CH"/>
        </w:rPr>
        <w:t xml:space="preserve">La </w:t>
      </w:r>
      <w:r w:rsidR="005722C2">
        <w:rPr>
          <w:rFonts w:cs="Arial"/>
          <w:lang w:val="fr-CH"/>
        </w:rPr>
        <w:t>géoinformation a pour base juridique</w:t>
      </w:r>
      <w:r w:rsidR="00C13473">
        <w:rPr>
          <w:rFonts w:cs="Arial"/>
          <w:lang w:val="fr-CH"/>
        </w:rPr>
        <w:t>,</w:t>
      </w:r>
      <w:r w:rsidR="005722C2">
        <w:rPr>
          <w:rFonts w:cs="Arial"/>
          <w:lang w:val="fr-CH"/>
        </w:rPr>
        <w:t xml:space="preserve"> d’une part</w:t>
      </w:r>
      <w:r w:rsidR="00C13473">
        <w:rPr>
          <w:rFonts w:cs="Arial"/>
          <w:lang w:val="fr-CH"/>
        </w:rPr>
        <w:t>,</w:t>
      </w:r>
      <w:r w:rsidR="005722C2">
        <w:rPr>
          <w:rFonts w:cs="Arial"/>
          <w:lang w:val="fr-CH"/>
        </w:rPr>
        <w:t xml:space="preserve"> l’a</w:t>
      </w:r>
      <w:r w:rsidR="147A5F7B" w:rsidRPr="00572D0C">
        <w:rPr>
          <w:rFonts w:cs="Arial"/>
          <w:lang w:val="fr-CH"/>
        </w:rPr>
        <w:t>rt</w:t>
      </w:r>
      <w:r w:rsidR="00EF39F8">
        <w:rPr>
          <w:rFonts w:cs="Arial"/>
          <w:lang w:val="fr-CH"/>
        </w:rPr>
        <w:t>icle</w:t>
      </w:r>
      <w:r w:rsidR="147A5F7B" w:rsidRPr="00572D0C">
        <w:rPr>
          <w:rFonts w:cs="Arial"/>
          <w:lang w:val="fr-CH"/>
        </w:rPr>
        <w:t xml:space="preserve"> 1 de</w:t>
      </w:r>
      <w:r w:rsidR="005722C2">
        <w:rPr>
          <w:rFonts w:cs="Arial"/>
          <w:lang w:val="fr-CH"/>
        </w:rPr>
        <w:t xml:space="preserve"> la loi du 5 octobre 2007 sur la géoinformation </w:t>
      </w:r>
      <w:r w:rsidR="147A5F7B" w:rsidRPr="00572D0C">
        <w:rPr>
          <w:rFonts w:cs="Arial"/>
          <w:lang w:val="fr-CH"/>
        </w:rPr>
        <w:t>(</w:t>
      </w:r>
      <w:r w:rsidR="005722C2">
        <w:rPr>
          <w:rFonts w:cs="Arial"/>
          <w:lang w:val="fr-CH"/>
        </w:rPr>
        <w:t>LGéo</w:t>
      </w:r>
      <w:r w:rsidR="00EF39F8">
        <w:rPr>
          <w:rFonts w:cs="Arial"/>
          <w:lang w:val="fr-CH"/>
        </w:rPr>
        <w:t> ; RS 510.62</w:t>
      </w:r>
      <w:r w:rsidR="147A5F7B" w:rsidRPr="00572D0C">
        <w:rPr>
          <w:rFonts w:cs="Arial"/>
          <w:lang w:val="fr-CH"/>
        </w:rPr>
        <w:t xml:space="preserve">) </w:t>
      </w:r>
      <w:r w:rsidR="005722C2">
        <w:rPr>
          <w:rFonts w:cs="Arial"/>
          <w:lang w:val="fr-CH"/>
        </w:rPr>
        <w:t xml:space="preserve">qui prévoit </w:t>
      </w:r>
      <w:r w:rsidR="00BB674D">
        <w:rPr>
          <w:rFonts w:cs="Arial"/>
          <w:lang w:val="fr-CH"/>
        </w:rPr>
        <w:t>de mettre</w:t>
      </w:r>
      <w:r w:rsidR="005722C2">
        <w:rPr>
          <w:rFonts w:cs="Arial"/>
          <w:lang w:val="fr-CH"/>
        </w:rPr>
        <w:t xml:space="preserve"> à</w:t>
      </w:r>
      <w:r w:rsidR="00BB674D">
        <w:rPr>
          <w:rFonts w:cs="Arial"/>
          <w:lang w:val="fr-CH"/>
        </w:rPr>
        <w:t xml:space="preserve"> la</w:t>
      </w:r>
      <w:r w:rsidR="005722C2">
        <w:rPr>
          <w:rFonts w:cs="Arial"/>
          <w:lang w:val="fr-CH"/>
        </w:rPr>
        <w:t xml:space="preserve"> disposition</w:t>
      </w:r>
      <w:r w:rsidR="00BB674D">
        <w:rPr>
          <w:rFonts w:cs="Arial"/>
          <w:lang w:val="fr-CH"/>
        </w:rPr>
        <w:t xml:space="preserve"> des autorités</w:t>
      </w:r>
      <w:r w:rsidR="005722C2">
        <w:rPr>
          <w:rFonts w:cs="Arial"/>
          <w:lang w:val="fr-CH"/>
        </w:rPr>
        <w:t xml:space="preserve"> de</w:t>
      </w:r>
      <w:r w:rsidR="00BB674D">
        <w:rPr>
          <w:rFonts w:cs="Arial"/>
          <w:lang w:val="fr-CH"/>
        </w:rPr>
        <w:t>s</w:t>
      </w:r>
      <w:r w:rsidR="005722C2">
        <w:rPr>
          <w:rFonts w:cs="Arial"/>
          <w:lang w:val="fr-CH"/>
        </w:rPr>
        <w:t xml:space="preserve"> géodonnées couvrant le territoire de la Confédération suisse en vue d’une large utilisation et</w:t>
      </w:r>
      <w:r w:rsidR="00BB674D">
        <w:rPr>
          <w:rFonts w:cs="Arial"/>
          <w:lang w:val="fr-CH"/>
        </w:rPr>
        <w:t>,</w:t>
      </w:r>
      <w:r w:rsidR="005722C2">
        <w:rPr>
          <w:rFonts w:cs="Arial"/>
          <w:lang w:val="fr-CH"/>
        </w:rPr>
        <w:t xml:space="preserve"> d’autre part, les dispositions </w:t>
      </w:r>
      <w:r w:rsidR="00BB674D">
        <w:rPr>
          <w:rFonts w:cs="Arial"/>
          <w:lang w:val="fr-CH"/>
        </w:rPr>
        <w:t xml:space="preserve">sur le </w:t>
      </w:r>
      <w:r w:rsidR="005A3CAA">
        <w:rPr>
          <w:rFonts w:cs="Arial"/>
          <w:lang w:val="fr-CH"/>
        </w:rPr>
        <w:t>P</w:t>
      </w:r>
      <w:r w:rsidR="00BB674D">
        <w:rPr>
          <w:rFonts w:cs="Arial"/>
          <w:lang w:val="fr-CH"/>
        </w:rPr>
        <w:t>lan sectoriel SDA visé par les art</w:t>
      </w:r>
      <w:r w:rsidR="008B563A">
        <w:rPr>
          <w:rFonts w:cs="Arial"/>
          <w:lang w:val="fr-CH"/>
        </w:rPr>
        <w:t>icles</w:t>
      </w:r>
      <w:r w:rsidR="147A5F7B" w:rsidRPr="00572D0C">
        <w:rPr>
          <w:rFonts w:cs="Arial"/>
          <w:lang w:val="fr-CH"/>
        </w:rPr>
        <w:t xml:space="preserve"> 26</w:t>
      </w:r>
      <w:r w:rsidR="005722C2">
        <w:rPr>
          <w:lang w:val="fr-CH"/>
        </w:rPr>
        <w:t xml:space="preserve"> à </w:t>
      </w:r>
      <w:r w:rsidR="147A5F7B" w:rsidRPr="00572D0C">
        <w:rPr>
          <w:rFonts w:cs="Arial"/>
          <w:lang w:val="fr-CH"/>
        </w:rPr>
        <w:t xml:space="preserve">30 </w:t>
      </w:r>
      <w:r w:rsidR="005722C2">
        <w:rPr>
          <w:rFonts w:cs="Arial"/>
          <w:lang w:val="fr-CH"/>
        </w:rPr>
        <w:t>OAT</w:t>
      </w:r>
      <w:r w:rsidR="147A5F7B" w:rsidRPr="00572D0C">
        <w:rPr>
          <w:rFonts w:cs="Arial"/>
          <w:lang w:val="fr-CH"/>
        </w:rPr>
        <w:t>.</w:t>
      </w:r>
    </w:p>
    <w:p w14:paraId="6D4B50FD" w14:textId="66935BC7" w:rsidR="009B66FE" w:rsidRPr="00572D0C" w:rsidRDefault="00E775C8" w:rsidP="147A5F7B">
      <w:pPr>
        <w:rPr>
          <w:rFonts w:cs="Arial"/>
          <w:lang w:val="fr-CH"/>
        </w:rPr>
      </w:pPr>
      <w:r>
        <w:rPr>
          <w:rFonts w:cs="Arial"/>
          <w:lang w:val="fr-CH"/>
        </w:rPr>
        <w:t xml:space="preserve">La </w:t>
      </w:r>
      <w:r w:rsidR="00EF39F8">
        <w:rPr>
          <w:rFonts w:cs="Arial"/>
          <w:lang w:val="fr-CH"/>
        </w:rPr>
        <w:t xml:space="preserve">Conférence </w:t>
      </w:r>
      <w:r>
        <w:rPr>
          <w:rFonts w:cs="Arial"/>
          <w:lang w:val="fr-CH"/>
        </w:rPr>
        <w:t>des services cantonaux de géoinformation</w:t>
      </w:r>
      <w:r w:rsidR="147A5F7B" w:rsidRPr="00572D0C">
        <w:rPr>
          <w:rFonts w:cs="Arial"/>
          <w:lang w:val="fr-CH"/>
        </w:rPr>
        <w:t xml:space="preserve"> (</w:t>
      </w:r>
      <w:r>
        <w:rPr>
          <w:rFonts w:cs="Arial"/>
          <w:lang w:val="fr-CH"/>
        </w:rPr>
        <w:t>CC</w:t>
      </w:r>
      <w:r w:rsidR="147A5F7B" w:rsidRPr="00572D0C">
        <w:rPr>
          <w:rFonts w:cs="Arial"/>
          <w:lang w:val="fr-CH"/>
        </w:rPr>
        <w:t>GEO)</w:t>
      </w:r>
      <w:r w:rsidR="00EF39F8">
        <w:rPr>
          <w:rFonts w:cs="Arial"/>
          <w:lang w:val="fr-CH"/>
        </w:rPr>
        <w:t xml:space="preserve"> met</w:t>
      </w:r>
      <w:r w:rsidR="00C13473">
        <w:rPr>
          <w:rFonts w:cs="Arial"/>
          <w:lang w:val="fr-CH"/>
        </w:rPr>
        <w:t>tra</w:t>
      </w:r>
      <w:r w:rsidR="00EF39F8">
        <w:rPr>
          <w:rFonts w:cs="Arial"/>
          <w:lang w:val="fr-CH"/>
        </w:rPr>
        <w:t xml:space="preserve"> sur pied</w:t>
      </w:r>
      <w:r>
        <w:rPr>
          <w:rFonts w:cs="Arial"/>
          <w:lang w:val="fr-CH"/>
        </w:rPr>
        <w:t xml:space="preserve"> d’ici</w:t>
      </w:r>
      <w:r w:rsidR="147A5F7B" w:rsidRPr="00572D0C">
        <w:rPr>
          <w:rFonts w:cs="Arial"/>
          <w:lang w:val="fr-CH"/>
        </w:rPr>
        <w:t xml:space="preserve"> </w:t>
      </w:r>
      <w:r w:rsidR="00C13473">
        <w:rPr>
          <w:rFonts w:cs="Arial"/>
          <w:lang w:val="fr-CH"/>
        </w:rPr>
        <w:t xml:space="preserve">à </w:t>
      </w:r>
      <w:r w:rsidR="147A5F7B" w:rsidRPr="00572D0C">
        <w:rPr>
          <w:rFonts w:cs="Arial"/>
          <w:lang w:val="fr-CH"/>
        </w:rPr>
        <w:t xml:space="preserve">2020 </w:t>
      </w:r>
      <w:r>
        <w:rPr>
          <w:rFonts w:cs="Arial"/>
          <w:lang w:val="fr-CH"/>
        </w:rPr>
        <w:t>une infrastructure d’agrégation</w:t>
      </w:r>
      <w:r w:rsidR="147A5F7B" w:rsidRPr="00572D0C">
        <w:rPr>
          <w:rFonts w:cs="Arial"/>
          <w:lang w:val="fr-CH"/>
        </w:rPr>
        <w:t xml:space="preserve"> </w:t>
      </w:r>
      <w:r>
        <w:rPr>
          <w:rFonts w:cs="Arial"/>
          <w:lang w:val="fr-CH"/>
        </w:rPr>
        <w:t xml:space="preserve">visant à garantir un accès simple </w:t>
      </w:r>
      <w:r w:rsidR="00977A37">
        <w:rPr>
          <w:rFonts w:cs="Arial"/>
          <w:lang w:val="fr-CH"/>
        </w:rPr>
        <w:t xml:space="preserve">à des </w:t>
      </w:r>
      <w:r>
        <w:rPr>
          <w:rFonts w:cs="Arial"/>
          <w:lang w:val="fr-CH"/>
        </w:rPr>
        <w:t xml:space="preserve">géodonnées de base </w:t>
      </w:r>
      <w:r w:rsidR="00977A37">
        <w:rPr>
          <w:rFonts w:cs="Arial"/>
          <w:lang w:val="fr-CH"/>
        </w:rPr>
        <w:t xml:space="preserve">et </w:t>
      </w:r>
      <w:r w:rsidR="00C13473">
        <w:rPr>
          <w:rFonts w:cs="Arial"/>
          <w:lang w:val="fr-CH"/>
        </w:rPr>
        <w:t xml:space="preserve">à des </w:t>
      </w:r>
      <w:r w:rsidR="00977A37">
        <w:rPr>
          <w:rFonts w:cs="Arial"/>
          <w:lang w:val="fr-CH"/>
        </w:rPr>
        <w:t xml:space="preserve">géoservices mis à jour, fiables et uniformisés </w:t>
      </w:r>
      <w:r>
        <w:rPr>
          <w:rFonts w:cs="Arial"/>
          <w:lang w:val="fr-CH"/>
        </w:rPr>
        <w:t>sur tout le territoire suisse</w:t>
      </w:r>
      <w:r w:rsidR="147A5F7B" w:rsidRPr="00572D0C">
        <w:rPr>
          <w:rFonts w:cs="Arial"/>
          <w:lang w:val="fr-CH"/>
        </w:rPr>
        <w:t xml:space="preserve">. </w:t>
      </w:r>
      <w:r w:rsidR="00EF39F8">
        <w:rPr>
          <w:rFonts w:cs="Arial"/>
          <w:lang w:val="fr-CH"/>
        </w:rPr>
        <w:t>Les</w:t>
      </w:r>
      <w:r w:rsidR="00977A37">
        <w:rPr>
          <w:rFonts w:cs="Arial"/>
          <w:lang w:val="fr-CH"/>
        </w:rPr>
        <w:t xml:space="preserve"> cantons mettront en ligne leur inventaire </w:t>
      </w:r>
      <w:r w:rsidR="00EF39F8">
        <w:rPr>
          <w:rFonts w:cs="Arial"/>
          <w:lang w:val="fr-CH"/>
        </w:rPr>
        <w:t xml:space="preserve">de </w:t>
      </w:r>
      <w:r w:rsidR="00977A37">
        <w:rPr>
          <w:rFonts w:cs="Arial"/>
          <w:lang w:val="fr-CH"/>
        </w:rPr>
        <w:t>SDA</w:t>
      </w:r>
      <w:r w:rsidR="00CF3B95">
        <w:rPr>
          <w:rFonts w:cs="Arial"/>
          <w:lang w:val="fr-CH"/>
        </w:rPr>
        <w:t xml:space="preserve"> sur cette plateforme</w:t>
      </w:r>
      <w:r w:rsidR="147A5F7B" w:rsidRPr="00572D0C">
        <w:rPr>
          <w:rFonts w:cs="Arial"/>
          <w:lang w:val="fr-CH"/>
        </w:rPr>
        <w:t>.</w:t>
      </w:r>
      <w:r w:rsidR="00CF3B95">
        <w:rPr>
          <w:rFonts w:cs="Arial"/>
          <w:lang w:val="fr-CH"/>
        </w:rPr>
        <w:t xml:space="preserve"> Leurs données seront ensuite transférées sur le géoportail national. </w:t>
      </w:r>
      <w:r w:rsidR="147A5F7B" w:rsidRPr="00572D0C">
        <w:rPr>
          <w:rFonts w:cs="Arial"/>
          <w:lang w:val="fr-CH"/>
        </w:rPr>
        <w:t xml:space="preserve"> </w:t>
      </w:r>
    </w:p>
    <w:p w14:paraId="7D6EF52A" w14:textId="618A1D83" w:rsidR="009B66FE" w:rsidRPr="00572D0C" w:rsidRDefault="005A3CAA" w:rsidP="147A5F7B">
      <w:pPr>
        <w:rPr>
          <w:rFonts w:cs="Arial"/>
          <w:lang w:val="fr-CH"/>
        </w:rPr>
      </w:pPr>
      <w:r>
        <w:rPr>
          <w:rFonts w:cs="Arial"/>
          <w:lang w:val="fr-CH"/>
        </w:rPr>
        <w:t>Le P</w:t>
      </w:r>
      <w:r w:rsidR="00977A37">
        <w:rPr>
          <w:rFonts w:cs="Arial"/>
          <w:lang w:val="fr-CH"/>
        </w:rPr>
        <w:t xml:space="preserve">lan sectoriel </w:t>
      </w:r>
      <w:r w:rsidR="00C13473">
        <w:rPr>
          <w:rFonts w:cs="Arial"/>
          <w:lang w:val="fr-CH"/>
        </w:rPr>
        <w:t>fait obligation aux</w:t>
      </w:r>
      <w:r w:rsidR="00977A37">
        <w:rPr>
          <w:rFonts w:cs="Arial"/>
          <w:lang w:val="fr-CH"/>
        </w:rPr>
        <w:t xml:space="preserve"> cantons de mettre à jour leurs géodonnées </w:t>
      </w:r>
      <w:r w:rsidR="00CF3B95">
        <w:rPr>
          <w:rFonts w:cs="Arial"/>
          <w:lang w:val="fr-CH"/>
        </w:rPr>
        <w:t>relatives à leurs inventaires de</w:t>
      </w:r>
      <w:r w:rsidR="00977A37">
        <w:rPr>
          <w:rFonts w:cs="Arial"/>
          <w:lang w:val="fr-CH"/>
        </w:rPr>
        <w:t xml:space="preserve"> SDA au moins une fois par </w:t>
      </w:r>
      <w:r w:rsidR="00C13473">
        <w:rPr>
          <w:rFonts w:cs="Arial"/>
          <w:lang w:val="fr-CH"/>
        </w:rPr>
        <w:t>an, au</w:t>
      </w:r>
      <w:r w:rsidR="00977A37">
        <w:rPr>
          <w:rFonts w:cs="Arial"/>
          <w:lang w:val="fr-CH"/>
        </w:rPr>
        <w:t xml:space="preserve"> 1</w:t>
      </w:r>
      <w:r w:rsidR="00977A37" w:rsidRPr="00977A37">
        <w:rPr>
          <w:rFonts w:cs="Arial"/>
          <w:vertAlign w:val="superscript"/>
          <w:lang w:val="fr-CH"/>
        </w:rPr>
        <w:t>er</w:t>
      </w:r>
      <w:r w:rsidR="00977A37">
        <w:rPr>
          <w:rFonts w:cs="Arial"/>
          <w:lang w:val="fr-CH"/>
        </w:rPr>
        <w:t xml:space="preserve"> janvier. </w:t>
      </w:r>
      <w:r w:rsidR="00C13473">
        <w:rPr>
          <w:rFonts w:cs="Arial"/>
          <w:lang w:val="fr-CH"/>
        </w:rPr>
        <w:t>L</w:t>
      </w:r>
      <w:r w:rsidR="00977A37">
        <w:rPr>
          <w:rFonts w:cs="Arial"/>
          <w:lang w:val="fr-CH"/>
        </w:rPr>
        <w:t>a première fois</w:t>
      </w:r>
      <w:r w:rsidR="00C13473">
        <w:rPr>
          <w:rFonts w:cs="Arial"/>
          <w:lang w:val="fr-CH"/>
        </w:rPr>
        <w:t xml:space="preserve"> est prévue pour</w:t>
      </w:r>
      <w:r w:rsidR="00977A37">
        <w:rPr>
          <w:rFonts w:cs="Arial"/>
          <w:lang w:val="fr-CH"/>
        </w:rPr>
        <w:t xml:space="preserve"> le</w:t>
      </w:r>
      <w:r w:rsidR="00851E02">
        <w:rPr>
          <w:rFonts w:cs="Arial"/>
          <w:lang w:val="fr-CH"/>
        </w:rPr>
        <w:t xml:space="preserve"> </w:t>
      </w:r>
      <w:r w:rsidR="00977A37">
        <w:rPr>
          <w:rFonts w:cs="Arial"/>
          <w:lang w:val="fr-CH"/>
        </w:rPr>
        <w:t>1</w:t>
      </w:r>
      <w:r w:rsidR="00977A37" w:rsidRPr="00977A37">
        <w:rPr>
          <w:rFonts w:cs="Arial"/>
          <w:vertAlign w:val="superscript"/>
          <w:lang w:val="fr-CH"/>
        </w:rPr>
        <w:t>er</w:t>
      </w:r>
      <w:r w:rsidR="00977A37">
        <w:rPr>
          <w:rFonts w:cs="Arial"/>
          <w:lang w:val="fr-CH"/>
        </w:rPr>
        <w:t xml:space="preserve"> janvier 2021</w:t>
      </w:r>
      <w:r w:rsidR="147A5F7B" w:rsidRPr="00572D0C">
        <w:rPr>
          <w:rFonts w:cs="Arial"/>
          <w:lang w:val="fr-CH"/>
        </w:rPr>
        <w:t xml:space="preserve">. </w:t>
      </w:r>
    </w:p>
    <w:p w14:paraId="6F606DE9" w14:textId="78754C76" w:rsidR="00E20838" w:rsidRPr="00572D0C" w:rsidRDefault="00851E02" w:rsidP="00510E18">
      <w:pPr>
        <w:rPr>
          <w:rFonts w:cs="Arial"/>
          <w:lang w:val="fr-CH"/>
        </w:rPr>
      </w:pPr>
      <w:r>
        <w:rPr>
          <w:rFonts w:cs="Arial"/>
          <w:lang w:val="fr-CH"/>
        </w:rPr>
        <w:t xml:space="preserve">Le modèle de géodonnées minimal adopté le 30 novembre </w:t>
      </w:r>
      <w:r w:rsidR="147A5F7B" w:rsidRPr="00572D0C">
        <w:rPr>
          <w:rFonts w:cs="Arial"/>
          <w:lang w:val="fr-CH"/>
        </w:rPr>
        <w:t xml:space="preserve">2015 </w:t>
      </w:r>
      <w:r>
        <w:rPr>
          <w:rFonts w:cs="Arial"/>
          <w:lang w:val="fr-CH"/>
        </w:rPr>
        <w:t xml:space="preserve">constitue la base de la saisie </w:t>
      </w:r>
      <w:r w:rsidR="00CF3B95">
        <w:rPr>
          <w:rFonts w:cs="Arial"/>
          <w:lang w:val="fr-CH"/>
        </w:rPr>
        <w:t xml:space="preserve">et de la publication </w:t>
      </w:r>
      <w:r>
        <w:rPr>
          <w:rFonts w:cs="Arial"/>
          <w:lang w:val="fr-CH"/>
        </w:rPr>
        <w:t>des données</w:t>
      </w:r>
      <w:r w:rsidR="147A5F7B" w:rsidRPr="00572D0C">
        <w:rPr>
          <w:rFonts w:cs="Arial"/>
          <w:lang w:val="fr-CH"/>
        </w:rPr>
        <w:t xml:space="preserve">. </w:t>
      </w:r>
      <w:r w:rsidR="00F00FAC">
        <w:rPr>
          <w:rFonts w:cs="Arial"/>
          <w:lang w:val="fr-CH"/>
        </w:rPr>
        <w:t>Un délai de cinq ans à compter de l’adoption du modèle minimal de géodonnées est accordé aux cantons pour qu’ils élaborent leur inventaire cantonal de SDA conformémen</w:t>
      </w:r>
      <w:r w:rsidR="00D61D14">
        <w:rPr>
          <w:rFonts w:cs="Arial"/>
          <w:lang w:val="fr-CH"/>
        </w:rPr>
        <w:t>t à ce modèle. Malgré l’harmonisation des géodonnées cantonales, des divergences considérables subsistent en raison de l’hétérogénéité des méthodes de relevé : les possibilités de comparaison entre les cantons sont donc limitées</w:t>
      </w:r>
      <w:r w:rsidR="147A5F7B" w:rsidRPr="00572D0C">
        <w:rPr>
          <w:rFonts w:cs="Arial"/>
          <w:lang w:val="fr-CH"/>
        </w:rPr>
        <w:t>.</w:t>
      </w:r>
    </w:p>
    <w:p w14:paraId="20753920" w14:textId="5C7F67AD" w:rsidR="008778D4" w:rsidRPr="00572D0C" w:rsidRDefault="00722D87" w:rsidP="008778D4">
      <w:pPr>
        <w:pStyle w:val="Listenabsatz"/>
        <w:numPr>
          <w:ilvl w:val="0"/>
          <w:numId w:val="29"/>
        </w:numPr>
        <w:shd w:val="clear" w:color="auto" w:fill="D9D9D9" w:themeFill="background1" w:themeFillShade="D9"/>
        <w:spacing w:before="240"/>
        <w:ind w:left="567" w:hanging="567"/>
        <w:rPr>
          <w:b/>
          <w:bCs/>
          <w:i w:val="0"/>
          <w:lang w:val="fr-CH"/>
        </w:rPr>
      </w:pPr>
      <w:r>
        <w:rPr>
          <w:b/>
          <w:bCs/>
          <w:i w:val="0"/>
          <w:lang w:val="fr-CH"/>
        </w:rPr>
        <w:t xml:space="preserve">La Confédération établit et publie une statistique des SDA tous les </w:t>
      </w:r>
      <w:r w:rsidR="00CF3B95">
        <w:rPr>
          <w:b/>
          <w:bCs/>
          <w:i w:val="0"/>
          <w:lang w:val="fr-CH"/>
        </w:rPr>
        <w:t xml:space="preserve">quatre </w:t>
      </w:r>
      <w:r>
        <w:rPr>
          <w:b/>
          <w:bCs/>
          <w:i w:val="0"/>
          <w:lang w:val="fr-CH"/>
        </w:rPr>
        <w:t>ans</w:t>
      </w:r>
      <w:r w:rsidR="008778D4" w:rsidRPr="00572D0C">
        <w:rPr>
          <w:b/>
          <w:bCs/>
          <w:i w:val="0"/>
          <w:lang w:val="fr-CH"/>
        </w:rPr>
        <w:t>.</w:t>
      </w:r>
    </w:p>
    <w:p w14:paraId="3100AC22" w14:textId="612BCA21" w:rsidR="008B75C2" w:rsidRPr="00572D0C" w:rsidRDefault="00D61D14" w:rsidP="004B49E9">
      <w:pPr>
        <w:rPr>
          <w:lang w:val="fr-CH"/>
        </w:rPr>
      </w:pPr>
      <w:r>
        <w:rPr>
          <w:lang w:val="fr-CH"/>
        </w:rPr>
        <w:t xml:space="preserve">Les possibilités d’exploitation des données </w:t>
      </w:r>
      <w:r w:rsidR="00682AB2">
        <w:rPr>
          <w:lang w:val="fr-CH"/>
        </w:rPr>
        <w:t xml:space="preserve">résultent des données </w:t>
      </w:r>
      <w:r w:rsidR="00CF3B95">
        <w:rPr>
          <w:lang w:val="fr-CH"/>
        </w:rPr>
        <w:t>publiées sur le géoportail national sur la base</w:t>
      </w:r>
      <w:r w:rsidR="00682AB2">
        <w:rPr>
          <w:lang w:val="fr-CH"/>
        </w:rPr>
        <w:t xml:space="preserve"> du modèle minimal de géodonnées</w:t>
      </w:r>
      <w:r w:rsidR="147A5F7B" w:rsidRPr="00572D0C">
        <w:rPr>
          <w:lang w:val="fr-CH"/>
        </w:rPr>
        <w:t>.</w:t>
      </w:r>
    </w:p>
    <w:p w14:paraId="129FBFDC" w14:textId="4038CE4F" w:rsidR="008B75C2" w:rsidRPr="00572D0C" w:rsidRDefault="00682AB2" w:rsidP="007B6D92">
      <w:pPr>
        <w:rPr>
          <w:lang w:val="fr-CH"/>
        </w:rPr>
      </w:pPr>
      <w:r>
        <w:rPr>
          <w:lang w:val="fr-CH"/>
        </w:rPr>
        <w:t>La statistique n’implique pas de dépenses supplémentaires pour les cantons et les relevés concernent le</w:t>
      </w:r>
      <w:r w:rsidR="00C13473">
        <w:rPr>
          <w:lang w:val="fr-CH"/>
        </w:rPr>
        <w:t>s</w:t>
      </w:r>
      <w:r>
        <w:rPr>
          <w:lang w:val="fr-CH"/>
        </w:rPr>
        <w:t xml:space="preserve"> </w:t>
      </w:r>
      <w:r w:rsidR="00C13473">
        <w:rPr>
          <w:lang w:val="fr-CH"/>
        </w:rPr>
        <w:t xml:space="preserve">séries </w:t>
      </w:r>
      <w:r>
        <w:rPr>
          <w:lang w:val="fr-CH"/>
        </w:rPr>
        <w:t>de données cantonales numérisées des surfaces d’assolement</w:t>
      </w:r>
      <w:r w:rsidR="147A5F7B" w:rsidRPr="00572D0C">
        <w:rPr>
          <w:lang w:val="fr-CH"/>
        </w:rPr>
        <w:t xml:space="preserve">. </w:t>
      </w:r>
      <w:r>
        <w:rPr>
          <w:lang w:val="fr-CH"/>
        </w:rPr>
        <w:t xml:space="preserve">Les ressources nécessaires sont couvertes par le budget courant de l’ARE. </w:t>
      </w:r>
      <w:r w:rsidR="00C13473">
        <w:rPr>
          <w:lang w:val="fr-CH"/>
        </w:rPr>
        <w:t>Pour vérifier</w:t>
      </w:r>
      <w:r>
        <w:rPr>
          <w:lang w:val="fr-CH"/>
        </w:rPr>
        <w:t xml:space="preserve"> la statistique</w:t>
      </w:r>
      <w:r w:rsidR="00C13473">
        <w:rPr>
          <w:lang w:val="fr-CH"/>
        </w:rPr>
        <w:t>, les cantons seront consultés avant la publication</w:t>
      </w:r>
      <w:r w:rsidR="147A5F7B" w:rsidRPr="00572D0C">
        <w:rPr>
          <w:lang w:val="fr-CH"/>
        </w:rPr>
        <w:t xml:space="preserve">. </w:t>
      </w:r>
    </w:p>
    <w:p w14:paraId="34633BC3" w14:textId="55A86458" w:rsidR="00513303" w:rsidRDefault="00682AB2" w:rsidP="00513303">
      <w:pPr>
        <w:rPr>
          <w:lang w:val="fr-CH"/>
        </w:rPr>
      </w:pPr>
      <w:r w:rsidRPr="00501D1D">
        <w:rPr>
          <w:lang w:val="fr-CH"/>
        </w:rPr>
        <w:t>La statistique des surfaces d’assolement est une statistique fédérale au sens de l’ordonnance</w:t>
      </w:r>
      <w:r w:rsidR="147A5F7B" w:rsidRPr="00501D1D">
        <w:rPr>
          <w:lang w:val="fr-CH"/>
        </w:rPr>
        <w:t xml:space="preserve"> </w:t>
      </w:r>
      <w:r w:rsidRPr="00501D1D">
        <w:rPr>
          <w:lang w:val="fr-CH"/>
        </w:rPr>
        <w:t>du 30 juin</w:t>
      </w:r>
      <w:r w:rsidR="147A5F7B" w:rsidRPr="00572D0C">
        <w:rPr>
          <w:lang w:val="fr-CH"/>
        </w:rPr>
        <w:t xml:space="preserve"> 1993 </w:t>
      </w:r>
      <w:r>
        <w:rPr>
          <w:lang w:val="fr-CH"/>
        </w:rPr>
        <w:t>concernant l’exécution des relevés statistiques fédéraux</w:t>
      </w:r>
      <w:r w:rsidR="147A5F7B" w:rsidRPr="00572D0C">
        <w:rPr>
          <w:lang w:val="fr-CH"/>
        </w:rPr>
        <w:t xml:space="preserve"> (</w:t>
      </w:r>
      <w:r>
        <w:rPr>
          <w:lang w:val="fr-CH"/>
        </w:rPr>
        <w:t>RS</w:t>
      </w:r>
      <w:r w:rsidR="147A5F7B" w:rsidRPr="00572D0C">
        <w:rPr>
          <w:lang w:val="fr-CH"/>
        </w:rPr>
        <w:t xml:space="preserve"> 431.012.1). </w:t>
      </w:r>
      <w:r w:rsidR="00D71B80">
        <w:rPr>
          <w:lang w:val="fr-CH"/>
        </w:rPr>
        <w:t xml:space="preserve">Il est prévu d’actualiser la statistique tous les quatre ans. Elle </w:t>
      </w:r>
      <w:r w:rsidR="00F60A59">
        <w:rPr>
          <w:lang w:val="fr-CH"/>
        </w:rPr>
        <w:t xml:space="preserve">paraîtra </w:t>
      </w:r>
      <w:r w:rsidR="00D71B80">
        <w:rPr>
          <w:lang w:val="fr-CH"/>
        </w:rPr>
        <w:t xml:space="preserve">pour la première fois </w:t>
      </w:r>
      <w:r w:rsidR="00F60A59">
        <w:rPr>
          <w:lang w:val="fr-CH"/>
        </w:rPr>
        <w:t>en</w:t>
      </w:r>
      <w:r w:rsidR="147A5F7B" w:rsidRPr="00572D0C">
        <w:rPr>
          <w:lang w:val="fr-CH"/>
        </w:rPr>
        <w:t xml:space="preserve"> 2023.</w:t>
      </w:r>
    </w:p>
    <w:p w14:paraId="381E7111" w14:textId="6438B14C" w:rsidR="00200775" w:rsidRDefault="00200775" w:rsidP="00513303">
      <w:pPr>
        <w:rPr>
          <w:lang w:val="fr-CH"/>
        </w:rPr>
      </w:pPr>
    </w:p>
    <w:p w14:paraId="6DF6A33F" w14:textId="4E264530" w:rsidR="00200775" w:rsidRDefault="00200775" w:rsidP="00513303">
      <w:pPr>
        <w:rPr>
          <w:lang w:val="fr-CH"/>
        </w:rPr>
      </w:pPr>
    </w:p>
    <w:p w14:paraId="2D3917B5" w14:textId="5A1A5BBA" w:rsidR="00200775" w:rsidRDefault="00200775" w:rsidP="00513303">
      <w:pPr>
        <w:rPr>
          <w:lang w:val="fr-CH"/>
        </w:rPr>
      </w:pPr>
    </w:p>
    <w:p w14:paraId="3E52B2A6" w14:textId="0CD859A1" w:rsidR="00200775" w:rsidRPr="00572D0C" w:rsidRDefault="00200775" w:rsidP="00513303">
      <w:pPr>
        <w:rPr>
          <w:lang w:val="fr-CH"/>
        </w:rPr>
      </w:pPr>
    </w:p>
    <w:p w14:paraId="4A9FC5C9" w14:textId="7A13363A" w:rsidR="004F675F" w:rsidRPr="008B563A" w:rsidRDefault="000676A8" w:rsidP="00501D1D">
      <w:pPr>
        <w:pStyle w:val="berschrift2"/>
        <w:rPr>
          <w:lang w:val="fr-CH"/>
        </w:rPr>
      </w:pPr>
      <w:bookmarkStart w:id="121" w:name="_Toc523813327"/>
      <w:bookmarkStart w:id="122" w:name="_Toc525022626"/>
      <w:bookmarkStart w:id="123" w:name="_Toc526946716"/>
      <w:bookmarkStart w:id="124" w:name="_Toc531102191"/>
      <w:bookmarkStart w:id="125" w:name="_Toc531103706"/>
      <w:bookmarkStart w:id="126" w:name="_Toc531193008"/>
      <w:bookmarkStart w:id="127" w:name="_Toc532996290"/>
      <w:r w:rsidRPr="008B563A">
        <w:rPr>
          <w:lang w:val="fr-CH"/>
        </w:rPr>
        <w:lastRenderedPageBreak/>
        <w:t>Information de l’</w:t>
      </w:r>
      <w:r w:rsidR="004F675F" w:rsidRPr="008B563A">
        <w:rPr>
          <w:lang w:val="fr-CH"/>
        </w:rPr>
        <w:t xml:space="preserve">ARE </w:t>
      </w:r>
      <w:bookmarkEnd w:id="121"/>
      <w:bookmarkEnd w:id="122"/>
      <w:bookmarkEnd w:id="123"/>
      <w:bookmarkEnd w:id="124"/>
      <w:bookmarkEnd w:id="125"/>
      <w:r w:rsidRPr="008B563A">
        <w:rPr>
          <w:lang w:val="fr-CH"/>
        </w:rPr>
        <w:t>et examen des inventaires de SDA</w:t>
      </w:r>
      <w:bookmarkEnd w:id="127"/>
    </w:p>
    <w:p w14:paraId="3AA93E0C" w14:textId="1FF260CD" w:rsidR="007B6D92" w:rsidRPr="00572D0C" w:rsidRDefault="00722D87" w:rsidP="008778D4">
      <w:pPr>
        <w:pStyle w:val="Listenabsatz"/>
        <w:numPr>
          <w:ilvl w:val="0"/>
          <w:numId w:val="29"/>
        </w:numPr>
        <w:shd w:val="clear" w:color="auto" w:fill="D9D9D9" w:themeFill="background1" w:themeFillShade="D9"/>
        <w:spacing w:before="240"/>
        <w:ind w:left="567" w:hanging="567"/>
        <w:rPr>
          <w:b/>
          <w:i w:val="0"/>
          <w:lang w:val="fr-CH"/>
        </w:rPr>
      </w:pPr>
      <w:bookmarkStart w:id="128" w:name="_Ref527029590"/>
      <w:bookmarkEnd w:id="126"/>
      <w:r>
        <w:rPr>
          <w:b/>
          <w:bCs/>
          <w:i w:val="0"/>
          <w:lang w:val="fr-CH"/>
        </w:rPr>
        <w:t>Les cantons renseignent l’</w:t>
      </w:r>
      <w:r w:rsidR="008778D4" w:rsidRPr="00572D0C">
        <w:rPr>
          <w:b/>
          <w:bCs/>
          <w:i w:val="0"/>
          <w:lang w:val="fr-CH"/>
        </w:rPr>
        <w:t>ARE</w:t>
      </w:r>
      <w:r>
        <w:rPr>
          <w:b/>
          <w:bCs/>
          <w:i w:val="0"/>
          <w:lang w:val="fr-CH"/>
        </w:rPr>
        <w:t xml:space="preserve"> tous les quatre ans sur les modifications qui affectent l’emplacement, l’étendue et la qualité de l’i</w:t>
      </w:r>
      <w:r w:rsidR="008778D4" w:rsidRPr="00572D0C">
        <w:rPr>
          <w:b/>
          <w:bCs/>
          <w:i w:val="0"/>
          <w:lang w:val="fr-CH"/>
        </w:rPr>
        <w:t>nventa</w:t>
      </w:r>
      <w:r>
        <w:rPr>
          <w:b/>
          <w:bCs/>
          <w:i w:val="0"/>
          <w:lang w:val="fr-CH"/>
        </w:rPr>
        <w:t>ire SDA. L’</w:t>
      </w:r>
      <w:r w:rsidR="008778D4" w:rsidRPr="00572D0C">
        <w:rPr>
          <w:b/>
          <w:bCs/>
          <w:i w:val="0"/>
          <w:lang w:val="fr-CH"/>
        </w:rPr>
        <w:t xml:space="preserve">ARE </w:t>
      </w:r>
      <w:r>
        <w:rPr>
          <w:b/>
          <w:bCs/>
          <w:i w:val="0"/>
          <w:lang w:val="fr-CH"/>
        </w:rPr>
        <w:t xml:space="preserve">examine le contenu des documents transmis et contrôle </w:t>
      </w:r>
      <w:r w:rsidR="008778D4" w:rsidRPr="00572D0C">
        <w:rPr>
          <w:b/>
          <w:bCs/>
          <w:i w:val="0"/>
          <w:lang w:val="fr-CH"/>
        </w:rPr>
        <w:t>s</w:t>
      </w:r>
      <w:r>
        <w:rPr>
          <w:b/>
          <w:bCs/>
          <w:i w:val="0"/>
          <w:lang w:val="fr-CH"/>
        </w:rPr>
        <w:t xml:space="preserve">i les principes du présent </w:t>
      </w:r>
      <w:r w:rsidR="005A3CAA">
        <w:rPr>
          <w:b/>
          <w:bCs/>
          <w:i w:val="0"/>
          <w:lang w:val="fr-CH"/>
        </w:rPr>
        <w:t>P</w:t>
      </w:r>
      <w:r>
        <w:rPr>
          <w:b/>
          <w:bCs/>
          <w:i w:val="0"/>
          <w:lang w:val="fr-CH"/>
        </w:rPr>
        <w:t>lan sectoriel sont respectés</w:t>
      </w:r>
      <w:r w:rsidR="008778D4" w:rsidRPr="00572D0C">
        <w:rPr>
          <w:b/>
          <w:bCs/>
          <w:i w:val="0"/>
          <w:lang w:val="fr-CH"/>
        </w:rPr>
        <w:t>.</w:t>
      </w:r>
      <w:bookmarkEnd w:id="128"/>
    </w:p>
    <w:p w14:paraId="1B3E23BE" w14:textId="6C628788" w:rsidR="00FA1412" w:rsidRPr="00572D0C" w:rsidRDefault="008132AE" w:rsidP="00FA1412">
      <w:pPr>
        <w:rPr>
          <w:lang w:val="fr-CH"/>
        </w:rPr>
      </w:pPr>
      <w:r>
        <w:rPr>
          <w:lang w:val="fr-CH"/>
        </w:rPr>
        <w:t xml:space="preserve">Les informations et renseignements à communiquer à l’ARE comportent les éléments suivants </w:t>
      </w:r>
      <w:r w:rsidR="147A5F7B" w:rsidRPr="00572D0C">
        <w:rPr>
          <w:lang w:val="fr-CH"/>
        </w:rPr>
        <w:t xml:space="preserve">: </w:t>
      </w:r>
    </w:p>
    <w:p w14:paraId="39EDE466" w14:textId="4006C03A" w:rsidR="00FA1412" w:rsidRPr="00572D0C" w:rsidRDefault="00B51E18">
      <w:pPr>
        <w:pStyle w:val="Listenabsatz"/>
        <w:numPr>
          <w:ilvl w:val="0"/>
          <w:numId w:val="26"/>
        </w:numPr>
        <w:ind w:left="426" w:hanging="426"/>
        <w:rPr>
          <w:i w:val="0"/>
          <w:lang w:val="fr-CH"/>
        </w:rPr>
      </w:pPr>
      <w:r>
        <w:rPr>
          <w:i w:val="0"/>
          <w:u w:val="single"/>
          <w:lang w:val="fr-CH"/>
        </w:rPr>
        <w:t>G</w:t>
      </w:r>
      <w:r w:rsidR="008132AE">
        <w:rPr>
          <w:i w:val="0"/>
          <w:u w:val="single"/>
          <w:lang w:val="fr-CH"/>
        </w:rPr>
        <w:t xml:space="preserve">éodonnées </w:t>
      </w:r>
      <w:r>
        <w:rPr>
          <w:i w:val="0"/>
          <w:u w:val="single"/>
          <w:lang w:val="fr-CH"/>
        </w:rPr>
        <w:t xml:space="preserve">(publiées sur l’infrastructure d’agrégation) </w:t>
      </w:r>
      <w:r w:rsidR="147A5F7B" w:rsidRPr="00572D0C">
        <w:rPr>
          <w:i w:val="0"/>
          <w:lang w:val="fr-CH"/>
        </w:rPr>
        <w:t xml:space="preserve">: </w:t>
      </w:r>
      <w:r w:rsidR="00D71B80">
        <w:rPr>
          <w:i w:val="0"/>
          <w:lang w:val="fr-CH"/>
        </w:rPr>
        <w:t>la série</w:t>
      </w:r>
      <w:r w:rsidR="008132AE">
        <w:rPr>
          <w:i w:val="0"/>
          <w:lang w:val="fr-CH"/>
        </w:rPr>
        <w:t xml:space="preserve"> de géodonnées à transmettre doit être basé</w:t>
      </w:r>
      <w:r w:rsidR="00D71B80">
        <w:rPr>
          <w:i w:val="0"/>
          <w:lang w:val="fr-CH"/>
        </w:rPr>
        <w:t>e</w:t>
      </w:r>
      <w:r w:rsidR="008132AE">
        <w:rPr>
          <w:i w:val="0"/>
          <w:lang w:val="fr-CH"/>
        </w:rPr>
        <w:t xml:space="preserve"> sur le modèle de géodonnées minimal</w:t>
      </w:r>
      <w:r w:rsidR="147A5F7B" w:rsidRPr="00572D0C">
        <w:rPr>
          <w:i w:val="0"/>
          <w:lang w:val="fr-CH"/>
        </w:rPr>
        <w:t xml:space="preserve"> (</w:t>
      </w:r>
      <w:r w:rsidR="00D71B80">
        <w:rPr>
          <w:i w:val="0"/>
          <w:lang w:val="fr-CH"/>
        </w:rPr>
        <w:t xml:space="preserve">série </w:t>
      </w:r>
      <w:r w:rsidR="008132AE">
        <w:rPr>
          <w:i w:val="0"/>
          <w:lang w:val="fr-CH"/>
        </w:rPr>
        <w:t>de géodonnées de base</w:t>
      </w:r>
      <w:r w:rsidR="147A5F7B" w:rsidRPr="00572D0C">
        <w:rPr>
          <w:i w:val="0"/>
          <w:lang w:val="fr-CH"/>
        </w:rPr>
        <w:t xml:space="preserve"> </w:t>
      </w:r>
      <w:r w:rsidR="00D71B80">
        <w:rPr>
          <w:i w:val="0"/>
          <w:lang w:val="fr-CH"/>
        </w:rPr>
        <w:t>n°</w:t>
      </w:r>
      <w:r w:rsidR="00D71B80" w:rsidRPr="00572D0C">
        <w:rPr>
          <w:i w:val="0"/>
          <w:lang w:val="fr-CH"/>
        </w:rPr>
        <w:t xml:space="preserve"> </w:t>
      </w:r>
      <w:r w:rsidR="147A5F7B" w:rsidRPr="00572D0C">
        <w:rPr>
          <w:i w:val="0"/>
          <w:lang w:val="fr-CH"/>
        </w:rPr>
        <w:t xml:space="preserve">68 </w:t>
      </w:r>
      <w:r w:rsidR="005A3CAA">
        <w:rPr>
          <w:i w:val="0"/>
          <w:lang w:val="fr-CH"/>
        </w:rPr>
        <w:t>Surfaces d’assolement selon le P</w:t>
      </w:r>
      <w:r w:rsidR="008132AE">
        <w:rPr>
          <w:i w:val="0"/>
          <w:lang w:val="fr-CH"/>
        </w:rPr>
        <w:t>lan sectoriel</w:t>
      </w:r>
      <w:r w:rsidR="147A5F7B" w:rsidRPr="00572D0C">
        <w:rPr>
          <w:i w:val="0"/>
          <w:lang w:val="fr-CH"/>
        </w:rPr>
        <w:t xml:space="preserve"> </w:t>
      </w:r>
      <w:r w:rsidR="008132AE">
        <w:rPr>
          <w:i w:val="0"/>
          <w:lang w:val="fr-CH"/>
        </w:rPr>
        <w:t>SDA</w:t>
      </w:r>
      <w:r w:rsidR="147A5F7B" w:rsidRPr="00572D0C">
        <w:rPr>
          <w:i w:val="0"/>
          <w:lang w:val="fr-CH"/>
        </w:rPr>
        <w:t xml:space="preserve">). </w:t>
      </w:r>
    </w:p>
    <w:p w14:paraId="765FF59E" w14:textId="40F174DA" w:rsidR="00FA1412" w:rsidRPr="00572D0C" w:rsidRDefault="008132AE">
      <w:pPr>
        <w:pStyle w:val="Listenabsatz"/>
        <w:ind w:left="426"/>
        <w:rPr>
          <w:i w:val="0"/>
          <w:lang w:val="fr-CH"/>
        </w:rPr>
      </w:pPr>
      <w:r>
        <w:rPr>
          <w:i w:val="0"/>
          <w:lang w:val="fr-CH"/>
        </w:rPr>
        <w:t>L’</w:t>
      </w:r>
      <w:r w:rsidR="009B6771" w:rsidRPr="00572D0C">
        <w:rPr>
          <w:i w:val="0"/>
          <w:lang w:val="fr-CH"/>
        </w:rPr>
        <w:t xml:space="preserve">ARE </w:t>
      </w:r>
      <w:r>
        <w:rPr>
          <w:i w:val="0"/>
          <w:lang w:val="fr-CH"/>
        </w:rPr>
        <w:t xml:space="preserve">examine si </w:t>
      </w:r>
      <w:r w:rsidR="00D71B80">
        <w:rPr>
          <w:i w:val="0"/>
          <w:lang w:val="fr-CH"/>
        </w:rPr>
        <w:t>la série</w:t>
      </w:r>
      <w:r>
        <w:rPr>
          <w:i w:val="0"/>
          <w:lang w:val="fr-CH"/>
        </w:rPr>
        <w:t xml:space="preserve"> de géodonnées de l’inventaire des SDA comporte des géométries erronées et </w:t>
      </w:r>
      <w:r w:rsidR="00D71B80">
        <w:rPr>
          <w:i w:val="0"/>
          <w:lang w:val="fr-CH"/>
        </w:rPr>
        <w:t xml:space="preserve">si elle </w:t>
      </w:r>
      <w:r w:rsidR="00775FAA">
        <w:rPr>
          <w:i w:val="0"/>
          <w:lang w:val="fr-CH"/>
        </w:rPr>
        <w:t>respecte le contingent cantonal</w:t>
      </w:r>
      <w:r w:rsidR="147A5F7B" w:rsidRPr="00572D0C">
        <w:rPr>
          <w:i w:val="0"/>
          <w:lang w:val="fr-CH"/>
        </w:rPr>
        <w:t xml:space="preserve">. </w:t>
      </w:r>
      <w:r w:rsidR="00775FAA">
        <w:rPr>
          <w:i w:val="0"/>
          <w:lang w:val="fr-CH"/>
        </w:rPr>
        <w:t xml:space="preserve">L’évolution </w:t>
      </w:r>
      <w:r w:rsidR="008B563A">
        <w:rPr>
          <w:i w:val="0"/>
          <w:lang w:val="fr-CH"/>
        </w:rPr>
        <w:t xml:space="preserve">des </w:t>
      </w:r>
      <w:r w:rsidR="008D3375">
        <w:rPr>
          <w:i w:val="0"/>
          <w:lang w:val="fr-CH"/>
        </w:rPr>
        <w:t>inventaires</w:t>
      </w:r>
      <w:r w:rsidR="00D71B80">
        <w:rPr>
          <w:i w:val="0"/>
          <w:lang w:val="fr-CH"/>
        </w:rPr>
        <w:t xml:space="preserve"> de</w:t>
      </w:r>
      <w:r w:rsidR="00775FAA">
        <w:rPr>
          <w:i w:val="0"/>
          <w:lang w:val="fr-CH"/>
        </w:rPr>
        <w:t xml:space="preserve"> SDA fait l’objet d’une </w:t>
      </w:r>
      <w:r w:rsidR="00B51E18">
        <w:rPr>
          <w:i w:val="0"/>
          <w:lang w:val="fr-CH"/>
        </w:rPr>
        <w:t>comparaison</w:t>
      </w:r>
      <w:r w:rsidR="00775FAA">
        <w:rPr>
          <w:i w:val="0"/>
          <w:lang w:val="fr-CH"/>
        </w:rPr>
        <w:t xml:space="preserve"> </w:t>
      </w:r>
      <w:r w:rsidR="00B51E18">
        <w:rPr>
          <w:i w:val="0"/>
          <w:lang w:val="fr-CH"/>
        </w:rPr>
        <w:t xml:space="preserve">avec </w:t>
      </w:r>
      <w:r w:rsidR="00D71B80">
        <w:rPr>
          <w:i w:val="0"/>
          <w:lang w:val="fr-CH"/>
        </w:rPr>
        <w:t>la série</w:t>
      </w:r>
      <w:r w:rsidR="00B51E18">
        <w:rPr>
          <w:i w:val="0"/>
          <w:lang w:val="fr-CH"/>
        </w:rPr>
        <w:t xml:space="preserve"> de</w:t>
      </w:r>
      <w:r w:rsidR="00775FAA">
        <w:rPr>
          <w:i w:val="0"/>
          <w:lang w:val="fr-CH"/>
        </w:rPr>
        <w:t xml:space="preserve"> géodonnées</w:t>
      </w:r>
      <w:r w:rsidR="00B51E18">
        <w:rPr>
          <w:i w:val="0"/>
          <w:lang w:val="fr-CH"/>
        </w:rPr>
        <w:t xml:space="preserve"> précédent</w:t>
      </w:r>
      <w:r w:rsidR="00D71B80">
        <w:rPr>
          <w:i w:val="0"/>
          <w:lang w:val="fr-CH"/>
        </w:rPr>
        <w:t>e</w:t>
      </w:r>
      <w:r w:rsidR="147A5F7B" w:rsidRPr="00572D0C">
        <w:rPr>
          <w:i w:val="0"/>
          <w:lang w:val="fr-CH"/>
        </w:rPr>
        <w:t xml:space="preserve">. </w:t>
      </w:r>
    </w:p>
    <w:p w14:paraId="0EC605BF" w14:textId="77777777" w:rsidR="00B51E18" w:rsidRDefault="00775FAA">
      <w:pPr>
        <w:pStyle w:val="Listenabsatz"/>
        <w:numPr>
          <w:ilvl w:val="0"/>
          <w:numId w:val="26"/>
        </w:numPr>
        <w:ind w:left="426" w:hanging="426"/>
        <w:rPr>
          <w:i w:val="0"/>
          <w:lang w:val="fr-CH"/>
        </w:rPr>
      </w:pPr>
      <w:r>
        <w:rPr>
          <w:i w:val="0"/>
          <w:u w:val="single"/>
          <w:lang w:val="fr-CH"/>
        </w:rPr>
        <w:t xml:space="preserve">Un rapport </w:t>
      </w:r>
      <w:r w:rsidRPr="00775FAA">
        <w:rPr>
          <w:i w:val="0"/>
          <w:lang w:val="fr-CH"/>
        </w:rPr>
        <w:t xml:space="preserve">qui </w:t>
      </w:r>
    </w:p>
    <w:p w14:paraId="4ADA8478" w14:textId="2FB0DE7F" w:rsidR="00B51E18" w:rsidRDefault="00775FAA" w:rsidP="00B51E18">
      <w:pPr>
        <w:pStyle w:val="Listenabsatz"/>
        <w:numPr>
          <w:ilvl w:val="1"/>
          <w:numId w:val="26"/>
        </w:numPr>
        <w:rPr>
          <w:i w:val="0"/>
          <w:lang w:val="fr-CH"/>
        </w:rPr>
      </w:pPr>
      <w:r w:rsidRPr="00775FAA">
        <w:rPr>
          <w:i w:val="0"/>
          <w:lang w:val="fr-CH"/>
        </w:rPr>
        <w:t>indique</w:t>
      </w:r>
      <w:r w:rsidR="147A5F7B" w:rsidRPr="00775FAA">
        <w:rPr>
          <w:i w:val="0"/>
          <w:lang w:val="fr-CH"/>
        </w:rPr>
        <w:t xml:space="preserve"> </w:t>
      </w:r>
      <w:r>
        <w:rPr>
          <w:i w:val="0"/>
          <w:lang w:val="fr-CH"/>
        </w:rPr>
        <w:t xml:space="preserve">l’évolution des surfaces d’assolement </w:t>
      </w:r>
      <w:r w:rsidR="00D71B80">
        <w:rPr>
          <w:i w:val="0"/>
          <w:lang w:val="fr-CH"/>
        </w:rPr>
        <w:t xml:space="preserve">des </w:t>
      </w:r>
      <w:r>
        <w:rPr>
          <w:i w:val="0"/>
          <w:lang w:val="fr-CH"/>
        </w:rPr>
        <w:t>dernières années</w:t>
      </w:r>
      <w:r w:rsidR="147A5F7B" w:rsidRPr="00572D0C">
        <w:rPr>
          <w:i w:val="0"/>
          <w:lang w:val="fr-CH"/>
        </w:rPr>
        <w:t xml:space="preserve"> (</w:t>
      </w:r>
      <w:r>
        <w:rPr>
          <w:i w:val="0"/>
          <w:lang w:val="fr-CH"/>
        </w:rPr>
        <w:t xml:space="preserve">emplacement, étendue, qualité des surfaces, </w:t>
      </w:r>
      <w:r w:rsidR="147A5F7B" w:rsidRPr="00572D0C">
        <w:rPr>
          <w:i w:val="0"/>
          <w:lang w:val="fr-CH"/>
        </w:rPr>
        <w:t>etc</w:t>
      </w:r>
      <w:r w:rsidR="00D71B80" w:rsidRPr="00572D0C">
        <w:rPr>
          <w:i w:val="0"/>
          <w:lang w:val="fr-CH"/>
        </w:rPr>
        <w:t>.)</w:t>
      </w:r>
      <w:r w:rsidR="00D71B80">
        <w:rPr>
          <w:i w:val="0"/>
          <w:lang w:val="fr-CH"/>
        </w:rPr>
        <w:t> ;</w:t>
      </w:r>
      <w:r w:rsidR="00D71B80" w:rsidRPr="00B51E18">
        <w:rPr>
          <w:i w:val="0"/>
          <w:lang w:val="fr-CH"/>
        </w:rPr>
        <w:t xml:space="preserve"> </w:t>
      </w:r>
    </w:p>
    <w:p w14:paraId="61F061E7" w14:textId="011C4120" w:rsidR="00B51E18" w:rsidRDefault="00775FAA" w:rsidP="00B51E18">
      <w:pPr>
        <w:pStyle w:val="Listenabsatz"/>
        <w:numPr>
          <w:ilvl w:val="1"/>
          <w:numId w:val="26"/>
        </w:numPr>
        <w:rPr>
          <w:i w:val="0"/>
          <w:lang w:val="fr-CH"/>
        </w:rPr>
      </w:pPr>
      <w:r w:rsidRPr="00501D1D">
        <w:rPr>
          <w:i w:val="0"/>
          <w:lang w:val="fr-CH"/>
        </w:rPr>
        <w:t xml:space="preserve">indique </w:t>
      </w:r>
      <w:r w:rsidR="007E2060" w:rsidRPr="00501D1D">
        <w:rPr>
          <w:i w:val="0"/>
          <w:lang w:val="fr-CH"/>
        </w:rPr>
        <w:t xml:space="preserve">l’emplacement et les raisons de la sollicitation de SDA de plus </w:t>
      </w:r>
      <w:r w:rsidR="00D71B80">
        <w:rPr>
          <w:i w:val="0"/>
          <w:lang w:val="fr-CH"/>
        </w:rPr>
        <w:t xml:space="preserve">de </w:t>
      </w:r>
      <w:r w:rsidR="00D71B80" w:rsidRPr="00501D1D">
        <w:rPr>
          <w:i w:val="0"/>
          <w:lang w:val="fr-CH"/>
        </w:rPr>
        <w:t xml:space="preserve">1 </w:t>
      </w:r>
      <w:r w:rsidR="007E2060" w:rsidRPr="00501D1D">
        <w:rPr>
          <w:i w:val="0"/>
          <w:lang w:val="fr-CH"/>
        </w:rPr>
        <w:t>ha</w:t>
      </w:r>
      <w:r w:rsidR="00FA1412" w:rsidRPr="00501D1D">
        <w:rPr>
          <w:i w:val="0"/>
          <w:lang w:val="fr-CH"/>
        </w:rPr>
        <w:t xml:space="preserve">. </w:t>
      </w:r>
      <w:r w:rsidR="00B010C0" w:rsidRPr="00501D1D">
        <w:rPr>
          <w:i w:val="0"/>
          <w:lang w:val="fr-CH"/>
        </w:rPr>
        <w:t xml:space="preserve">De même, il doit documenter l’affectation de surfaces à des utilisations spéciales conformément au principe </w:t>
      </w:r>
      <w:r w:rsidR="008A6E1C" w:rsidRPr="00501D1D">
        <w:rPr>
          <w:i w:val="0"/>
          <w:lang w:val="fr-CH"/>
        </w:rPr>
        <w:fldChar w:fldCharType="begin"/>
      </w:r>
      <w:r w:rsidR="008A6E1C" w:rsidRPr="00501D1D">
        <w:rPr>
          <w:i w:val="0"/>
          <w:lang w:val="fr-CH"/>
        </w:rPr>
        <w:instrText xml:space="preserve"> REF _Ref527034993 \r \h </w:instrText>
      </w:r>
      <w:r w:rsidR="00B51E18">
        <w:rPr>
          <w:i w:val="0"/>
          <w:lang w:val="fr-CH"/>
        </w:rPr>
        <w:instrText xml:space="preserve"> \* MERGEFORMAT </w:instrText>
      </w:r>
      <w:r w:rsidR="008A6E1C" w:rsidRPr="00501D1D">
        <w:rPr>
          <w:i w:val="0"/>
          <w:lang w:val="fr-CH"/>
        </w:rPr>
      </w:r>
      <w:r w:rsidR="008A6E1C" w:rsidRPr="00501D1D">
        <w:rPr>
          <w:i w:val="0"/>
          <w:lang w:val="fr-CH"/>
        </w:rPr>
        <w:fldChar w:fldCharType="separate"/>
      </w:r>
      <w:r w:rsidR="00A65A9C">
        <w:rPr>
          <w:i w:val="0"/>
          <w:lang w:val="fr-CH"/>
        </w:rPr>
        <w:t>P16</w:t>
      </w:r>
      <w:r w:rsidR="008A6E1C" w:rsidRPr="00501D1D">
        <w:rPr>
          <w:i w:val="0"/>
          <w:lang w:val="fr-CH"/>
        </w:rPr>
        <w:fldChar w:fldCharType="end"/>
      </w:r>
      <w:r w:rsidR="00D71B80">
        <w:rPr>
          <w:i w:val="0"/>
          <w:lang w:val="fr-CH"/>
        </w:rPr>
        <w:t> ;</w:t>
      </w:r>
      <w:r w:rsidR="00D71B80" w:rsidRPr="00501D1D">
        <w:rPr>
          <w:i w:val="0"/>
          <w:lang w:val="fr-CH"/>
        </w:rPr>
        <w:t xml:space="preserve"> </w:t>
      </w:r>
    </w:p>
    <w:p w14:paraId="48171259" w14:textId="6743CC2E" w:rsidR="00B51E18" w:rsidRDefault="00B51E18" w:rsidP="00B51E18">
      <w:pPr>
        <w:pStyle w:val="Listenabsatz"/>
        <w:numPr>
          <w:ilvl w:val="1"/>
          <w:numId w:val="26"/>
        </w:numPr>
        <w:rPr>
          <w:i w:val="0"/>
          <w:lang w:val="fr-CH"/>
        </w:rPr>
      </w:pPr>
      <w:r>
        <w:rPr>
          <w:i w:val="0"/>
          <w:lang w:val="fr-CH"/>
        </w:rPr>
        <w:t>présente</w:t>
      </w:r>
      <w:r w:rsidR="00B010C0" w:rsidRPr="00501D1D">
        <w:rPr>
          <w:i w:val="0"/>
          <w:lang w:val="fr-CH"/>
        </w:rPr>
        <w:t xml:space="preserve"> également les modifications importantes de la qualité des SDA en prenant pour référence les critères énoncés </w:t>
      </w:r>
      <w:r w:rsidR="00D71B80">
        <w:rPr>
          <w:i w:val="0"/>
          <w:lang w:val="fr-CH"/>
        </w:rPr>
        <w:t>sous</w:t>
      </w:r>
      <w:r w:rsidR="00D71B80" w:rsidRPr="00501D1D">
        <w:rPr>
          <w:i w:val="0"/>
          <w:lang w:val="fr-CH"/>
        </w:rPr>
        <w:t xml:space="preserve"> </w:t>
      </w:r>
      <w:r w:rsidR="008A6E1C" w:rsidRPr="00501D1D">
        <w:rPr>
          <w:i w:val="0"/>
          <w:lang w:val="fr-CH"/>
        </w:rPr>
        <w:fldChar w:fldCharType="begin"/>
      </w:r>
      <w:r w:rsidR="008A6E1C" w:rsidRPr="00501D1D">
        <w:rPr>
          <w:i w:val="0"/>
          <w:lang w:val="fr-CH"/>
        </w:rPr>
        <w:instrText xml:space="preserve"> REF _Ref527035211 \r \h </w:instrText>
      </w:r>
      <w:r>
        <w:rPr>
          <w:i w:val="0"/>
          <w:lang w:val="fr-CH"/>
        </w:rPr>
        <w:instrText xml:space="preserve"> \* MERGEFORMAT </w:instrText>
      </w:r>
      <w:r w:rsidR="008A6E1C" w:rsidRPr="00501D1D">
        <w:rPr>
          <w:i w:val="0"/>
          <w:lang w:val="fr-CH"/>
        </w:rPr>
      </w:r>
      <w:r w:rsidR="008A6E1C" w:rsidRPr="00501D1D">
        <w:rPr>
          <w:i w:val="0"/>
          <w:lang w:val="fr-CH"/>
        </w:rPr>
        <w:fldChar w:fldCharType="separate"/>
      </w:r>
      <w:r w:rsidR="00A65A9C">
        <w:rPr>
          <w:i w:val="0"/>
          <w:lang w:val="fr-CH"/>
        </w:rPr>
        <w:t>P6</w:t>
      </w:r>
      <w:r w:rsidR="008A6E1C" w:rsidRPr="00501D1D">
        <w:rPr>
          <w:i w:val="0"/>
          <w:lang w:val="fr-CH"/>
        </w:rPr>
        <w:fldChar w:fldCharType="end"/>
      </w:r>
      <w:r w:rsidR="008A6E1C" w:rsidRPr="00501D1D">
        <w:rPr>
          <w:i w:val="0"/>
          <w:lang w:val="fr-CH"/>
        </w:rPr>
        <w:t xml:space="preserve"> </w:t>
      </w:r>
      <w:r w:rsidR="00FA1412" w:rsidRPr="00501D1D">
        <w:rPr>
          <w:i w:val="0"/>
          <w:lang w:val="fr-CH"/>
        </w:rPr>
        <w:t>(</w:t>
      </w:r>
      <w:r w:rsidR="00B010C0" w:rsidRPr="00501D1D">
        <w:rPr>
          <w:i w:val="0"/>
          <w:lang w:val="fr-CH"/>
        </w:rPr>
        <w:t xml:space="preserve">cf. également </w:t>
      </w:r>
      <w:r w:rsidR="008A6E1C" w:rsidRPr="00501D1D">
        <w:rPr>
          <w:i w:val="0"/>
          <w:lang w:val="fr-CH"/>
        </w:rPr>
        <w:fldChar w:fldCharType="begin"/>
      </w:r>
      <w:r w:rsidR="008A6E1C" w:rsidRPr="00501D1D">
        <w:rPr>
          <w:i w:val="0"/>
          <w:lang w:val="fr-CH"/>
        </w:rPr>
        <w:instrText xml:space="preserve"> REF _Ref527035245 \r \h </w:instrText>
      </w:r>
      <w:r>
        <w:rPr>
          <w:i w:val="0"/>
          <w:lang w:val="fr-CH"/>
        </w:rPr>
        <w:instrText xml:space="preserve"> \* MERGEFORMAT </w:instrText>
      </w:r>
      <w:r w:rsidR="008A6E1C" w:rsidRPr="00501D1D">
        <w:rPr>
          <w:i w:val="0"/>
          <w:lang w:val="fr-CH"/>
        </w:rPr>
      </w:r>
      <w:r w:rsidR="008A6E1C" w:rsidRPr="00501D1D">
        <w:rPr>
          <w:i w:val="0"/>
          <w:lang w:val="fr-CH"/>
        </w:rPr>
        <w:fldChar w:fldCharType="separate"/>
      </w:r>
      <w:r w:rsidR="00A65A9C">
        <w:rPr>
          <w:i w:val="0"/>
          <w:lang w:val="fr-CH"/>
        </w:rPr>
        <w:t>P3</w:t>
      </w:r>
      <w:r w:rsidR="008A6E1C" w:rsidRPr="00501D1D">
        <w:rPr>
          <w:i w:val="0"/>
          <w:lang w:val="fr-CH"/>
        </w:rPr>
        <w:fldChar w:fldCharType="end"/>
      </w:r>
      <w:r w:rsidR="00D71B80" w:rsidRPr="00501D1D">
        <w:rPr>
          <w:i w:val="0"/>
          <w:lang w:val="fr-CH"/>
        </w:rPr>
        <w:t>)</w:t>
      </w:r>
      <w:r w:rsidR="00D71B80">
        <w:rPr>
          <w:i w:val="0"/>
          <w:lang w:val="fr-CH"/>
        </w:rPr>
        <w:t> ;</w:t>
      </w:r>
      <w:r w:rsidR="00D71B80" w:rsidRPr="00501D1D">
        <w:rPr>
          <w:i w:val="0"/>
          <w:lang w:val="fr-CH"/>
        </w:rPr>
        <w:t xml:space="preserve"> </w:t>
      </w:r>
    </w:p>
    <w:p w14:paraId="55542B09" w14:textId="3A8EE8E3" w:rsidR="00B51E18" w:rsidRDefault="00B51E18" w:rsidP="00B51E18">
      <w:pPr>
        <w:pStyle w:val="Listenabsatz"/>
        <w:numPr>
          <w:ilvl w:val="1"/>
          <w:numId w:val="26"/>
        </w:numPr>
        <w:rPr>
          <w:i w:val="0"/>
          <w:lang w:val="fr-CH"/>
        </w:rPr>
      </w:pPr>
      <w:r>
        <w:rPr>
          <w:i w:val="0"/>
          <w:lang w:val="fr-CH"/>
        </w:rPr>
        <w:t>montre</w:t>
      </w:r>
      <w:r w:rsidRPr="00501D1D">
        <w:rPr>
          <w:i w:val="0"/>
          <w:lang w:val="fr-CH"/>
        </w:rPr>
        <w:t>, p</w:t>
      </w:r>
      <w:r w:rsidR="00B010C0" w:rsidRPr="00501D1D">
        <w:rPr>
          <w:i w:val="0"/>
          <w:lang w:val="fr-CH"/>
        </w:rPr>
        <w:t>our les nouveaux relevés de SDA</w:t>
      </w:r>
      <w:r w:rsidR="003B501A" w:rsidRPr="00501D1D">
        <w:rPr>
          <w:i w:val="0"/>
          <w:lang w:val="fr-CH"/>
        </w:rPr>
        <w:t xml:space="preserve">, que ces surfaces respectent les critères de qualité énoncés au principe </w:t>
      </w:r>
      <w:r w:rsidR="008A6E1C" w:rsidRPr="00501D1D">
        <w:rPr>
          <w:i w:val="0"/>
          <w:lang w:val="fr-CH"/>
        </w:rPr>
        <w:fldChar w:fldCharType="begin"/>
      </w:r>
      <w:r w:rsidR="008A6E1C" w:rsidRPr="00501D1D">
        <w:rPr>
          <w:i w:val="0"/>
          <w:lang w:val="fr-CH"/>
        </w:rPr>
        <w:instrText xml:space="preserve"> REF _Ref527035211 \r \h </w:instrText>
      </w:r>
      <w:r w:rsidRPr="00501D1D">
        <w:rPr>
          <w:i w:val="0"/>
          <w:lang w:val="fr-CH"/>
        </w:rPr>
        <w:instrText xml:space="preserve"> \* MERGEFORMAT </w:instrText>
      </w:r>
      <w:r w:rsidR="008A6E1C" w:rsidRPr="00501D1D">
        <w:rPr>
          <w:i w:val="0"/>
          <w:lang w:val="fr-CH"/>
        </w:rPr>
      </w:r>
      <w:r w:rsidR="008A6E1C" w:rsidRPr="00501D1D">
        <w:rPr>
          <w:i w:val="0"/>
          <w:lang w:val="fr-CH"/>
        </w:rPr>
        <w:fldChar w:fldCharType="separate"/>
      </w:r>
      <w:r w:rsidR="00A65A9C">
        <w:rPr>
          <w:i w:val="0"/>
          <w:lang w:val="fr-CH"/>
        </w:rPr>
        <w:t>P6</w:t>
      </w:r>
      <w:r w:rsidR="008A6E1C" w:rsidRPr="00501D1D">
        <w:rPr>
          <w:i w:val="0"/>
          <w:lang w:val="fr-CH"/>
        </w:rPr>
        <w:fldChar w:fldCharType="end"/>
      </w:r>
      <w:r w:rsidR="00D71B80">
        <w:rPr>
          <w:lang w:val="fr-CH"/>
        </w:rPr>
        <w:t> </w:t>
      </w:r>
      <w:r w:rsidR="00D71B80">
        <w:rPr>
          <w:i w:val="0"/>
          <w:lang w:val="fr-CH"/>
        </w:rPr>
        <w:t>;</w:t>
      </w:r>
      <w:r w:rsidR="00D71B80" w:rsidRPr="00B51E18">
        <w:rPr>
          <w:lang w:val="fr-CH"/>
        </w:rPr>
        <w:t xml:space="preserve"> </w:t>
      </w:r>
    </w:p>
    <w:p w14:paraId="0838D82D" w14:textId="04640671" w:rsidR="00B51E18" w:rsidRPr="00B51E18" w:rsidRDefault="003B501A" w:rsidP="00501D1D">
      <w:pPr>
        <w:pStyle w:val="Listenabsatz"/>
        <w:numPr>
          <w:ilvl w:val="1"/>
          <w:numId w:val="26"/>
        </w:numPr>
        <w:rPr>
          <w:lang w:val="fr-CH"/>
        </w:rPr>
      </w:pPr>
      <w:r w:rsidRPr="00501D1D">
        <w:rPr>
          <w:i w:val="0"/>
          <w:lang w:val="fr-CH"/>
        </w:rPr>
        <w:t>indique</w:t>
      </w:r>
      <w:r w:rsidR="00B51E18" w:rsidRPr="00501D1D">
        <w:rPr>
          <w:i w:val="0"/>
          <w:lang w:val="fr-CH"/>
        </w:rPr>
        <w:t xml:space="preserve"> </w:t>
      </w:r>
      <w:r w:rsidRPr="00501D1D">
        <w:rPr>
          <w:i w:val="0"/>
          <w:lang w:val="fr-CH"/>
        </w:rPr>
        <w:t xml:space="preserve">comment le canton gère les cas particuliers au sens de </w:t>
      </w:r>
      <w:r w:rsidR="008A6E1C" w:rsidRPr="00501D1D">
        <w:rPr>
          <w:i w:val="0"/>
          <w:lang w:val="fr-CH"/>
        </w:rPr>
        <w:fldChar w:fldCharType="begin"/>
      </w:r>
      <w:r w:rsidR="008A6E1C" w:rsidRPr="00501D1D">
        <w:rPr>
          <w:i w:val="0"/>
          <w:lang w:val="fr-CH"/>
        </w:rPr>
        <w:instrText xml:space="preserve"> REF _Ref527034993 \r \h </w:instrText>
      </w:r>
      <w:r w:rsidR="00B51E18" w:rsidRPr="00501D1D">
        <w:rPr>
          <w:i w:val="0"/>
          <w:lang w:val="fr-CH"/>
        </w:rPr>
        <w:instrText xml:space="preserve"> \* MERGEFORMAT </w:instrText>
      </w:r>
      <w:r w:rsidR="008A6E1C" w:rsidRPr="00501D1D">
        <w:rPr>
          <w:i w:val="0"/>
          <w:lang w:val="fr-CH"/>
        </w:rPr>
      </w:r>
      <w:r w:rsidR="008A6E1C" w:rsidRPr="00501D1D">
        <w:rPr>
          <w:i w:val="0"/>
          <w:lang w:val="fr-CH"/>
        </w:rPr>
        <w:fldChar w:fldCharType="separate"/>
      </w:r>
      <w:r w:rsidR="00A65A9C">
        <w:rPr>
          <w:i w:val="0"/>
          <w:lang w:val="fr-CH"/>
        </w:rPr>
        <w:t>P16</w:t>
      </w:r>
      <w:r w:rsidR="008A6E1C" w:rsidRPr="00501D1D">
        <w:rPr>
          <w:i w:val="0"/>
          <w:lang w:val="fr-CH"/>
        </w:rPr>
        <w:fldChar w:fldCharType="end"/>
      </w:r>
      <w:r w:rsidR="00D71B80">
        <w:rPr>
          <w:lang w:val="fr-CH"/>
        </w:rPr>
        <w:t> </w:t>
      </w:r>
      <w:r w:rsidR="00D71B80">
        <w:rPr>
          <w:i w:val="0"/>
          <w:lang w:val="fr-CH"/>
        </w:rPr>
        <w:t>;</w:t>
      </w:r>
      <w:r w:rsidR="00D71B80" w:rsidRPr="00452BB3">
        <w:rPr>
          <w:lang w:val="fr-CH"/>
        </w:rPr>
        <w:t xml:space="preserve"> </w:t>
      </w:r>
    </w:p>
    <w:p w14:paraId="7D6D79B3" w14:textId="2CE84E9C" w:rsidR="00294CE0" w:rsidRDefault="00D71B80" w:rsidP="00B51E18">
      <w:pPr>
        <w:pStyle w:val="Listenabsatz"/>
        <w:numPr>
          <w:ilvl w:val="1"/>
          <w:numId w:val="26"/>
        </w:numPr>
        <w:rPr>
          <w:i w:val="0"/>
          <w:lang w:val="fr-CH"/>
        </w:rPr>
      </w:pPr>
      <w:r>
        <w:rPr>
          <w:i w:val="0"/>
          <w:lang w:val="fr-CH"/>
        </w:rPr>
        <w:t>motive</w:t>
      </w:r>
      <w:r w:rsidR="003B501A" w:rsidRPr="00501D1D">
        <w:rPr>
          <w:i w:val="0"/>
          <w:lang w:val="fr-CH"/>
        </w:rPr>
        <w:t xml:space="preserve"> une </w:t>
      </w:r>
      <w:r>
        <w:rPr>
          <w:i w:val="0"/>
          <w:lang w:val="fr-CH"/>
        </w:rPr>
        <w:t xml:space="preserve">éventuelle </w:t>
      </w:r>
      <w:r w:rsidR="003B501A" w:rsidRPr="00501D1D">
        <w:rPr>
          <w:i w:val="0"/>
          <w:lang w:val="fr-CH"/>
        </w:rPr>
        <w:t>réduction</w:t>
      </w:r>
      <w:r>
        <w:rPr>
          <w:i w:val="0"/>
          <w:lang w:val="fr-CH"/>
        </w:rPr>
        <w:t xml:space="preserve"> prévue</w:t>
      </w:r>
      <w:r w:rsidR="003B501A" w:rsidRPr="00501D1D">
        <w:rPr>
          <w:i w:val="0"/>
          <w:lang w:val="fr-CH"/>
        </w:rPr>
        <w:t xml:space="preserve"> du coefficient de déduction</w:t>
      </w:r>
      <w:r w:rsidR="00332AF2">
        <w:rPr>
          <w:rStyle w:val="Funotenzeichen"/>
          <w:i w:val="0"/>
          <w:lang w:val="fr-CH"/>
        </w:rPr>
        <w:footnoteReference w:id="32"/>
      </w:r>
      <w:r>
        <w:rPr>
          <w:i w:val="0"/>
          <w:lang w:val="fr-CH"/>
        </w:rPr>
        <w:t> ;</w:t>
      </w:r>
      <w:r w:rsidRPr="00501D1D">
        <w:rPr>
          <w:i w:val="0"/>
          <w:lang w:val="fr-CH"/>
        </w:rPr>
        <w:t xml:space="preserve"> </w:t>
      </w:r>
    </w:p>
    <w:p w14:paraId="139D3B7B" w14:textId="62180652" w:rsidR="004F675F" w:rsidRPr="00B51E18" w:rsidRDefault="00D71B80" w:rsidP="00501D1D">
      <w:pPr>
        <w:pStyle w:val="Listenabsatz"/>
        <w:numPr>
          <w:ilvl w:val="1"/>
          <w:numId w:val="26"/>
        </w:numPr>
        <w:rPr>
          <w:lang w:val="fr-CH"/>
        </w:rPr>
      </w:pPr>
      <w:r>
        <w:rPr>
          <w:i w:val="0"/>
          <w:lang w:val="fr-CH"/>
        </w:rPr>
        <w:t xml:space="preserve">indique </w:t>
      </w:r>
      <w:r w:rsidR="004F675F">
        <w:rPr>
          <w:i w:val="0"/>
          <w:lang w:val="fr-CH"/>
        </w:rPr>
        <w:t xml:space="preserve">le nombre de surfaces compensées en nature ou par </w:t>
      </w:r>
      <w:r>
        <w:rPr>
          <w:i w:val="0"/>
          <w:lang w:val="fr-CH"/>
        </w:rPr>
        <w:t>un</w:t>
      </w:r>
      <w:r w:rsidR="004F675F">
        <w:rPr>
          <w:i w:val="0"/>
          <w:lang w:val="fr-CH"/>
        </w:rPr>
        <w:t xml:space="preserve"> fonds. </w:t>
      </w:r>
      <w:r>
        <w:rPr>
          <w:i w:val="0"/>
          <w:lang w:val="fr-CH"/>
        </w:rPr>
        <w:t>En ce qui concerne le fonds, ii</w:t>
      </w:r>
      <w:r w:rsidR="004F675F">
        <w:rPr>
          <w:i w:val="0"/>
          <w:lang w:val="fr-CH"/>
        </w:rPr>
        <w:t xml:space="preserve"> précise également </w:t>
      </w:r>
      <w:r>
        <w:rPr>
          <w:i w:val="0"/>
          <w:lang w:val="fr-CH"/>
        </w:rPr>
        <w:t>les</w:t>
      </w:r>
      <w:r w:rsidR="004F675F">
        <w:rPr>
          <w:i w:val="0"/>
          <w:lang w:val="fr-CH"/>
        </w:rPr>
        <w:t xml:space="preserve"> montants versés sur le fonds </w:t>
      </w:r>
      <w:r w:rsidR="00B67101">
        <w:rPr>
          <w:i w:val="0"/>
          <w:lang w:val="fr-CH"/>
        </w:rPr>
        <w:t>et la somme de celui-ci</w:t>
      </w:r>
      <w:r w:rsidR="004F675F">
        <w:rPr>
          <w:i w:val="0"/>
          <w:lang w:val="fr-CH"/>
        </w:rPr>
        <w:t>.</w:t>
      </w:r>
    </w:p>
    <w:p w14:paraId="19B215D8" w14:textId="5C8B10F5" w:rsidR="009C086A" w:rsidRPr="00572D0C" w:rsidRDefault="0021054F" w:rsidP="009C086A">
      <w:pPr>
        <w:rPr>
          <w:lang w:val="fr-CH"/>
        </w:rPr>
      </w:pPr>
      <w:r>
        <w:rPr>
          <w:lang w:val="fr-CH"/>
        </w:rPr>
        <w:t>L’</w:t>
      </w:r>
      <w:r w:rsidR="147A5F7B" w:rsidRPr="00572D0C">
        <w:rPr>
          <w:lang w:val="fr-CH"/>
        </w:rPr>
        <w:t xml:space="preserve">ARE </w:t>
      </w:r>
      <w:r>
        <w:rPr>
          <w:lang w:val="fr-CH"/>
        </w:rPr>
        <w:t>examine si les contenus du rapport sont plausibles et compréhensibles. Il vérifie également si la gestion de l’inventaire des SDA respecte les</w:t>
      </w:r>
      <w:r w:rsidR="005A3CAA">
        <w:rPr>
          <w:lang w:val="fr-CH"/>
        </w:rPr>
        <w:t xml:space="preserve"> principes de planification du P</w:t>
      </w:r>
      <w:r>
        <w:rPr>
          <w:lang w:val="fr-CH"/>
        </w:rPr>
        <w:t>lan sectoriel et garantit ainsi la préservation durable du contingent. Les cantons sont informés des résultats de cet examen. En cas de non</w:t>
      </w:r>
      <w:r w:rsidR="00B67101">
        <w:rPr>
          <w:lang w:val="fr-CH"/>
        </w:rPr>
        <w:t>-</w:t>
      </w:r>
      <w:r>
        <w:rPr>
          <w:lang w:val="fr-CH"/>
        </w:rPr>
        <w:t xml:space="preserve">transmission ou de transmission incomplète de ces documents et de leurs </w:t>
      </w:r>
      <w:r w:rsidR="00B67101">
        <w:rPr>
          <w:lang w:val="fr-CH"/>
        </w:rPr>
        <w:t>commentaires détaillés</w:t>
      </w:r>
      <w:r>
        <w:rPr>
          <w:lang w:val="fr-CH"/>
        </w:rPr>
        <w:t>, des précisions et justifications devront être transmises à l’</w:t>
      </w:r>
      <w:r w:rsidR="009C086A" w:rsidRPr="00572D0C">
        <w:rPr>
          <w:lang w:val="fr-CH"/>
        </w:rPr>
        <w:t>ARE.</w:t>
      </w:r>
    </w:p>
    <w:p w14:paraId="21A08280" w14:textId="2A03EB87" w:rsidR="00FA1412" w:rsidRPr="00572D0C" w:rsidRDefault="0021054F" w:rsidP="009C086A">
      <w:pPr>
        <w:rPr>
          <w:lang w:val="fr-CH"/>
        </w:rPr>
      </w:pPr>
      <w:r>
        <w:rPr>
          <w:lang w:val="fr-CH"/>
        </w:rPr>
        <w:t>L’</w:t>
      </w:r>
      <w:r w:rsidR="009C086A" w:rsidRPr="00572D0C">
        <w:rPr>
          <w:lang w:val="fr-CH"/>
        </w:rPr>
        <w:t xml:space="preserve">ARE </w:t>
      </w:r>
      <w:r>
        <w:rPr>
          <w:lang w:val="fr-CH"/>
        </w:rPr>
        <w:t xml:space="preserve">prend des mesures en collaboration avec les cantons </w:t>
      </w:r>
      <w:r w:rsidR="00B67101">
        <w:rPr>
          <w:lang w:val="fr-CH"/>
        </w:rPr>
        <w:t>si</w:t>
      </w:r>
      <w:r>
        <w:rPr>
          <w:lang w:val="fr-CH"/>
        </w:rPr>
        <w:t xml:space="preserve"> ces prescriptions</w:t>
      </w:r>
      <w:r w:rsidR="004F675F">
        <w:rPr>
          <w:lang w:val="fr-CH"/>
        </w:rPr>
        <w:t xml:space="preserve"> </w:t>
      </w:r>
      <w:r w:rsidR="00B67101">
        <w:rPr>
          <w:lang w:val="fr-CH"/>
        </w:rPr>
        <w:t>ne peuvent pas être respectées,</w:t>
      </w:r>
      <w:r w:rsidR="004F675F">
        <w:rPr>
          <w:lang w:val="fr-CH"/>
        </w:rPr>
        <w:t xml:space="preserve"> notamment lorsque la marge de manœuvre </w:t>
      </w:r>
      <w:r w:rsidR="00B67101">
        <w:rPr>
          <w:lang w:val="fr-CH"/>
        </w:rPr>
        <w:t xml:space="preserve">du canton </w:t>
      </w:r>
      <w:r w:rsidR="004F675F">
        <w:rPr>
          <w:lang w:val="fr-CH"/>
        </w:rPr>
        <w:t xml:space="preserve">en matière de SDA </w:t>
      </w:r>
      <w:r w:rsidR="00B67101">
        <w:rPr>
          <w:lang w:val="fr-CH"/>
        </w:rPr>
        <w:t>devient très faible</w:t>
      </w:r>
      <w:r w:rsidR="009C086A" w:rsidRPr="00572D0C">
        <w:rPr>
          <w:lang w:val="fr-CH"/>
        </w:rPr>
        <w:t xml:space="preserve">. </w:t>
      </w:r>
    </w:p>
    <w:p w14:paraId="01C5BBE2" w14:textId="24411833" w:rsidR="004F675F" w:rsidRPr="008B563A" w:rsidRDefault="004F675F" w:rsidP="00501D1D">
      <w:pPr>
        <w:pStyle w:val="berschrift2"/>
        <w:rPr>
          <w:lang w:val="fr-CH"/>
        </w:rPr>
      </w:pPr>
      <w:bookmarkStart w:id="129" w:name="_Toc526946717"/>
      <w:bookmarkStart w:id="130" w:name="_Toc531193009"/>
      <w:bookmarkStart w:id="131" w:name="_Toc532996291"/>
      <w:r w:rsidRPr="008B563A">
        <w:rPr>
          <w:lang w:val="fr-CH"/>
        </w:rPr>
        <w:lastRenderedPageBreak/>
        <w:t>Cas spéciaux</w:t>
      </w:r>
      <w:bookmarkEnd w:id="131"/>
    </w:p>
    <w:p w14:paraId="0D96F3FF" w14:textId="1B888F40" w:rsidR="008778D4" w:rsidRPr="00572D0C" w:rsidRDefault="00722D87" w:rsidP="008778D4">
      <w:pPr>
        <w:pStyle w:val="Listenabsatz"/>
        <w:numPr>
          <w:ilvl w:val="0"/>
          <w:numId w:val="29"/>
        </w:numPr>
        <w:shd w:val="clear" w:color="auto" w:fill="D9D9D9" w:themeFill="background1" w:themeFillShade="D9"/>
        <w:spacing w:before="240"/>
        <w:ind w:left="567" w:hanging="567"/>
        <w:rPr>
          <w:b/>
          <w:bCs/>
          <w:i w:val="0"/>
          <w:lang w:val="fr-CH"/>
        </w:rPr>
      </w:pPr>
      <w:bookmarkStart w:id="132" w:name="_Ref527034993"/>
      <w:bookmarkEnd w:id="129"/>
      <w:bookmarkEnd w:id="130"/>
      <w:r>
        <w:rPr>
          <w:b/>
          <w:bCs/>
          <w:i w:val="0"/>
          <w:lang w:val="fr-CH"/>
        </w:rPr>
        <w:t xml:space="preserve">Les </w:t>
      </w:r>
      <w:r w:rsidR="000676A8">
        <w:rPr>
          <w:b/>
          <w:bCs/>
          <w:i w:val="0"/>
          <w:lang w:val="fr-CH"/>
        </w:rPr>
        <w:t xml:space="preserve">surfaces affectées à </w:t>
      </w:r>
      <w:r>
        <w:rPr>
          <w:b/>
          <w:bCs/>
          <w:i w:val="0"/>
          <w:lang w:val="fr-CH"/>
        </w:rPr>
        <w:t>une utilisation spéciale peuvent être comptabilisées dans l’inventaire cantonal si leur</w:t>
      </w:r>
      <w:r w:rsidR="000676A8">
        <w:rPr>
          <w:b/>
          <w:bCs/>
          <w:i w:val="0"/>
          <w:lang w:val="fr-CH"/>
        </w:rPr>
        <w:t xml:space="preserve"> sol présente la</w:t>
      </w:r>
      <w:r>
        <w:rPr>
          <w:b/>
          <w:bCs/>
          <w:i w:val="0"/>
          <w:lang w:val="fr-CH"/>
        </w:rPr>
        <w:t xml:space="preserve"> qualité SDA et que leur surface est disponible dans un délai de 12 mois pour une remise en culture en cas de grave pénurie</w:t>
      </w:r>
      <w:r w:rsidR="008778D4" w:rsidRPr="00572D0C">
        <w:rPr>
          <w:b/>
          <w:bCs/>
          <w:i w:val="0"/>
          <w:lang w:val="fr-CH"/>
        </w:rPr>
        <w:t>.</w:t>
      </w:r>
      <w:bookmarkEnd w:id="132"/>
      <w:r w:rsidR="008778D4" w:rsidRPr="00572D0C">
        <w:rPr>
          <w:b/>
          <w:bCs/>
          <w:i w:val="0"/>
          <w:lang w:val="fr-CH"/>
        </w:rPr>
        <w:t xml:space="preserve"> </w:t>
      </w:r>
    </w:p>
    <w:p w14:paraId="6040E74C" w14:textId="2B376114" w:rsidR="00746DFC" w:rsidRPr="00572D0C" w:rsidRDefault="005A3CAA" w:rsidP="00746DFC">
      <w:pPr>
        <w:rPr>
          <w:lang w:val="fr-CH"/>
        </w:rPr>
      </w:pPr>
      <w:r>
        <w:rPr>
          <w:lang w:val="fr-CH"/>
        </w:rPr>
        <w:t>Le but du P</w:t>
      </w:r>
      <w:r w:rsidR="0021054F">
        <w:rPr>
          <w:lang w:val="fr-CH"/>
        </w:rPr>
        <w:t>lan sectoriel des SDA est de garantir la protection quantitative et qualitative des meilleures terres cultivables de Sui</w:t>
      </w:r>
      <w:r w:rsidR="00AE77F1">
        <w:rPr>
          <w:lang w:val="fr-CH"/>
        </w:rPr>
        <w:t>sse</w:t>
      </w:r>
      <w:r w:rsidR="147A5F7B" w:rsidRPr="00572D0C">
        <w:rPr>
          <w:lang w:val="fr-CH"/>
        </w:rPr>
        <w:t xml:space="preserve">. </w:t>
      </w:r>
      <w:r w:rsidR="00AE77F1">
        <w:rPr>
          <w:lang w:val="fr-CH"/>
        </w:rPr>
        <w:t>Ce but peut en principe être atteint indépendamment de l’utilisation effective de ces terres aussi longtemps que la qualité des sols et, par conséquent, le potentiel de production agricole sont durablement préservés</w:t>
      </w:r>
      <w:r w:rsidR="147A5F7B" w:rsidRPr="00572D0C">
        <w:rPr>
          <w:lang w:val="fr-CH"/>
        </w:rPr>
        <w:t>.</w:t>
      </w:r>
    </w:p>
    <w:p w14:paraId="24B9EE9F" w14:textId="5836744A" w:rsidR="00A72832" w:rsidRPr="00572D0C" w:rsidRDefault="0086672D" w:rsidP="00746DFC">
      <w:pPr>
        <w:rPr>
          <w:lang w:val="fr-CH"/>
        </w:rPr>
      </w:pPr>
      <w:r>
        <w:rPr>
          <w:rFonts w:cs="Arial"/>
          <w:lang w:val="fr-CH"/>
        </w:rPr>
        <w:t>À</w:t>
      </w:r>
      <w:r w:rsidR="00AE77F1">
        <w:rPr>
          <w:lang w:val="fr-CH"/>
        </w:rPr>
        <w:t xml:space="preserve"> l’heure actuelle, les cas particuliers représentent moins de</w:t>
      </w:r>
      <w:r w:rsidR="00B71336" w:rsidRPr="00572D0C">
        <w:rPr>
          <w:lang w:val="fr-CH"/>
        </w:rPr>
        <w:t xml:space="preserve"> 4% d</w:t>
      </w:r>
      <w:r w:rsidR="00C52B7B">
        <w:rPr>
          <w:lang w:val="fr-CH"/>
        </w:rPr>
        <w:t xml:space="preserve">es surfaces d’assolement </w:t>
      </w:r>
      <w:r w:rsidR="000676A8">
        <w:rPr>
          <w:lang w:val="fr-CH"/>
        </w:rPr>
        <w:t xml:space="preserve">répertoriées dans les inventaires </w:t>
      </w:r>
      <w:r w:rsidR="00C52B7B">
        <w:rPr>
          <w:lang w:val="fr-CH"/>
        </w:rPr>
        <w:t>de l’ensemble du pays. Les cultures fruitières (3% de l’ensemble des SDA) en constituent la majeure partie</w:t>
      </w:r>
      <w:r w:rsidR="00B71336" w:rsidRPr="00572D0C">
        <w:rPr>
          <w:rStyle w:val="Funotenzeichen"/>
          <w:lang w:val="fr-CH"/>
        </w:rPr>
        <w:footnoteReference w:id="33"/>
      </w:r>
      <w:r w:rsidR="00B71336" w:rsidRPr="00572D0C">
        <w:rPr>
          <w:lang w:val="fr-CH"/>
        </w:rPr>
        <w:t>.</w:t>
      </w:r>
    </w:p>
    <w:p w14:paraId="46B77743" w14:textId="5867286F" w:rsidR="001C1E9F" w:rsidRPr="00572D0C" w:rsidRDefault="00C52B7B" w:rsidP="147A5F7B">
      <w:pPr>
        <w:rPr>
          <w:b/>
          <w:bCs/>
          <w:lang w:val="fr-CH"/>
        </w:rPr>
      </w:pPr>
      <w:r>
        <w:rPr>
          <w:b/>
          <w:bCs/>
          <w:lang w:val="fr-CH"/>
        </w:rPr>
        <w:t xml:space="preserve">Critères de comptabilisation </w:t>
      </w:r>
    </w:p>
    <w:p w14:paraId="4E3F07D0" w14:textId="1832215A" w:rsidR="009C086A" w:rsidRPr="00572D0C" w:rsidRDefault="000E49B4" w:rsidP="003F724F">
      <w:pPr>
        <w:spacing w:after="40"/>
        <w:rPr>
          <w:lang w:val="fr-CH"/>
        </w:rPr>
      </w:pPr>
      <w:r>
        <w:rPr>
          <w:lang w:val="fr-CH"/>
        </w:rPr>
        <w:t xml:space="preserve">Dans la pratique, les </w:t>
      </w:r>
      <w:r w:rsidR="00E13C3C">
        <w:rPr>
          <w:lang w:val="fr-CH"/>
        </w:rPr>
        <w:t>cantons sont régulièrement confrontés à des cas spéciaux d’emprise sur des SDA</w:t>
      </w:r>
      <w:r w:rsidR="147A5F7B" w:rsidRPr="00572D0C">
        <w:rPr>
          <w:lang w:val="fr-CH"/>
        </w:rPr>
        <w:t>.</w:t>
      </w:r>
      <w:r w:rsidR="002F2D77">
        <w:rPr>
          <w:lang w:val="fr-CH"/>
        </w:rPr>
        <w:t xml:space="preserve"> Les surfaces dont les sols continuent de remplir les critères de qualité SDA malgré leur utilisation spéciale, parfois non agricole, sont considérées comme des SDA. Les utilisations spéciales sur des SDA doivent rester l’exception et ne représenter dans leur ensemble qu’une petite partie des SDA</w:t>
      </w:r>
      <w:r w:rsidR="000676A8">
        <w:rPr>
          <w:lang w:val="fr-CH"/>
        </w:rPr>
        <w:t xml:space="preserve"> répertoriées dans les inventaires cantonaux</w:t>
      </w:r>
      <w:r w:rsidR="002F2D77">
        <w:rPr>
          <w:lang w:val="fr-CH"/>
        </w:rPr>
        <w:t xml:space="preserve">. </w:t>
      </w:r>
    </w:p>
    <w:p w14:paraId="7CA055DA" w14:textId="35E47D0E" w:rsidR="00E26A76" w:rsidRPr="00572D0C" w:rsidRDefault="002F2D77" w:rsidP="003F724F">
      <w:pPr>
        <w:spacing w:after="40"/>
        <w:rPr>
          <w:lang w:val="fr-CH"/>
        </w:rPr>
      </w:pPr>
      <w:r>
        <w:rPr>
          <w:lang w:val="fr-CH"/>
        </w:rPr>
        <w:t xml:space="preserve">Elles peuvent être comptabilisées dans l’inventaire cantonal pour autant qu’elles remplissent les critères suivants </w:t>
      </w:r>
      <w:r w:rsidR="147A5F7B" w:rsidRPr="00572D0C">
        <w:rPr>
          <w:lang w:val="fr-CH"/>
        </w:rPr>
        <w:t>:</w:t>
      </w:r>
    </w:p>
    <w:p w14:paraId="238D5759" w14:textId="7E758362" w:rsidR="00E26A76" w:rsidRPr="00572D0C" w:rsidRDefault="002F2D77" w:rsidP="00EE5521">
      <w:pPr>
        <w:pStyle w:val="Listenabsatz"/>
        <w:numPr>
          <w:ilvl w:val="0"/>
          <w:numId w:val="22"/>
        </w:numPr>
        <w:spacing w:after="40"/>
        <w:rPr>
          <w:i w:val="0"/>
          <w:lang w:val="fr-CH"/>
        </w:rPr>
      </w:pPr>
      <w:r>
        <w:rPr>
          <w:i w:val="0"/>
          <w:lang w:val="fr-CH"/>
        </w:rPr>
        <w:t>L’utilisa</w:t>
      </w:r>
      <w:r w:rsidR="147A5F7B" w:rsidRPr="00572D0C">
        <w:rPr>
          <w:i w:val="0"/>
          <w:lang w:val="fr-CH"/>
        </w:rPr>
        <w:t>t</w:t>
      </w:r>
      <w:r>
        <w:rPr>
          <w:i w:val="0"/>
          <w:lang w:val="fr-CH"/>
        </w:rPr>
        <w:t>ion spéciale ne porte pas atteinte à la qualité SDA des sols</w:t>
      </w:r>
    </w:p>
    <w:p w14:paraId="7A4D1CAE" w14:textId="3BB07712" w:rsidR="00E723B8" w:rsidRPr="00572D0C" w:rsidRDefault="002F2D77">
      <w:pPr>
        <w:pStyle w:val="Listenabsatz"/>
        <w:numPr>
          <w:ilvl w:val="0"/>
          <w:numId w:val="22"/>
        </w:numPr>
        <w:rPr>
          <w:i w:val="0"/>
          <w:lang w:val="fr-CH"/>
        </w:rPr>
      </w:pPr>
      <w:r>
        <w:rPr>
          <w:i w:val="0"/>
          <w:lang w:val="fr-CH"/>
        </w:rPr>
        <w:t xml:space="preserve">Le sol peut être </w:t>
      </w:r>
      <w:r w:rsidR="008A5B04">
        <w:rPr>
          <w:i w:val="0"/>
          <w:lang w:val="fr-CH"/>
        </w:rPr>
        <w:t>disponible d</w:t>
      </w:r>
      <w:r>
        <w:rPr>
          <w:i w:val="0"/>
          <w:lang w:val="fr-CH"/>
        </w:rPr>
        <w:t xml:space="preserve">ans </w:t>
      </w:r>
      <w:r w:rsidR="008A5B04">
        <w:rPr>
          <w:i w:val="0"/>
          <w:lang w:val="fr-CH"/>
        </w:rPr>
        <w:t xml:space="preserve">un délai de </w:t>
      </w:r>
      <w:r w:rsidR="147A5F7B" w:rsidRPr="00572D0C">
        <w:rPr>
          <w:i w:val="0"/>
          <w:lang w:val="fr-CH"/>
        </w:rPr>
        <w:t xml:space="preserve">12 </w:t>
      </w:r>
      <w:r>
        <w:rPr>
          <w:i w:val="0"/>
          <w:lang w:val="fr-CH"/>
        </w:rPr>
        <w:t>mois</w:t>
      </w:r>
      <w:r w:rsidR="147A5F7B" w:rsidRPr="00572D0C">
        <w:rPr>
          <w:i w:val="0"/>
          <w:lang w:val="fr-CH"/>
        </w:rPr>
        <w:t xml:space="preserve"> </w:t>
      </w:r>
      <w:r w:rsidR="008A5B04">
        <w:rPr>
          <w:i w:val="0"/>
          <w:lang w:val="fr-CH"/>
        </w:rPr>
        <w:t>pour une remise en culture</w:t>
      </w:r>
      <w:r w:rsidR="147A5F7B" w:rsidRPr="00572D0C">
        <w:rPr>
          <w:i w:val="0"/>
          <w:lang w:val="fr-CH"/>
        </w:rPr>
        <w:t>.</w:t>
      </w:r>
    </w:p>
    <w:p w14:paraId="1289A688" w14:textId="7D52AB5D" w:rsidR="00D65CCE" w:rsidRPr="00572D0C" w:rsidRDefault="008A5B04" w:rsidP="00D65CCE">
      <w:pPr>
        <w:rPr>
          <w:lang w:val="fr-CH"/>
        </w:rPr>
      </w:pPr>
      <w:r>
        <w:rPr>
          <w:lang w:val="fr-CH"/>
        </w:rPr>
        <w:t>Dans les cas d’atteintes considérables à la structure du sol</w:t>
      </w:r>
      <w:r w:rsidR="147A5F7B" w:rsidRPr="00572D0C">
        <w:rPr>
          <w:lang w:val="fr-CH"/>
        </w:rPr>
        <w:t xml:space="preserve"> (</w:t>
      </w:r>
      <w:r>
        <w:rPr>
          <w:lang w:val="fr-CH"/>
        </w:rPr>
        <w:t>modifications du terrain</w:t>
      </w:r>
      <w:r w:rsidR="147A5F7B" w:rsidRPr="00572D0C">
        <w:rPr>
          <w:lang w:val="fr-CH"/>
        </w:rPr>
        <w:t>) o</w:t>
      </w:r>
      <w:r>
        <w:rPr>
          <w:lang w:val="fr-CH"/>
        </w:rPr>
        <w:t xml:space="preserve">u de décapage du sol, il faut présumer que les deux critères ci-dessus ne sont plus satisfaits. Ces surfaces </w:t>
      </w:r>
      <w:r w:rsidR="000676A8">
        <w:rPr>
          <w:lang w:val="fr-CH"/>
        </w:rPr>
        <w:t>doivent</w:t>
      </w:r>
      <w:r>
        <w:rPr>
          <w:lang w:val="fr-CH"/>
        </w:rPr>
        <w:t xml:space="preserve"> donc </w:t>
      </w:r>
      <w:r w:rsidR="000676A8">
        <w:rPr>
          <w:lang w:val="fr-CH"/>
        </w:rPr>
        <w:t>être soustraites des inventaires</w:t>
      </w:r>
      <w:r>
        <w:rPr>
          <w:lang w:val="fr-CH"/>
        </w:rPr>
        <w:t xml:space="preserve"> de SDA</w:t>
      </w:r>
      <w:r w:rsidR="147A5F7B" w:rsidRPr="00572D0C">
        <w:rPr>
          <w:lang w:val="fr-CH"/>
        </w:rPr>
        <w:t xml:space="preserve">. </w:t>
      </w:r>
      <w:r>
        <w:rPr>
          <w:lang w:val="fr-CH"/>
        </w:rPr>
        <w:t>Après leur réhabilitation, elles peuvent par contre être de nouveau comptabilisées dans les SDA.</w:t>
      </w:r>
    </w:p>
    <w:p w14:paraId="1EFF837D" w14:textId="6D066253" w:rsidR="00DC4905" w:rsidRPr="00572D0C" w:rsidRDefault="001F1A78" w:rsidP="00DC4905">
      <w:pPr>
        <w:rPr>
          <w:lang w:val="fr-CH"/>
        </w:rPr>
      </w:pPr>
      <w:r>
        <w:rPr>
          <w:lang w:val="fr-CH"/>
        </w:rPr>
        <w:t>Afin de garantir</w:t>
      </w:r>
      <w:r w:rsidR="008A5B04">
        <w:rPr>
          <w:lang w:val="fr-CH"/>
        </w:rPr>
        <w:t xml:space="preserve"> l’approvisionnement</w:t>
      </w:r>
      <w:r w:rsidR="00623CE9">
        <w:rPr>
          <w:lang w:val="fr-CH"/>
        </w:rPr>
        <w:t xml:space="preserve"> économique</w:t>
      </w:r>
      <w:r w:rsidR="008A5B04">
        <w:rPr>
          <w:lang w:val="fr-CH"/>
        </w:rPr>
        <w:t xml:space="preserve"> du pays en cas de grave pénurie,</w:t>
      </w:r>
      <w:r w:rsidR="147A5F7B" w:rsidRPr="00572D0C">
        <w:rPr>
          <w:lang w:val="fr-CH"/>
        </w:rPr>
        <w:t xml:space="preserve"> </w:t>
      </w:r>
      <w:r>
        <w:rPr>
          <w:lang w:val="fr-CH"/>
        </w:rPr>
        <w:t xml:space="preserve">seuls quelques cas spéciaux peuvent être comptabilisés dans les inventaires cantonaux de SDA pour autant que leur remise en culture soit possible dans un </w:t>
      </w:r>
      <w:r w:rsidR="00AC0DF0">
        <w:rPr>
          <w:lang w:val="fr-CH"/>
        </w:rPr>
        <w:t xml:space="preserve">délai de 12 mois pour </w:t>
      </w:r>
      <w:r w:rsidR="00F97C75">
        <w:rPr>
          <w:lang w:val="fr-CH"/>
        </w:rPr>
        <w:t xml:space="preserve">la production </w:t>
      </w:r>
      <w:r w:rsidR="00AC0DF0">
        <w:rPr>
          <w:lang w:val="fr-CH"/>
        </w:rPr>
        <w:t>de cultures</w:t>
      </w:r>
      <w:r w:rsidR="00246A1B">
        <w:rPr>
          <w:lang w:val="fr-CH"/>
        </w:rPr>
        <w:t xml:space="preserve"> ciblées</w:t>
      </w:r>
      <w:r w:rsidR="00AC0DF0">
        <w:rPr>
          <w:lang w:val="fr-CH"/>
        </w:rPr>
        <w:t xml:space="preserve"> pertinentes </w:t>
      </w:r>
      <w:r w:rsidR="147A5F7B" w:rsidRPr="00572D0C">
        <w:rPr>
          <w:lang w:val="fr-CH"/>
        </w:rPr>
        <w:t>(</w:t>
      </w:r>
      <w:r w:rsidR="00AC0DF0">
        <w:rPr>
          <w:lang w:val="fr-CH"/>
        </w:rPr>
        <w:t>colza, pommes de terre, céréales ou betteraves sucrières</w:t>
      </w:r>
      <w:r w:rsidR="147A5F7B" w:rsidRPr="00572D0C">
        <w:rPr>
          <w:lang w:val="fr-CH"/>
        </w:rPr>
        <w:t>)</w:t>
      </w:r>
      <w:r w:rsidR="00623CE9">
        <w:rPr>
          <w:lang w:val="fr-CH"/>
        </w:rPr>
        <w:t xml:space="preserve">, </w:t>
      </w:r>
      <w:r w:rsidR="006A14D0">
        <w:rPr>
          <w:lang w:val="fr-CH"/>
        </w:rPr>
        <w:t>s’accompagnant de</w:t>
      </w:r>
      <w:r w:rsidR="0064578A">
        <w:rPr>
          <w:lang w:val="fr-CH"/>
        </w:rPr>
        <w:t xml:space="preserve"> </w:t>
      </w:r>
      <w:r w:rsidR="00623CE9">
        <w:rPr>
          <w:lang w:val="fr-CH"/>
        </w:rPr>
        <w:t>récoltes usuelles</w:t>
      </w:r>
      <w:r w:rsidR="0064578A">
        <w:rPr>
          <w:lang w:val="fr-CH"/>
        </w:rPr>
        <w:t xml:space="preserve"> pour le lieu</w:t>
      </w:r>
      <w:r w:rsidR="147A5F7B" w:rsidRPr="00572D0C">
        <w:rPr>
          <w:lang w:val="fr-CH"/>
        </w:rPr>
        <w:t xml:space="preserve">. </w:t>
      </w:r>
    </w:p>
    <w:p w14:paraId="05FD446C" w14:textId="29BE1A3B" w:rsidR="004810BD" w:rsidRPr="00572D0C" w:rsidRDefault="00AC0DF0" w:rsidP="147A5F7B">
      <w:pPr>
        <w:rPr>
          <w:highlight w:val="yellow"/>
          <w:lang w:val="fr-CH"/>
        </w:rPr>
      </w:pPr>
      <w:r>
        <w:rPr>
          <w:lang w:val="fr-CH"/>
        </w:rPr>
        <w:t>Si l’utilisation spéciale permet de soupçonner ou révèle une atteinte à la qualité des sols par une charge polluante, les surfaces ne peuvent plus être comptabilisées dans l’inventaire SDA. Cela vaut par exemple pour les jardins familiaux qui en principe ne peuvent pas être comptabilisés dans les SDA. Pour les vignes, la preuve de la préservation de la qualité SDA doit être fournie</w:t>
      </w:r>
      <w:r w:rsidR="147A5F7B" w:rsidRPr="00572D0C">
        <w:rPr>
          <w:lang w:val="fr-CH"/>
        </w:rPr>
        <w:t>.</w:t>
      </w:r>
    </w:p>
    <w:p w14:paraId="197BE172" w14:textId="78187A19" w:rsidR="000B75A3" w:rsidRPr="00572D0C" w:rsidRDefault="00AC0DF0" w:rsidP="0041722F">
      <w:pPr>
        <w:rPr>
          <w:lang w:val="fr-CH"/>
        </w:rPr>
      </w:pPr>
      <w:r>
        <w:rPr>
          <w:lang w:val="fr-CH"/>
        </w:rPr>
        <w:t xml:space="preserve">Dans les cas spéciaux, on considère de façon générale qu’il est nécessaire de déduire les surfaces (bâtiments, accès, parcs de stationnement, etc.) </w:t>
      </w:r>
      <w:r w:rsidR="00810496">
        <w:rPr>
          <w:lang w:val="fr-CH"/>
        </w:rPr>
        <w:t>utilisées pour les</w:t>
      </w:r>
      <w:r>
        <w:rPr>
          <w:lang w:val="fr-CH"/>
        </w:rPr>
        <w:t xml:space="preserve"> constructions et installations </w:t>
      </w:r>
      <w:r w:rsidR="00810496">
        <w:rPr>
          <w:lang w:val="fr-CH"/>
        </w:rPr>
        <w:t>fixe</w:t>
      </w:r>
      <w:r>
        <w:rPr>
          <w:lang w:val="fr-CH"/>
        </w:rPr>
        <w:t>s</w:t>
      </w:r>
      <w:r w:rsidR="147A5F7B" w:rsidRPr="00572D0C">
        <w:rPr>
          <w:lang w:val="fr-CH"/>
        </w:rPr>
        <w:t>.</w:t>
      </w:r>
      <w:r>
        <w:rPr>
          <w:lang w:val="fr-CH"/>
        </w:rPr>
        <w:t xml:space="preserve"> De même, ces surfaces doivent être d’un seul tenant</w:t>
      </w:r>
      <w:r w:rsidR="147A5F7B" w:rsidRPr="00572D0C">
        <w:rPr>
          <w:lang w:val="fr-CH"/>
        </w:rPr>
        <w:t xml:space="preserve"> (</w:t>
      </w:r>
      <w:r w:rsidR="00C07554">
        <w:rPr>
          <w:lang w:val="fr-CH"/>
        </w:rPr>
        <w:t>selon</w:t>
      </w:r>
      <w:r w:rsidR="147A5F7B" w:rsidRPr="00572D0C">
        <w:rPr>
          <w:lang w:val="fr-CH"/>
        </w:rPr>
        <w:t xml:space="preserve"> </w:t>
      </w:r>
      <w:r w:rsidR="00C07554">
        <w:rPr>
          <w:lang w:val="fr-CH"/>
        </w:rPr>
        <w:t>P</w:t>
      </w:r>
      <w:r w:rsidR="147A5F7B" w:rsidRPr="00572D0C">
        <w:rPr>
          <w:lang w:val="fr-CH"/>
        </w:rPr>
        <w:t>6).</w:t>
      </w:r>
    </w:p>
    <w:p w14:paraId="3B284B84" w14:textId="09C57EFB" w:rsidR="001C1E9F" w:rsidRPr="00572D0C" w:rsidRDefault="147A5F7B" w:rsidP="147A5F7B">
      <w:pPr>
        <w:rPr>
          <w:b/>
          <w:bCs/>
          <w:lang w:val="fr-CH"/>
        </w:rPr>
      </w:pPr>
      <w:r w:rsidRPr="00572D0C">
        <w:rPr>
          <w:b/>
          <w:bCs/>
          <w:lang w:val="fr-CH"/>
        </w:rPr>
        <w:t>A</w:t>
      </w:r>
      <w:r w:rsidR="00C07554">
        <w:rPr>
          <w:b/>
          <w:bCs/>
          <w:lang w:val="fr-CH"/>
        </w:rPr>
        <w:t>pplication aux cas spéciaux les plus fréquents</w:t>
      </w:r>
    </w:p>
    <w:p w14:paraId="45D6E6CF" w14:textId="0E6C8CD0" w:rsidR="00051A81" w:rsidRPr="00572D0C" w:rsidRDefault="00C07554" w:rsidP="00E723B8">
      <w:pPr>
        <w:rPr>
          <w:lang w:val="fr-CH"/>
        </w:rPr>
      </w:pPr>
      <w:r>
        <w:rPr>
          <w:lang w:val="fr-CH"/>
        </w:rPr>
        <w:t xml:space="preserve">La liste ci-après présente la prise en compte des cas spéciaux les plus fréquents et des surfaces réhabilitées en application des critères évoqués précédemment. Ces critères valent pour les SDA </w:t>
      </w:r>
      <w:r w:rsidR="005767B5">
        <w:rPr>
          <w:lang w:val="fr-CH"/>
        </w:rPr>
        <w:t xml:space="preserve">inventoriées et </w:t>
      </w:r>
      <w:r>
        <w:rPr>
          <w:lang w:val="fr-CH"/>
        </w:rPr>
        <w:t>destinées à une nouvelle utilisation spéciale</w:t>
      </w:r>
      <w:r w:rsidR="00051A81" w:rsidRPr="00572D0C">
        <w:rPr>
          <w:lang w:val="fr-CH"/>
        </w:rPr>
        <w:t xml:space="preserve">. </w:t>
      </w:r>
    </w:p>
    <w:p w14:paraId="4095939B" w14:textId="2759E871" w:rsidR="003F724F" w:rsidRPr="00572D0C" w:rsidRDefault="00810496" w:rsidP="00E723B8">
      <w:pPr>
        <w:rPr>
          <w:lang w:val="fr-CH"/>
        </w:rPr>
      </w:pPr>
      <w:r>
        <w:rPr>
          <w:lang w:val="fr-CH"/>
        </w:rPr>
        <w:t xml:space="preserve">Il a été tenu compte, dans un souci de </w:t>
      </w:r>
      <w:r w:rsidR="006A14D0">
        <w:rPr>
          <w:lang w:val="fr-CH"/>
        </w:rPr>
        <w:t>précaution</w:t>
      </w:r>
      <w:r>
        <w:rPr>
          <w:lang w:val="fr-CH"/>
        </w:rPr>
        <w:t>, de l</w:t>
      </w:r>
      <w:r w:rsidR="00C07554">
        <w:rPr>
          <w:lang w:val="fr-CH"/>
        </w:rPr>
        <w:t>’état des connaissances su</w:t>
      </w:r>
      <w:r w:rsidR="147A5F7B" w:rsidRPr="00572D0C">
        <w:rPr>
          <w:lang w:val="fr-CH"/>
        </w:rPr>
        <w:t>r</w:t>
      </w:r>
      <w:r w:rsidR="00C07554">
        <w:rPr>
          <w:lang w:val="fr-CH"/>
        </w:rPr>
        <w:t xml:space="preserve"> les atteintes aux sols résultant d’utilisations spéciales</w:t>
      </w:r>
      <w:r>
        <w:rPr>
          <w:lang w:val="fr-CH"/>
        </w:rPr>
        <w:t xml:space="preserve"> (serres). Une adaptation ultérieure est possible.</w:t>
      </w:r>
      <w:r w:rsidR="00C07554">
        <w:rPr>
          <w:lang w:val="fr-CH"/>
        </w:rPr>
        <w:t xml:space="preserve"> </w:t>
      </w:r>
      <w:r w:rsidR="147A5F7B" w:rsidRPr="00572D0C">
        <w:rPr>
          <w:lang w:val="fr-CH"/>
        </w:rPr>
        <w:t xml:space="preserve"> </w:t>
      </w:r>
    </w:p>
    <w:p w14:paraId="29B376F9" w14:textId="05A51ACC" w:rsidR="000955B3" w:rsidRPr="00572D0C" w:rsidRDefault="00810496" w:rsidP="00E723B8">
      <w:pPr>
        <w:rPr>
          <w:lang w:val="fr-CH"/>
        </w:rPr>
      </w:pPr>
      <w:r>
        <w:rPr>
          <w:lang w:val="fr-CH"/>
        </w:rPr>
        <w:lastRenderedPageBreak/>
        <w:t xml:space="preserve">Des dérogations à ces critères sont possibles dans des cas précis. Cependant, le requérant ou la personne qui sollicite une SDA doit fournir au canton la preuve que les critères de comptabilisation sont remplis. </w:t>
      </w:r>
    </w:p>
    <w:p w14:paraId="2EB6DC9C" w14:textId="24090A4B" w:rsidR="009A7815" w:rsidRPr="00572D0C" w:rsidRDefault="009A7815" w:rsidP="009A7815">
      <w:pPr>
        <w:pStyle w:val="Beschriftung"/>
        <w:rPr>
          <w:lang w:val="fr-CH"/>
        </w:rPr>
      </w:pPr>
      <w:r w:rsidRPr="00572D0C">
        <w:rPr>
          <w:lang w:val="fr-CH"/>
        </w:rPr>
        <w:t>Tab</w:t>
      </w:r>
      <w:r w:rsidR="00810496">
        <w:rPr>
          <w:lang w:val="fr-CH"/>
        </w:rPr>
        <w:t>leau</w:t>
      </w:r>
      <w:r w:rsidRPr="00572D0C">
        <w:rPr>
          <w:lang w:val="fr-CH"/>
        </w:rPr>
        <w:t xml:space="preserve"> </w:t>
      </w:r>
      <w:r w:rsidRPr="00572D0C">
        <w:rPr>
          <w:lang w:val="fr-CH"/>
        </w:rPr>
        <w:fldChar w:fldCharType="begin"/>
      </w:r>
      <w:r w:rsidRPr="00572D0C">
        <w:rPr>
          <w:lang w:val="fr-CH"/>
        </w:rPr>
        <w:instrText xml:space="preserve"> SEQ Tabelle \* ARABIC </w:instrText>
      </w:r>
      <w:r w:rsidRPr="00572D0C">
        <w:rPr>
          <w:lang w:val="fr-CH"/>
        </w:rPr>
        <w:fldChar w:fldCharType="separate"/>
      </w:r>
      <w:r w:rsidR="00A65A9C">
        <w:rPr>
          <w:noProof/>
          <w:lang w:val="fr-CH"/>
        </w:rPr>
        <w:t>3</w:t>
      </w:r>
      <w:r w:rsidRPr="00572D0C">
        <w:rPr>
          <w:lang w:val="fr-CH"/>
        </w:rPr>
        <w:fldChar w:fldCharType="end"/>
      </w:r>
      <w:r w:rsidRPr="00572D0C">
        <w:rPr>
          <w:lang w:val="fr-CH"/>
        </w:rPr>
        <w:t xml:space="preserve">: </w:t>
      </w:r>
      <w:r w:rsidR="005767B5">
        <w:rPr>
          <w:lang w:val="fr-CH"/>
        </w:rPr>
        <w:t xml:space="preserve">Principes </w:t>
      </w:r>
      <w:r w:rsidR="00810496">
        <w:rPr>
          <w:lang w:val="fr-CH"/>
        </w:rPr>
        <w:t>de gestion des cas spéciaux</w:t>
      </w:r>
    </w:p>
    <w:tbl>
      <w:tblPr>
        <w:tblStyle w:val="Tabellenraster"/>
        <w:tblW w:w="0" w:type="auto"/>
        <w:tblLook w:val="04A0" w:firstRow="1" w:lastRow="0" w:firstColumn="1" w:lastColumn="0" w:noHBand="0" w:noVBand="1"/>
      </w:tblPr>
      <w:tblGrid>
        <w:gridCol w:w="2122"/>
        <w:gridCol w:w="1559"/>
        <w:gridCol w:w="5812"/>
      </w:tblGrid>
      <w:tr w:rsidR="009F7959" w:rsidRPr="00572D0C" w14:paraId="5631346C" w14:textId="77777777" w:rsidTr="49F97252">
        <w:tc>
          <w:tcPr>
            <w:tcW w:w="2122" w:type="dxa"/>
            <w:tcBorders>
              <w:top w:val="single" w:sz="4" w:space="0" w:color="auto"/>
              <w:left w:val="single" w:sz="4" w:space="0" w:color="auto"/>
              <w:bottom w:val="single" w:sz="4" w:space="0" w:color="auto"/>
              <w:right w:val="single" w:sz="4" w:space="0" w:color="auto"/>
            </w:tcBorders>
            <w:hideMark/>
          </w:tcPr>
          <w:p w14:paraId="5D7C3A15" w14:textId="7CB46897" w:rsidR="00BF5D50" w:rsidRPr="00572D0C" w:rsidRDefault="00810496" w:rsidP="147A5F7B">
            <w:pPr>
              <w:spacing w:before="40"/>
              <w:rPr>
                <w:rFonts w:cs="Arial"/>
                <w:b/>
                <w:bCs/>
                <w:sz w:val="18"/>
                <w:szCs w:val="18"/>
                <w:lang w:val="fr-CH"/>
              </w:rPr>
            </w:pPr>
            <w:r>
              <w:rPr>
                <w:rFonts w:cs="Arial"/>
                <w:b/>
                <w:bCs/>
                <w:sz w:val="18"/>
                <w:szCs w:val="18"/>
                <w:lang w:val="fr-CH"/>
              </w:rPr>
              <w:t>Cas spécial</w:t>
            </w:r>
          </w:p>
        </w:tc>
        <w:tc>
          <w:tcPr>
            <w:tcW w:w="1559" w:type="dxa"/>
            <w:tcBorders>
              <w:top w:val="single" w:sz="4" w:space="0" w:color="auto"/>
              <w:left w:val="single" w:sz="4" w:space="0" w:color="auto"/>
              <w:bottom w:val="single" w:sz="4" w:space="0" w:color="auto"/>
              <w:right w:val="single" w:sz="4" w:space="0" w:color="auto"/>
            </w:tcBorders>
            <w:hideMark/>
          </w:tcPr>
          <w:p w14:paraId="01CD3224" w14:textId="39B311ED" w:rsidR="00BF5D50" w:rsidRPr="00572D0C" w:rsidRDefault="00810496" w:rsidP="147A5F7B">
            <w:pPr>
              <w:spacing w:before="40"/>
              <w:rPr>
                <w:rFonts w:cs="Arial"/>
                <w:b/>
                <w:bCs/>
                <w:sz w:val="18"/>
                <w:szCs w:val="18"/>
                <w:lang w:val="fr-CH"/>
              </w:rPr>
            </w:pPr>
            <w:r>
              <w:rPr>
                <w:rFonts w:cs="Arial"/>
                <w:b/>
                <w:bCs/>
                <w:sz w:val="18"/>
                <w:szCs w:val="18"/>
                <w:lang w:val="fr-CH"/>
              </w:rPr>
              <w:t>Comptabilisation dans l’inventaire SDA</w:t>
            </w:r>
          </w:p>
        </w:tc>
        <w:tc>
          <w:tcPr>
            <w:tcW w:w="5812" w:type="dxa"/>
            <w:tcBorders>
              <w:top w:val="single" w:sz="4" w:space="0" w:color="auto"/>
              <w:left w:val="single" w:sz="4" w:space="0" w:color="auto"/>
              <w:bottom w:val="single" w:sz="4" w:space="0" w:color="auto"/>
              <w:right w:val="single" w:sz="4" w:space="0" w:color="auto"/>
            </w:tcBorders>
            <w:hideMark/>
          </w:tcPr>
          <w:p w14:paraId="380941E1" w14:textId="039609C1" w:rsidR="00BF5D50" w:rsidRPr="00572D0C" w:rsidRDefault="147A5F7B" w:rsidP="147A5F7B">
            <w:pPr>
              <w:spacing w:before="40"/>
              <w:rPr>
                <w:rFonts w:cs="Arial"/>
                <w:b/>
                <w:bCs/>
                <w:sz w:val="18"/>
                <w:szCs w:val="18"/>
                <w:lang w:val="fr-CH"/>
              </w:rPr>
            </w:pPr>
            <w:r w:rsidRPr="00572D0C">
              <w:rPr>
                <w:rFonts w:cs="Arial"/>
                <w:b/>
                <w:bCs/>
                <w:sz w:val="18"/>
                <w:szCs w:val="18"/>
                <w:lang w:val="fr-CH"/>
              </w:rPr>
              <w:t>E</w:t>
            </w:r>
            <w:r w:rsidR="00810496">
              <w:rPr>
                <w:rFonts w:cs="Arial"/>
                <w:b/>
                <w:bCs/>
                <w:sz w:val="18"/>
                <w:szCs w:val="18"/>
                <w:lang w:val="fr-CH"/>
              </w:rPr>
              <w:t>xplications</w:t>
            </w:r>
          </w:p>
        </w:tc>
      </w:tr>
      <w:tr w:rsidR="009F7959" w:rsidRPr="003F1EDB" w14:paraId="3E3EAE8F" w14:textId="77777777" w:rsidTr="49F97252">
        <w:tc>
          <w:tcPr>
            <w:tcW w:w="2122" w:type="dxa"/>
            <w:tcBorders>
              <w:top w:val="single" w:sz="4" w:space="0" w:color="auto"/>
              <w:left w:val="single" w:sz="4" w:space="0" w:color="auto"/>
              <w:bottom w:val="single" w:sz="4" w:space="0" w:color="auto"/>
              <w:right w:val="single" w:sz="4" w:space="0" w:color="auto"/>
            </w:tcBorders>
            <w:hideMark/>
          </w:tcPr>
          <w:p w14:paraId="38B5025B" w14:textId="75BED187" w:rsidR="00BF5D50" w:rsidRPr="00572D0C" w:rsidRDefault="00AB38F7" w:rsidP="147A5F7B">
            <w:pPr>
              <w:spacing w:before="40"/>
              <w:rPr>
                <w:rFonts w:cs="Arial"/>
                <w:b/>
                <w:bCs/>
                <w:sz w:val="18"/>
                <w:szCs w:val="18"/>
                <w:lang w:val="fr-CH"/>
              </w:rPr>
            </w:pPr>
            <w:r>
              <w:rPr>
                <w:rFonts w:cs="Arial"/>
                <w:b/>
                <w:bCs/>
                <w:sz w:val="18"/>
                <w:szCs w:val="18"/>
                <w:lang w:val="fr-CH"/>
              </w:rPr>
              <w:t>Zones d’extraction, décharges</w:t>
            </w:r>
          </w:p>
        </w:tc>
        <w:tc>
          <w:tcPr>
            <w:tcW w:w="1559" w:type="dxa"/>
            <w:tcBorders>
              <w:top w:val="single" w:sz="4" w:space="0" w:color="auto"/>
              <w:left w:val="single" w:sz="4" w:space="0" w:color="auto"/>
              <w:bottom w:val="single" w:sz="4" w:space="0" w:color="auto"/>
              <w:right w:val="single" w:sz="4" w:space="0" w:color="auto"/>
            </w:tcBorders>
            <w:hideMark/>
          </w:tcPr>
          <w:p w14:paraId="13281ED9" w14:textId="3AFB15AB" w:rsidR="00BF5D50" w:rsidRPr="00572D0C" w:rsidRDefault="005D57B8" w:rsidP="147A5F7B">
            <w:pPr>
              <w:spacing w:before="40"/>
              <w:rPr>
                <w:rFonts w:cs="Arial"/>
                <w:b/>
                <w:bCs/>
                <w:sz w:val="18"/>
                <w:szCs w:val="18"/>
                <w:lang w:val="fr-CH"/>
              </w:rPr>
            </w:pPr>
            <w:r>
              <w:rPr>
                <w:rFonts w:cs="Arial"/>
                <w:b/>
                <w:bCs/>
                <w:sz w:val="18"/>
                <w:szCs w:val="18"/>
                <w:lang w:val="fr-CH"/>
              </w:rPr>
              <w:t xml:space="preserve">Certains secteurs </w:t>
            </w:r>
          </w:p>
        </w:tc>
        <w:tc>
          <w:tcPr>
            <w:tcW w:w="5812" w:type="dxa"/>
            <w:tcBorders>
              <w:top w:val="single" w:sz="4" w:space="0" w:color="auto"/>
              <w:left w:val="single" w:sz="4" w:space="0" w:color="auto"/>
              <w:bottom w:val="single" w:sz="4" w:space="0" w:color="auto"/>
              <w:right w:val="single" w:sz="4" w:space="0" w:color="auto"/>
            </w:tcBorders>
            <w:hideMark/>
          </w:tcPr>
          <w:p w14:paraId="053430BE" w14:textId="46653A5F" w:rsidR="00BF5D50" w:rsidRPr="00572D0C" w:rsidRDefault="005D57B8" w:rsidP="008B563A">
            <w:pPr>
              <w:spacing w:before="40"/>
              <w:rPr>
                <w:rFonts w:cs="Arial"/>
                <w:sz w:val="18"/>
                <w:szCs w:val="18"/>
                <w:lang w:val="fr-CH"/>
              </w:rPr>
            </w:pPr>
            <w:r>
              <w:rPr>
                <w:rFonts w:cs="Arial"/>
                <w:sz w:val="18"/>
                <w:szCs w:val="18"/>
                <w:lang w:val="fr-CH"/>
              </w:rPr>
              <w:t xml:space="preserve">En général, les zones d’extraction ou les décharges sont exploitées de manière échelonnée sur plusieurs années. Les sites ne sont pas exploités sur toute leur superficie, certaines surfaces restent ouvertes et d’autres sont déjà réhabilitées. Les surfaces agricoles non encore sollicitées peuvent être comptabilisées. Il en va de même des surfaces réhabilitées </w:t>
            </w:r>
            <w:r w:rsidR="147A5F7B" w:rsidRPr="00572D0C">
              <w:rPr>
                <w:rFonts w:cs="Arial"/>
                <w:sz w:val="18"/>
                <w:szCs w:val="18"/>
                <w:lang w:val="fr-CH"/>
              </w:rPr>
              <w:t>(</w:t>
            </w:r>
            <w:r>
              <w:rPr>
                <w:rFonts w:cs="Arial"/>
                <w:sz w:val="18"/>
                <w:szCs w:val="18"/>
                <w:lang w:val="fr-CH"/>
              </w:rPr>
              <w:t>voir ci-dessous</w:t>
            </w:r>
            <w:r w:rsidR="147A5F7B" w:rsidRPr="00572D0C">
              <w:rPr>
                <w:rFonts w:cs="Arial"/>
                <w:sz w:val="18"/>
                <w:szCs w:val="18"/>
                <w:lang w:val="fr-CH"/>
              </w:rPr>
              <w:t>)</w:t>
            </w:r>
          </w:p>
        </w:tc>
      </w:tr>
      <w:tr w:rsidR="009F7959" w:rsidRPr="003F1EDB" w14:paraId="2FD45321" w14:textId="77777777" w:rsidTr="49F97252">
        <w:tc>
          <w:tcPr>
            <w:tcW w:w="2122" w:type="dxa"/>
            <w:tcBorders>
              <w:top w:val="single" w:sz="4" w:space="0" w:color="auto"/>
              <w:left w:val="single" w:sz="4" w:space="0" w:color="auto"/>
              <w:bottom w:val="single" w:sz="4" w:space="0" w:color="auto"/>
              <w:right w:val="single" w:sz="4" w:space="0" w:color="auto"/>
            </w:tcBorders>
            <w:hideMark/>
          </w:tcPr>
          <w:p w14:paraId="05BB6D02" w14:textId="0FD7E748" w:rsidR="00BF5D50" w:rsidRPr="00572D0C" w:rsidRDefault="005D57B8" w:rsidP="147A5F7B">
            <w:pPr>
              <w:spacing w:before="40"/>
              <w:rPr>
                <w:rFonts w:cs="Arial"/>
                <w:b/>
                <w:bCs/>
                <w:sz w:val="18"/>
                <w:szCs w:val="18"/>
                <w:lang w:val="fr-CH"/>
              </w:rPr>
            </w:pPr>
            <w:r>
              <w:rPr>
                <w:rFonts w:cs="Arial"/>
                <w:b/>
                <w:bCs/>
                <w:sz w:val="18"/>
                <w:szCs w:val="18"/>
                <w:lang w:val="fr-CH"/>
              </w:rPr>
              <w:t>Terrains de golf</w:t>
            </w:r>
          </w:p>
        </w:tc>
        <w:tc>
          <w:tcPr>
            <w:tcW w:w="1559" w:type="dxa"/>
            <w:tcBorders>
              <w:top w:val="single" w:sz="4" w:space="0" w:color="auto"/>
              <w:left w:val="single" w:sz="4" w:space="0" w:color="auto"/>
              <w:bottom w:val="single" w:sz="4" w:space="0" w:color="auto"/>
              <w:right w:val="single" w:sz="4" w:space="0" w:color="auto"/>
            </w:tcBorders>
            <w:hideMark/>
          </w:tcPr>
          <w:p w14:paraId="02519D07" w14:textId="4D7B0ED2" w:rsidR="00DF6FB8" w:rsidRPr="00572D0C" w:rsidRDefault="005D57B8" w:rsidP="00364249">
            <w:pPr>
              <w:spacing w:before="40"/>
              <w:rPr>
                <w:rFonts w:cs="Arial"/>
                <w:b/>
                <w:sz w:val="18"/>
                <w:szCs w:val="18"/>
                <w:lang w:val="fr-CH"/>
              </w:rPr>
            </w:pPr>
            <w:r>
              <w:rPr>
                <w:rFonts w:cs="Arial"/>
                <w:b/>
                <w:bCs/>
                <w:sz w:val="18"/>
                <w:szCs w:val="18"/>
                <w:lang w:val="fr-CH"/>
              </w:rPr>
              <w:t xml:space="preserve">Certains secteurs </w:t>
            </w:r>
          </w:p>
        </w:tc>
        <w:tc>
          <w:tcPr>
            <w:tcW w:w="5812" w:type="dxa"/>
            <w:tcBorders>
              <w:top w:val="single" w:sz="4" w:space="0" w:color="auto"/>
              <w:left w:val="single" w:sz="4" w:space="0" w:color="auto"/>
              <w:bottom w:val="single" w:sz="4" w:space="0" w:color="auto"/>
              <w:right w:val="single" w:sz="4" w:space="0" w:color="auto"/>
            </w:tcBorders>
            <w:hideMark/>
          </w:tcPr>
          <w:p w14:paraId="1001CAF8" w14:textId="0D91E2FA" w:rsidR="00BF5D50" w:rsidRPr="00572D0C" w:rsidRDefault="00364249" w:rsidP="009C086A">
            <w:pPr>
              <w:spacing w:before="40"/>
              <w:rPr>
                <w:rFonts w:cs="Arial"/>
                <w:sz w:val="18"/>
                <w:szCs w:val="18"/>
                <w:lang w:val="fr-CH"/>
              </w:rPr>
            </w:pPr>
            <w:r>
              <w:rPr>
                <w:rFonts w:cs="Arial"/>
                <w:sz w:val="18"/>
                <w:szCs w:val="18"/>
                <w:lang w:val="fr-CH"/>
              </w:rPr>
              <w:t>Les secteurs des terrains de golf qui remplissent les exigences de qualité SDA peuvent être comptabilisés. Les surfaces remodelées ou modifiées ne peuvent pas être comptabilisées dans les SDA</w:t>
            </w:r>
            <w:r w:rsidR="147A5F7B" w:rsidRPr="00572D0C">
              <w:rPr>
                <w:rFonts w:cs="Arial"/>
                <w:sz w:val="18"/>
                <w:szCs w:val="18"/>
                <w:lang w:val="fr-CH"/>
              </w:rPr>
              <w:t>.</w:t>
            </w:r>
          </w:p>
        </w:tc>
      </w:tr>
      <w:tr w:rsidR="009F7959" w:rsidRPr="00572D0C" w14:paraId="33F29452" w14:textId="77777777" w:rsidTr="49F97252">
        <w:tc>
          <w:tcPr>
            <w:tcW w:w="2122" w:type="dxa"/>
            <w:tcBorders>
              <w:top w:val="single" w:sz="4" w:space="0" w:color="auto"/>
              <w:left w:val="single" w:sz="4" w:space="0" w:color="auto"/>
              <w:bottom w:val="single" w:sz="4" w:space="0" w:color="auto"/>
              <w:right w:val="single" w:sz="4" w:space="0" w:color="auto"/>
            </w:tcBorders>
            <w:hideMark/>
          </w:tcPr>
          <w:p w14:paraId="7F85EAF5" w14:textId="0FA5AB31" w:rsidR="00BF5D50" w:rsidRPr="00572D0C" w:rsidRDefault="00364249" w:rsidP="147A5F7B">
            <w:pPr>
              <w:spacing w:before="40"/>
              <w:rPr>
                <w:rFonts w:cs="Arial"/>
                <w:b/>
                <w:bCs/>
                <w:sz w:val="18"/>
                <w:szCs w:val="18"/>
                <w:lang w:val="fr-CH"/>
              </w:rPr>
            </w:pPr>
            <w:r>
              <w:rPr>
                <w:rFonts w:cs="Arial"/>
                <w:b/>
                <w:bCs/>
                <w:sz w:val="18"/>
                <w:szCs w:val="18"/>
                <w:lang w:val="fr-CH"/>
              </w:rPr>
              <w:t>Installations de loisirs</w:t>
            </w:r>
            <w:r w:rsidR="147A5F7B" w:rsidRPr="00572D0C">
              <w:rPr>
                <w:rFonts w:cs="Arial"/>
                <w:b/>
                <w:bCs/>
                <w:sz w:val="18"/>
                <w:szCs w:val="18"/>
                <w:lang w:val="fr-CH"/>
              </w:rPr>
              <w:t xml:space="preserve"> </w:t>
            </w:r>
          </w:p>
        </w:tc>
        <w:tc>
          <w:tcPr>
            <w:tcW w:w="1559" w:type="dxa"/>
            <w:tcBorders>
              <w:top w:val="single" w:sz="4" w:space="0" w:color="auto"/>
              <w:left w:val="single" w:sz="4" w:space="0" w:color="auto"/>
              <w:bottom w:val="single" w:sz="4" w:space="0" w:color="auto"/>
              <w:right w:val="single" w:sz="4" w:space="0" w:color="auto"/>
            </w:tcBorders>
            <w:hideMark/>
          </w:tcPr>
          <w:p w14:paraId="4F93AE44" w14:textId="19939824" w:rsidR="00BF5D50" w:rsidRPr="00572D0C" w:rsidRDefault="147A5F7B" w:rsidP="147A5F7B">
            <w:pPr>
              <w:spacing w:before="40"/>
              <w:rPr>
                <w:rFonts w:cs="Arial"/>
                <w:b/>
                <w:bCs/>
                <w:sz w:val="18"/>
                <w:szCs w:val="18"/>
                <w:lang w:val="fr-CH"/>
              </w:rPr>
            </w:pPr>
            <w:r w:rsidRPr="00572D0C">
              <w:rPr>
                <w:rFonts w:cs="Arial"/>
                <w:b/>
                <w:bCs/>
                <w:sz w:val="18"/>
                <w:szCs w:val="18"/>
                <w:lang w:val="fr-CH"/>
              </w:rPr>
              <w:t>N</w:t>
            </w:r>
            <w:r w:rsidR="00364249">
              <w:rPr>
                <w:rFonts w:cs="Arial"/>
                <w:b/>
                <w:bCs/>
                <w:sz w:val="18"/>
                <w:szCs w:val="18"/>
                <w:lang w:val="fr-CH"/>
              </w:rPr>
              <w:t>o</w:t>
            </w:r>
            <w:r w:rsidRPr="00572D0C">
              <w:rPr>
                <w:rFonts w:cs="Arial"/>
                <w:b/>
                <w:bCs/>
                <w:sz w:val="18"/>
                <w:szCs w:val="18"/>
                <w:lang w:val="fr-CH"/>
              </w:rPr>
              <w:t>n</w:t>
            </w:r>
          </w:p>
        </w:tc>
        <w:tc>
          <w:tcPr>
            <w:tcW w:w="5812" w:type="dxa"/>
            <w:tcBorders>
              <w:top w:val="single" w:sz="4" w:space="0" w:color="auto"/>
              <w:left w:val="single" w:sz="4" w:space="0" w:color="auto"/>
              <w:bottom w:val="single" w:sz="4" w:space="0" w:color="auto"/>
              <w:right w:val="single" w:sz="4" w:space="0" w:color="auto"/>
            </w:tcBorders>
            <w:hideMark/>
          </w:tcPr>
          <w:p w14:paraId="6F914AE1" w14:textId="41C5BE6C" w:rsidR="00BF5D50" w:rsidRPr="00572D0C" w:rsidRDefault="00364249" w:rsidP="147A5F7B">
            <w:pPr>
              <w:spacing w:before="40"/>
              <w:rPr>
                <w:rFonts w:cs="Arial"/>
                <w:sz w:val="18"/>
                <w:szCs w:val="18"/>
                <w:lang w:val="fr-CH"/>
              </w:rPr>
            </w:pPr>
            <w:r>
              <w:rPr>
                <w:rFonts w:cs="Arial"/>
                <w:sz w:val="18"/>
                <w:szCs w:val="18"/>
                <w:lang w:val="fr-CH"/>
              </w:rPr>
              <w:t>Terrains de sports, centres équestres, etc. : en général, ces surfaces ne peuvent redevenir cultivables qu’après leur réhabilitation. Elles ne sont donc pas comptabilisées dans les SDA.</w:t>
            </w:r>
          </w:p>
        </w:tc>
      </w:tr>
      <w:tr w:rsidR="009F7959" w:rsidRPr="00572D0C" w14:paraId="02DA9A99" w14:textId="77777777" w:rsidTr="49F97252">
        <w:tc>
          <w:tcPr>
            <w:tcW w:w="2122" w:type="dxa"/>
            <w:tcBorders>
              <w:top w:val="single" w:sz="4" w:space="0" w:color="auto"/>
              <w:left w:val="single" w:sz="4" w:space="0" w:color="auto"/>
              <w:bottom w:val="single" w:sz="4" w:space="0" w:color="auto"/>
              <w:right w:val="single" w:sz="4" w:space="0" w:color="auto"/>
            </w:tcBorders>
            <w:hideMark/>
          </w:tcPr>
          <w:p w14:paraId="7C30EDEB" w14:textId="3C9EC519" w:rsidR="00BF5D50" w:rsidRPr="00572D0C" w:rsidRDefault="00364249" w:rsidP="147A5F7B">
            <w:pPr>
              <w:spacing w:before="40"/>
              <w:rPr>
                <w:rFonts w:cs="Arial"/>
                <w:b/>
                <w:bCs/>
                <w:sz w:val="18"/>
                <w:szCs w:val="18"/>
                <w:lang w:val="fr-CH"/>
              </w:rPr>
            </w:pPr>
            <w:r>
              <w:rPr>
                <w:rFonts w:cs="Arial"/>
                <w:b/>
                <w:bCs/>
                <w:sz w:val="18"/>
                <w:szCs w:val="18"/>
                <w:lang w:val="fr-CH"/>
              </w:rPr>
              <w:t>Surfaces rudérales</w:t>
            </w:r>
            <w:r w:rsidR="147A5F7B" w:rsidRPr="00572D0C">
              <w:rPr>
                <w:rFonts w:cs="Arial"/>
                <w:b/>
                <w:bCs/>
                <w:sz w:val="18"/>
                <w:szCs w:val="18"/>
                <w:lang w:val="fr-CH"/>
              </w:rPr>
              <w:t xml:space="preserve">, </w:t>
            </w:r>
            <w:r w:rsidR="00BF5D50" w:rsidRPr="00572D0C">
              <w:rPr>
                <w:lang w:val="fr-CH"/>
              </w:rPr>
              <w:br/>
            </w:r>
            <w:r>
              <w:rPr>
                <w:rFonts w:cs="Arial"/>
                <w:b/>
                <w:bCs/>
                <w:sz w:val="18"/>
                <w:szCs w:val="18"/>
                <w:lang w:val="fr-CH"/>
              </w:rPr>
              <w:t>mares</w:t>
            </w:r>
          </w:p>
        </w:tc>
        <w:tc>
          <w:tcPr>
            <w:tcW w:w="1559" w:type="dxa"/>
            <w:tcBorders>
              <w:top w:val="single" w:sz="4" w:space="0" w:color="auto"/>
              <w:left w:val="single" w:sz="4" w:space="0" w:color="auto"/>
              <w:bottom w:val="single" w:sz="4" w:space="0" w:color="auto"/>
              <w:right w:val="single" w:sz="4" w:space="0" w:color="auto"/>
            </w:tcBorders>
            <w:hideMark/>
          </w:tcPr>
          <w:p w14:paraId="7C24524B" w14:textId="10FFFFF5" w:rsidR="00BF5D50" w:rsidRPr="00572D0C" w:rsidRDefault="147A5F7B" w:rsidP="147A5F7B">
            <w:pPr>
              <w:spacing w:before="40"/>
              <w:rPr>
                <w:rFonts w:cs="Arial"/>
                <w:b/>
                <w:bCs/>
                <w:sz w:val="18"/>
                <w:szCs w:val="18"/>
                <w:lang w:val="fr-CH"/>
              </w:rPr>
            </w:pPr>
            <w:r w:rsidRPr="00572D0C">
              <w:rPr>
                <w:rFonts w:cs="Arial"/>
                <w:b/>
                <w:bCs/>
                <w:sz w:val="18"/>
                <w:szCs w:val="18"/>
                <w:lang w:val="fr-CH"/>
              </w:rPr>
              <w:t>N</w:t>
            </w:r>
            <w:r w:rsidR="00364249">
              <w:rPr>
                <w:rFonts w:cs="Arial"/>
                <w:b/>
                <w:bCs/>
                <w:sz w:val="18"/>
                <w:szCs w:val="18"/>
                <w:lang w:val="fr-CH"/>
              </w:rPr>
              <w:t>o</w:t>
            </w:r>
            <w:r w:rsidRPr="00572D0C">
              <w:rPr>
                <w:rFonts w:cs="Arial"/>
                <w:b/>
                <w:bCs/>
                <w:sz w:val="18"/>
                <w:szCs w:val="18"/>
                <w:lang w:val="fr-CH"/>
              </w:rPr>
              <w:t>n</w:t>
            </w:r>
          </w:p>
        </w:tc>
        <w:tc>
          <w:tcPr>
            <w:tcW w:w="5812" w:type="dxa"/>
            <w:tcBorders>
              <w:top w:val="single" w:sz="4" w:space="0" w:color="auto"/>
              <w:left w:val="single" w:sz="4" w:space="0" w:color="auto"/>
              <w:bottom w:val="single" w:sz="4" w:space="0" w:color="auto"/>
              <w:right w:val="single" w:sz="4" w:space="0" w:color="auto"/>
            </w:tcBorders>
            <w:hideMark/>
          </w:tcPr>
          <w:p w14:paraId="18760641" w14:textId="090B2E73" w:rsidR="00BF5D50" w:rsidRPr="00572D0C" w:rsidRDefault="00364249" w:rsidP="147A5F7B">
            <w:pPr>
              <w:spacing w:before="40"/>
              <w:rPr>
                <w:rFonts w:cs="Arial"/>
                <w:sz w:val="18"/>
                <w:szCs w:val="18"/>
                <w:lang w:val="fr-CH"/>
              </w:rPr>
            </w:pPr>
            <w:r>
              <w:rPr>
                <w:rFonts w:cs="Arial"/>
                <w:sz w:val="18"/>
                <w:szCs w:val="18"/>
                <w:lang w:val="fr-CH"/>
              </w:rPr>
              <w:t xml:space="preserve">Ces surfaces ont un sol décapé en surface ou en profondeur. Elles </w:t>
            </w:r>
            <w:r w:rsidR="006C2F54">
              <w:rPr>
                <w:rFonts w:cs="Arial"/>
                <w:sz w:val="18"/>
                <w:szCs w:val="18"/>
                <w:lang w:val="fr-CH"/>
              </w:rPr>
              <w:t>ont perdu la qualité SDA. Une réhabilitation serait nécessaire pour qu’elles puissent être comptabilisées.</w:t>
            </w:r>
          </w:p>
        </w:tc>
      </w:tr>
      <w:tr w:rsidR="009F7959" w:rsidRPr="008B563A" w14:paraId="76F26FA1" w14:textId="77777777" w:rsidTr="49F97252">
        <w:tc>
          <w:tcPr>
            <w:tcW w:w="2122" w:type="dxa"/>
            <w:tcBorders>
              <w:top w:val="single" w:sz="4" w:space="0" w:color="auto"/>
              <w:left w:val="single" w:sz="4" w:space="0" w:color="auto"/>
              <w:bottom w:val="single" w:sz="4" w:space="0" w:color="auto"/>
              <w:right w:val="single" w:sz="4" w:space="0" w:color="auto"/>
            </w:tcBorders>
            <w:hideMark/>
          </w:tcPr>
          <w:p w14:paraId="17698ECA" w14:textId="575FD3D5" w:rsidR="00BF5D50" w:rsidRPr="00572D0C" w:rsidRDefault="006C2F54" w:rsidP="147A5F7B">
            <w:pPr>
              <w:spacing w:before="40"/>
              <w:rPr>
                <w:rFonts w:cs="Arial"/>
                <w:b/>
                <w:bCs/>
                <w:sz w:val="18"/>
                <w:szCs w:val="18"/>
                <w:lang w:val="fr-CH"/>
              </w:rPr>
            </w:pPr>
            <w:r>
              <w:rPr>
                <w:rFonts w:cs="Arial"/>
                <w:b/>
                <w:bCs/>
                <w:sz w:val="18"/>
                <w:szCs w:val="18"/>
                <w:lang w:val="fr-CH"/>
              </w:rPr>
              <w:t>Jardins familiaux</w:t>
            </w:r>
          </w:p>
        </w:tc>
        <w:tc>
          <w:tcPr>
            <w:tcW w:w="1559" w:type="dxa"/>
            <w:tcBorders>
              <w:top w:val="single" w:sz="4" w:space="0" w:color="auto"/>
              <w:left w:val="single" w:sz="4" w:space="0" w:color="auto"/>
              <w:bottom w:val="single" w:sz="4" w:space="0" w:color="auto"/>
              <w:right w:val="single" w:sz="4" w:space="0" w:color="auto"/>
            </w:tcBorders>
            <w:hideMark/>
          </w:tcPr>
          <w:p w14:paraId="47979F7F" w14:textId="0825C7D4" w:rsidR="00BF5D50" w:rsidRPr="00572D0C" w:rsidRDefault="147A5F7B" w:rsidP="147A5F7B">
            <w:pPr>
              <w:spacing w:before="40"/>
              <w:rPr>
                <w:rFonts w:cs="Arial"/>
                <w:b/>
                <w:bCs/>
                <w:sz w:val="18"/>
                <w:szCs w:val="18"/>
                <w:lang w:val="fr-CH"/>
              </w:rPr>
            </w:pPr>
            <w:r w:rsidRPr="00572D0C">
              <w:rPr>
                <w:rFonts w:cs="Arial"/>
                <w:b/>
                <w:bCs/>
                <w:sz w:val="18"/>
                <w:szCs w:val="18"/>
                <w:lang w:val="fr-CH"/>
              </w:rPr>
              <w:t>N</w:t>
            </w:r>
            <w:r w:rsidR="006C2F54">
              <w:rPr>
                <w:rFonts w:cs="Arial"/>
                <w:b/>
                <w:bCs/>
                <w:sz w:val="18"/>
                <w:szCs w:val="18"/>
                <w:lang w:val="fr-CH"/>
              </w:rPr>
              <w:t>o</w:t>
            </w:r>
            <w:r w:rsidRPr="00572D0C">
              <w:rPr>
                <w:rFonts w:cs="Arial"/>
                <w:b/>
                <w:bCs/>
                <w:sz w:val="18"/>
                <w:szCs w:val="18"/>
                <w:lang w:val="fr-CH"/>
              </w:rPr>
              <w:t>n</w:t>
            </w:r>
          </w:p>
        </w:tc>
        <w:tc>
          <w:tcPr>
            <w:tcW w:w="5812" w:type="dxa"/>
            <w:tcBorders>
              <w:top w:val="single" w:sz="4" w:space="0" w:color="auto"/>
              <w:left w:val="single" w:sz="4" w:space="0" w:color="auto"/>
              <w:bottom w:val="single" w:sz="4" w:space="0" w:color="auto"/>
              <w:right w:val="single" w:sz="4" w:space="0" w:color="auto"/>
            </w:tcBorders>
            <w:hideMark/>
          </w:tcPr>
          <w:p w14:paraId="1ECE99E4" w14:textId="25AAC292" w:rsidR="003344F7" w:rsidRPr="00572D0C" w:rsidRDefault="006C2F54" w:rsidP="147A5F7B">
            <w:pPr>
              <w:spacing w:before="40"/>
              <w:rPr>
                <w:rFonts w:cs="Arial"/>
                <w:sz w:val="18"/>
                <w:szCs w:val="18"/>
                <w:lang w:val="fr-CH"/>
              </w:rPr>
            </w:pPr>
            <w:r>
              <w:rPr>
                <w:rFonts w:cs="Arial"/>
                <w:sz w:val="18"/>
                <w:szCs w:val="18"/>
                <w:lang w:val="fr-CH"/>
              </w:rPr>
              <w:t>Il faut supposer une charge polluante sur les sols de ces surfaces en raison de l’utilisatio</w:t>
            </w:r>
            <w:r w:rsidR="147A5F7B" w:rsidRPr="00572D0C">
              <w:rPr>
                <w:rFonts w:cs="Arial"/>
                <w:sz w:val="18"/>
                <w:szCs w:val="18"/>
                <w:lang w:val="fr-CH"/>
              </w:rPr>
              <w:t>n</w:t>
            </w:r>
            <w:r>
              <w:rPr>
                <w:rFonts w:cs="Arial"/>
                <w:sz w:val="18"/>
                <w:szCs w:val="18"/>
                <w:lang w:val="fr-CH"/>
              </w:rPr>
              <w:t xml:space="preserve"> d’engrais et de moyens phytosanitaires</w:t>
            </w:r>
            <w:r w:rsidR="147A5F7B" w:rsidRPr="00572D0C">
              <w:rPr>
                <w:rFonts w:cs="Arial"/>
                <w:sz w:val="18"/>
                <w:szCs w:val="18"/>
                <w:lang w:val="fr-CH"/>
              </w:rPr>
              <w:t xml:space="preserve">. </w:t>
            </w:r>
            <w:r>
              <w:rPr>
                <w:rFonts w:cs="Arial"/>
                <w:sz w:val="18"/>
                <w:szCs w:val="18"/>
                <w:lang w:val="fr-CH"/>
              </w:rPr>
              <w:t>Ces surfaces sont petites en général.</w:t>
            </w:r>
          </w:p>
        </w:tc>
      </w:tr>
      <w:tr w:rsidR="009F7959" w:rsidRPr="003F1EDB" w14:paraId="52E60430" w14:textId="77777777" w:rsidTr="49F97252">
        <w:tc>
          <w:tcPr>
            <w:tcW w:w="2122" w:type="dxa"/>
            <w:tcBorders>
              <w:top w:val="single" w:sz="4" w:space="0" w:color="auto"/>
              <w:left w:val="single" w:sz="4" w:space="0" w:color="auto"/>
              <w:bottom w:val="single" w:sz="4" w:space="0" w:color="auto"/>
              <w:right w:val="single" w:sz="4" w:space="0" w:color="auto"/>
            </w:tcBorders>
            <w:hideMark/>
          </w:tcPr>
          <w:p w14:paraId="4DB16F58" w14:textId="49B646E0" w:rsidR="00BF5D50" w:rsidRPr="00572D0C" w:rsidRDefault="006C2F54" w:rsidP="147A5F7B">
            <w:pPr>
              <w:spacing w:before="40"/>
              <w:rPr>
                <w:rFonts w:cs="Arial"/>
                <w:b/>
                <w:bCs/>
                <w:sz w:val="18"/>
                <w:szCs w:val="18"/>
                <w:lang w:val="fr-CH"/>
              </w:rPr>
            </w:pPr>
            <w:r>
              <w:rPr>
                <w:rFonts w:cs="Arial"/>
                <w:b/>
                <w:bCs/>
                <w:sz w:val="18"/>
                <w:szCs w:val="18"/>
                <w:lang w:val="fr-CH"/>
              </w:rPr>
              <w:t>Serres de culture h</w:t>
            </w:r>
            <w:r w:rsidR="147A5F7B" w:rsidRPr="00572D0C">
              <w:rPr>
                <w:rFonts w:cs="Arial"/>
                <w:b/>
                <w:bCs/>
                <w:sz w:val="18"/>
                <w:szCs w:val="18"/>
                <w:lang w:val="fr-CH"/>
              </w:rPr>
              <w:t>ors-sol</w:t>
            </w:r>
          </w:p>
        </w:tc>
        <w:tc>
          <w:tcPr>
            <w:tcW w:w="1559" w:type="dxa"/>
            <w:tcBorders>
              <w:top w:val="single" w:sz="4" w:space="0" w:color="auto"/>
              <w:left w:val="single" w:sz="4" w:space="0" w:color="auto"/>
              <w:bottom w:val="single" w:sz="4" w:space="0" w:color="auto"/>
              <w:right w:val="single" w:sz="4" w:space="0" w:color="auto"/>
            </w:tcBorders>
            <w:hideMark/>
          </w:tcPr>
          <w:p w14:paraId="2B09668D" w14:textId="7380AAF2" w:rsidR="00BF5D50" w:rsidRPr="00572D0C" w:rsidRDefault="147A5F7B" w:rsidP="147A5F7B">
            <w:pPr>
              <w:spacing w:before="40"/>
              <w:rPr>
                <w:rFonts w:cs="Arial"/>
                <w:sz w:val="18"/>
                <w:szCs w:val="18"/>
                <w:lang w:val="fr-CH"/>
              </w:rPr>
            </w:pPr>
            <w:r w:rsidRPr="00572D0C">
              <w:rPr>
                <w:rFonts w:cs="Arial"/>
                <w:b/>
                <w:bCs/>
                <w:sz w:val="18"/>
                <w:szCs w:val="18"/>
                <w:lang w:val="fr-CH"/>
              </w:rPr>
              <w:t>N</w:t>
            </w:r>
            <w:r w:rsidR="006C2F54">
              <w:rPr>
                <w:rFonts w:cs="Arial"/>
                <w:b/>
                <w:bCs/>
                <w:sz w:val="18"/>
                <w:szCs w:val="18"/>
                <w:lang w:val="fr-CH"/>
              </w:rPr>
              <w:t>o</w:t>
            </w:r>
            <w:r w:rsidRPr="00572D0C">
              <w:rPr>
                <w:rFonts w:cs="Arial"/>
                <w:b/>
                <w:bCs/>
                <w:sz w:val="18"/>
                <w:szCs w:val="18"/>
                <w:lang w:val="fr-CH"/>
              </w:rPr>
              <w:t>n</w:t>
            </w:r>
          </w:p>
        </w:tc>
        <w:tc>
          <w:tcPr>
            <w:tcW w:w="5812" w:type="dxa"/>
            <w:tcBorders>
              <w:top w:val="single" w:sz="4" w:space="0" w:color="auto"/>
              <w:left w:val="single" w:sz="4" w:space="0" w:color="auto"/>
              <w:bottom w:val="single" w:sz="4" w:space="0" w:color="auto"/>
              <w:right w:val="single" w:sz="4" w:space="0" w:color="auto"/>
            </w:tcBorders>
            <w:hideMark/>
          </w:tcPr>
          <w:p w14:paraId="3B81BF0E" w14:textId="6E8BAC95" w:rsidR="002F28CF" w:rsidRPr="00572D0C" w:rsidRDefault="006C2F54" w:rsidP="147A5F7B">
            <w:pPr>
              <w:spacing w:before="40"/>
              <w:rPr>
                <w:rFonts w:cs="Arial"/>
                <w:sz w:val="18"/>
                <w:szCs w:val="18"/>
                <w:lang w:val="fr-CH"/>
              </w:rPr>
            </w:pPr>
            <w:r>
              <w:rPr>
                <w:rFonts w:cs="Arial"/>
                <w:sz w:val="18"/>
                <w:szCs w:val="18"/>
                <w:lang w:val="fr-CH"/>
              </w:rPr>
              <w:t xml:space="preserve">Ces surfaces ne peuvent pas être comptabilisées </w:t>
            </w:r>
            <w:r w:rsidR="00246A1B">
              <w:rPr>
                <w:rFonts w:cs="Arial"/>
                <w:sz w:val="18"/>
                <w:szCs w:val="18"/>
                <w:lang w:val="fr-CH"/>
              </w:rPr>
              <w:t>pour le moment,</w:t>
            </w:r>
            <w:r>
              <w:rPr>
                <w:rFonts w:cs="Arial"/>
                <w:sz w:val="18"/>
                <w:szCs w:val="18"/>
                <w:lang w:val="fr-CH"/>
              </w:rPr>
              <w:t xml:space="preserve"> </w:t>
            </w:r>
            <w:r w:rsidR="00246A1B">
              <w:rPr>
                <w:rFonts w:cs="Arial"/>
                <w:sz w:val="18"/>
                <w:szCs w:val="18"/>
                <w:lang w:val="fr-CH"/>
              </w:rPr>
              <w:t xml:space="preserve">car les </w:t>
            </w:r>
            <w:r>
              <w:rPr>
                <w:rFonts w:cs="Arial"/>
                <w:sz w:val="18"/>
                <w:szCs w:val="18"/>
                <w:lang w:val="fr-CH"/>
              </w:rPr>
              <w:t>connaissances sur les effets sur le</w:t>
            </w:r>
            <w:r w:rsidR="0095703F">
              <w:rPr>
                <w:rFonts w:cs="Arial"/>
                <w:sz w:val="18"/>
                <w:szCs w:val="18"/>
                <w:lang w:val="fr-CH"/>
              </w:rPr>
              <w:t>s</w:t>
            </w:r>
            <w:r>
              <w:rPr>
                <w:rFonts w:cs="Arial"/>
                <w:sz w:val="18"/>
                <w:szCs w:val="18"/>
                <w:lang w:val="fr-CH"/>
              </w:rPr>
              <w:t xml:space="preserve"> sol</w:t>
            </w:r>
            <w:r w:rsidR="0095703F">
              <w:rPr>
                <w:rFonts w:cs="Arial"/>
                <w:sz w:val="18"/>
                <w:szCs w:val="18"/>
                <w:lang w:val="fr-CH"/>
              </w:rPr>
              <w:t>s</w:t>
            </w:r>
            <w:r w:rsidR="00246A1B">
              <w:rPr>
                <w:rFonts w:cs="Arial"/>
                <w:sz w:val="18"/>
                <w:szCs w:val="18"/>
                <w:lang w:val="fr-CH"/>
              </w:rPr>
              <w:t xml:space="preserve"> sont insuffisantes</w:t>
            </w:r>
            <w:r>
              <w:rPr>
                <w:rFonts w:cs="Arial"/>
                <w:sz w:val="18"/>
                <w:szCs w:val="18"/>
                <w:lang w:val="fr-CH"/>
              </w:rPr>
              <w:t>.</w:t>
            </w:r>
          </w:p>
          <w:p w14:paraId="22AFF210" w14:textId="0D036DCE" w:rsidR="00BF5D50" w:rsidRPr="00572D0C" w:rsidRDefault="006C2F54" w:rsidP="147A5F7B">
            <w:pPr>
              <w:spacing w:before="40"/>
              <w:rPr>
                <w:rFonts w:cs="Arial"/>
                <w:sz w:val="18"/>
                <w:szCs w:val="18"/>
                <w:lang w:val="fr-CH"/>
              </w:rPr>
            </w:pPr>
            <w:r>
              <w:rPr>
                <w:rFonts w:cs="Arial"/>
                <w:sz w:val="18"/>
                <w:szCs w:val="18"/>
                <w:lang w:val="fr-CH"/>
              </w:rPr>
              <w:t>Dans les serres de culture hors-sol, les cycles de l’eau, de l’air et de l’énergie sont perturbés, ce qui entraîne la mort des organismes dans le sol. Nul ne sait avec quelle rapidité les caractéristiques physiques et biologiques du sol se reconstituent après le démantèleme</w:t>
            </w:r>
            <w:r w:rsidR="147A5F7B" w:rsidRPr="00572D0C">
              <w:rPr>
                <w:rFonts w:cs="Arial"/>
                <w:sz w:val="18"/>
                <w:szCs w:val="18"/>
                <w:lang w:val="fr-CH"/>
              </w:rPr>
              <w:t>n</w:t>
            </w:r>
            <w:r>
              <w:rPr>
                <w:rFonts w:cs="Arial"/>
                <w:sz w:val="18"/>
                <w:szCs w:val="18"/>
                <w:lang w:val="fr-CH"/>
              </w:rPr>
              <w:t>t de cultures hors-sol</w:t>
            </w:r>
            <w:r w:rsidR="147A5F7B" w:rsidRPr="00572D0C">
              <w:rPr>
                <w:rFonts w:cs="Arial"/>
                <w:sz w:val="18"/>
                <w:szCs w:val="18"/>
                <w:lang w:val="fr-CH"/>
              </w:rPr>
              <w:t xml:space="preserve">. </w:t>
            </w:r>
          </w:p>
        </w:tc>
      </w:tr>
      <w:tr w:rsidR="009F7959" w:rsidRPr="003F1EDB" w14:paraId="19635C33" w14:textId="77777777" w:rsidTr="49F97252">
        <w:tc>
          <w:tcPr>
            <w:tcW w:w="2122" w:type="dxa"/>
            <w:tcBorders>
              <w:top w:val="single" w:sz="4" w:space="0" w:color="auto"/>
              <w:left w:val="single" w:sz="4" w:space="0" w:color="auto"/>
              <w:bottom w:val="single" w:sz="4" w:space="0" w:color="auto"/>
              <w:right w:val="single" w:sz="4" w:space="0" w:color="auto"/>
            </w:tcBorders>
            <w:hideMark/>
          </w:tcPr>
          <w:p w14:paraId="5D3B7E00" w14:textId="107D9DD4" w:rsidR="00BF5D50" w:rsidRPr="00572D0C" w:rsidRDefault="0095703F" w:rsidP="147A5F7B">
            <w:pPr>
              <w:spacing w:before="40"/>
              <w:rPr>
                <w:rFonts w:cs="Arial"/>
                <w:b/>
                <w:bCs/>
                <w:sz w:val="18"/>
                <w:szCs w:val="18"/>
                <w:lang w:val="fr-CH"/>
              </w:rPr>
            </w:pPr>
            <w:r>
              <w:rPr>
                <w:rFonts w:cs="Arial"/>
                <w:b/>
                <w:bCs/>
                <w:sz w:val="18"/>
                <w:szCs w:val="18"/>
                <w:lang w:val="fr-CH"/>
              </w:rPr>
              <w:t>Serres de cultures tributaires du sol</w:t>
            </w:r>
            <w:r w:rsidR="147A5F7B" w:rsidRPr="00572D0C">
              <w:rPr>
                <w:rFonts w:cs="Arial"/>
                <w:b/>
                <w:bCs/>
                <w:sz w:val="18"/>
                <w:szCs w:val="18"/>
                <w:lang w:val="fr-CH"/>
              </w:rPr>
              <w:t xml:space="preserve">, </w:t>
            </w:r>
            <w:r w:rsidR="00BF5D50" w:rsidRPr="00572D0C">
              <w:rPr>
                <w:lang w:val="fr-CH"/>
              </w:rPr>
              <w:br/>
            </w:r>
            <w:r>
              <w:rPr>
                <w:rFonts w:cs="Arial"/>
                <w:b/>
                <w:bCs/>
                <w:sz w:val="18"/>
                <w:szCs w:val="18"/>
                <w:lang w:val="fr-CH"/>
              </w:rPr>
              <w:t>t</w:t>
            </w:r>
            <w:r w:rsidR="147A5F7B" w:rsidRPr="00572D0C">
              <w:rPr>
                <w:rFonts w:cs="Arial"/>
                <w:b/>
                <w:bCs/>
                <w:sz w:val="18"/>
                <w:szCs w:val="18"/>
                <w:lang w:val="fr-CH"/>
              </w:rPr>
              <w:t>unnel</w:t>
            </w:r>
            <w:r>
              <w:rPr>
                <w:rFonts w:cs="Arial"/>
                <w:b/>
                <w:bCs/>
                <w:sz w:val="18"/>
                <w:szCs w:val="18"/>
                <w:lang w:val="fr-CH"/>
              </w:rPr>
              <w:t>s en plastique toute l’année</w:t>
            </w:r>
          </w:p>
        </w:tc>
        <w:tc>
          <w:tcPr>
            <w:tcW w:w="1559" w:type="dxa"/>
            <w:tcBorders>
              <w:top w:val="single" w:sz="4" w:space="0" w:color="auto"/>
              <w:left w:val="single" w:sz="4" w:space="0" w:color="auto"/>
              <w:bottom w:val="single" w:sz="4" w:space="0" w:color="auto"/>
              <w:right w:val="single" w:sz="4" w:space="0" w:color="auto"/>
            </w:tcBorders>
            <w:hideMark/>
          </w:tcPr>
          <w:p w14:paraId="7CCEDE7A" w14:textId="6238516D" w:rsidR="00BF5D50" w:rsidRPr="00572D0C" w:rsidRDefault="147A5F7B" w:rsidP="147A5F7B">
            <w:pPr>
              <w:spacing w:before="40"/>
              <w:rPr>
                <w:rFonts w:cs="Arial"/>
                <w:b/>
                <w:bCs/>
                <w:sz w:val="18"/>
                <w:szCs w:val="18"/>
                <w:lang w:val="fr-CH"/>
              </w:rPr>
            </w:pPr>
            <w:r w:rsidRPr="00572D0C">
              <w:rPr>
                <w:rFonts w:cs="Arial"/>
                <w:b/>
                <w:bCs/>
                <w:sz w:val="18"/>
                <w:szCs w:val="18"/>
                <w:lang w:val="fr-CH"/>
              </w:rPr>
              <w:t>N</w:t>
            </w:r>
            <w:r w:rsidR="0095703F">
              <w:rPr>
                <w:rFonts w:cs="Arial"/>
                <w:b/>
                <w:bCs/>
                <w:sz w:val="18"/>
                <w:szCs w:val="18"/>
                <w:lang w:val="fr-CH"/>
              </w:rPr>
              <w:t>o</w:t>
            </w:r>
            <w:r w:rsidRPr="00572D0C">
              <w:rPr>
                <w:rFonts w:cs="Arial"/>
                <w:b/>
                <w:bCs/>
                <w:sz w:val="18"/>
                <w:szCs w:val="18"/>
                <w:lang w:val="fr-CH"/>
              </w:rPr>
              <w:t>n</w:t>
            </w:r>
          </w:p>
        </w:tc>
        <w:tc>
          <w:tcPr>
            <w:tcW w:w="5812" w:type="dxa"/>
            <w:tcBorders>
              <w:top w:val="single" w:sz="4" w:space="0" w:color="auto"/>
              <w:left w:val="single" w:sz="4" w:space="0" w:color="auto"/>
              <w:bottom w:val="single" w:sz="4" w:space="0" w:color="auto"/>
              <w:right w:val="single" w:sz="4" w:space="0" w:color="auto"/>
            </w:tcBorders>
            <w:hideMark/>
          </w:tcPr>
          <w:p w14:paraId="2739DC8B" w14:textId="7CD14971" w:rsidR="00BF5D50" w:rsidRPr="00572D0C" w:rsidRDefault="0095703F" w:rsidP="147A5F7B">
            <w:pPr>
              <w:spacing w:before="40"/>
              <w:rPr>
                <w:rFonts w:cs="Arial"/>
                <w:sz w:val="18"/>
                <w:szCs w:val="18"/>
                <w:lang w:val="fr-CH"/>
              </w:rPr>
            </w:pPr>
            <w:r>
              <w:rPr>
                <w:rFonts w:cs="Arial"/>
                <w:sz w:val="18"/>
                <w:szCs w:val="18"/>
                <w:lang w:val="fr-CH"/>
              </w:rPr>
              <w:t>Pour le moment, ces surfaces ne peuven</w:t>
            </w:r>
            <w:r w:rsidR="147A5F7B" w:rsidRPr="00572D0C">
              <w:rPr>
                <w:rFonts w:cs="Arial"/>
                <w:sz w:val="18"/>
                <w:szCs w:val="18"/>
                <w:lang w:val="fr-CH"/>
              </w:rPr>
              <w:t>t</w:t>
            </w:r>
            <w:r>
              <w:rPr>
                <w:rFonts w:cs="Arial"/>
                <w:sz w:val="18"/>
                <w:szCs w:val="18"/>
                <w:lang w:val="fr-CH"/>
              </w:rPr>
              <w:t xml:space="preserve"> pas être comptabilisées</w:t>
            </w:r>
            <w:r w:rsidR="00246A1B">
              <w:rPr>
                <w:rFonts w:cs="Arial"/>
                <w:sz w:val="18"/>
                <w:szCs w:val="18"/>
                <w:lang w:val="fr-CH"/>
              </w:rPr>
              <w:t xml:space="preserve">, car les connaissances sur les effets sur les sols, </w:t>
            </w:r>
            <w:r>
              <w:rPr>
                <w:rFonts w:cs="Arial"/>
                <w:sz w:val="18"/>
                <w:szCs w:val="18"/>
                <w:lang w:val="fr-CH"/>
              </w:rPr>
              <w:t>notamment sur les paramètres biologiques</w:t>
            </w:r>
            <w:r w:rsidR="00246A1B">
              <w:rPr>
                <w:rFonts w:cs="Arial"/>
                <w:sz w:val="18"/>
                <w:szCs w:val="18"/>
                <w:lang w:val="fr-CH"/>
              </w:rPr>
              <w:t>, sont insuffisantes</w:t>
            </w:r>
            <w:r>
              <w:rPr>
                <w:rFonts w:cs="Arial"/>
                <w:sz w:val="18"/>
                <w:szCs w:val="18"/>
                <w:lang w:val="fr-CH"/>
              </w:rPr>
              <w:t>.</w:t>
            </w:r>
          </w:p>
          <w:p w14:paraId="71CE7B76" w14:textId="08B56EB5" w:rsidR="00BF5D50" w:rsidRPr="00572D0C" w:rsidRDefault="0095703F" w:rsidP="147A5F7B">
            <w:pPr>
              <w:spacing w:before="40"/>
              <w:rPr>
                <w:rFonts w:cs="Arial"/>
                <w:sz w:val="18"/>
                <w:szCs w:val="18"/>
                <w:lang w:val="fr-CH"/>
              </w:rPr>
            </w:pPr>
            <w:r>
              <w:rPr>
                <w:rFonts w:cs="Arial"/>
                <w:sz w:val="18"/>
                <w:szCs w:val="18"/>
                <w:lang w:val="fr-CH"/>
              </w:rPr>
              <w:t>Les critères de comptabilisation de ces surfaces doivent faire l’objet d’études scientifiques.</w:t>
            </w:r>
          </w:p>
        </w:tc>
      </w:tr>
      <w:tr w:rsidR="009F7959" w:rsidRPr="003F1EDB" w14:paraId="54F069BF" w14:textId="77777777" w:rsidTr="49F97252">
        <w:tc>
          <w:tcPr>
            <w:tcW w:w="2122" w:type="dxa"/>
            <w:tcBorders>
              <w:top w:val="single" w:sz="4" w:space="0" w:color="auto"/>
              <w:left w:val="single" w:sz="4" w:space="0" w:color="auto"/>
              <w:bottom w:val="single" w:sz="4" w:space="0" w:color="auto"/>
              <w:right w:val="single" w:sz="4" w:space="0" w:color="auto"/>
            </w:tcBorders>
            <w:hideMark/>
          </w:tcPr>
          <w:p w14:paraId="13D4CD99" w14:textId="10C0C7C6" w:rsidR="00BF5D50" w:rsidRPr="00572D0C" w:rsidRDefault="147A5F7B" w:rsidP="147A5F7B">
            <w:pPr>
              <w:spacing w:before="40"/>
              <w:rPr>
                <w:rFonts w:cs="Arial"/>
                <w:b/>
                <w:bCs/>
                <w:sz w:val="18"/>
                <w:szCs w:val="18"/>
                <w:lang w:val="fr-CH"/>
              </w:rPr>
            </w:pPr>
            <w:r w:rsidRPr="00572D0C">
              <w:rPr>
                <w:rFonts w:cs="Arial"/>
                <w:b/>
                <w:bCs/>
                <w:sz w:val="18"/>
                <w:szCs w:val="18"/>
                <w:lang w:val="fr-CH"/>
              </w:rPr>
              <w:t>T</w:t>
            </w:r>
            <w:r w:rsidR="0095703F">
              <w:rPr>
                <w:rFonts w:cs="Arial"/>
                <w:b/>
                <w:bCs/>
                <w:sz w:val="18"/>
                <w:szCs w:val="18"/>
                <w:lang w:val="fr-CH"/>
              </w:rPr>
              <w:t>unnels temporaires en plastique</w:t>
            </w:r>
            <w:r w:rsidRPr="00572D0C">
              <w:rPr>
                <w:rFonts w:cs="Arial"/>
                <w:b/>
                <w:bCs/>
                <w:sz w:val="18"/>
                <w:szCs w:val="18"/>
                <w:lang w:val="fr-CH"/>
              </w:rPr>
              <w:t xml:space="preserve">, </w:t>
            </w:r>
            <w:r w:rsidR="0095703F">
              <w:rPr>
                <w:rFonts w:cs="Arial"/>
                <w:b/>
                <w:bCs/>
                <w:sz w:val="18"/>
                <w:szCs w:val="18"/>
                <w:lang w:val="fr-CH"/>
              </w:rPr>
              <w:t>couches de mulch</w:t>
            </w:r>
          </w:p>
        </w:tc>
        <w:tc>
          <w:tcPr>
            <w:tcW w:w="1559" w:type="dxa"/>
            <w:tcBorders>
              <w:top w:val="single" w:sz="4" w:space="0" w:color="auto"/>
              <w:left w:val="single" w:sz="4" w:space="0" w:color="auto"/>
              <w:bottom w:val="single" w:sz="4" w:space="0" w:color="auto"/>
              <w:right w:val="single" w:sz="4" w:space="0" w:color="auto"/>
            </w:tcBorders>
            <w:hideMark/>
          </w:tcPr>
          <w:p w14:paraId="65E01B7B" w14:textId="6FA2316D" w:rsidR="00BF5D50" w:rsidRPr="00572D0C" w:rsidRDefault="004D0265" w:rsidP="147A5F7B">
            <w:pPr>
              <w:spacing w:before="40"/>
              <w:rPr>
                <w:rFonts w:cs="Arial"/>
                <w:sz w:val="18"/>
                <w:szCs w:val="18"/>
                <w:lang w:val="fr-CH"/>
              </w:rPr>
            </w:pPr>
            <w:r>
              <w:rPr>
                <w:rFonts w:cs="Arial"/>
                <w:b/>
                <w:bCs/>
                <w:sz w:val="18"/>
                <w:szCs w:val="18"/>
                <w:lang w:val="fr-CH"/>
              </w:rPr>
              <w:t>Oui</w:t>
            </w:r>
          </w:p>
          <w:p w14:paraId="618B20AA" w14:textId="463A5F44" w:rsidR="00BF5D50" w:rsidRPr="00572D0C" w:rsidRDefault="00BF5D50" w:rsidP="00BC3373">
            <w:pPr>
              <w:spacing w:before="40"/>
              <w:rPr>
                <w:rFonts w:cs="Arial"/>
                <w:sz w:val="18"/>
                <w:szCs w:val="18"/>
                <w:lang w:val="fr-CH"/>
              </w:rPr>
            </w:pPr>
          </w:p>
        </w:tc>
        <w:tc>
          <w:tcPr>
            <w:tcW w:w="5812" w:type="dxa"/>
            <w:tcBorders>
              <w:top w:val="single" w:sz="4" w:space="0" w:color="auto"/>
              <w:left w:val="single" w:sz="4" w:space="0" w:color="auto"/>
              <w:bottom w:val="single" w:sz="4" w:space="0" w:color="auto"/>
              <w:right w:val="single" w:sz="4" w:space="0" w:color="auto"/>
            </w:tcBorders>
            <w:hideMark/>
          </w:tcPr>
          <w:p w14:paraId="6F6B3726" w14:textId="7F3F9404" w:rsidR="002F28CF" w:rsidRPr="00572D0C" w:rsidRDefault="0095703F" w:rsidP="147A5F7B">
            <w:pPr>
              <w:spacing w:before="40"/>
              <w:rPr>
                <w:rFonts w:cs="Arial"/>
                <w:sz w:val="18"/>
                <w:szCs w:val="18"/>
                <w:lang w:val="fr-CH"/>
              </w:rPr>
            </w:pPr>
            <w:r>
              <w:rPr>
                <w:rFonts w:cs="Arial"/>
                <w:sz w:val="18"/>
                <w:szCs w:val="18"/>
                <w:lang w:val="fr-CH"/>
              </w:rPr>
              <w:t>Pas de protection durable des cultures</w:t>
            </w:r>
            <w:r w:rsidR="147A5F7B" w:rsidRPr="00572D0C">
              <w:rPr>
                <w:rFonts w:cs="Arial"/>
                <w:sz w:val="18"/>
                <w:szCs w:val="18"/>
                <w:lang w:val="fr-CH"/>
              </w:rPr>
              <w:t xml:space="preserve"> (</w:t>
            </w:r>
            <w:r>
              <w:rPr>
                <w:rFonts w:cs="Arial"/>
                <w:sz w:val="18"/>
                <w:szCs w:val="18"/>
                <w:lang w:val="fr-CH"/>
              </w:rPr>
              <w:t>déplacement en cas d’assolement</w:t>
            </w:r>
            <w:r w:rsidR="147A5F7B" w:rsidRPr="00572D0C">
              <w:rPr>
                <w:rFonts w:cs="Arial"/>
                <w:sz w:val="18"/>
                <w:szCs w:val="18"/>
                <w:lang w:val="fr-CH"/>
              </w:rPr>
              <w:t>).</w:t>
            </w:r>
          </w:p>
          <w:p w14:paraId="3170F193" w14:textId="5AF2191F" w:rsidR="00BF5D50" w:rsidRPr="00572D0C" w:rsidRDefault="0095703F" w:rsidP="147A5F7B">
            <w:pPr>
              <w:spacing w:before="40"/>
              <w:rPr>
                <w:rFonts w:cs="Arial"/>
                <w:sz w:val="18"/>
                <w:szCs w:val="18"/>
                <w:lang w:val="fr-CH"/>
              </w:rPr>
            </w:pPr>
            <w:r>
              <w:rPr>
                <w:rFonts w:cs="Arial"/>
                <w:sz w:val="18"/>
                <w:szCs w:val="18"/>
                <w:lang w:val="fr-CH"/>
              </w:rPr>
              <w:t>Les tunnels temporaires en plastique</w:t>
            </w:r>
            <w:r w:rsidR="147A5F7B" w:rsidRPr="00572D0C">
              <w:rPr>
                <w:rFonts w:cs="Arial"/>
                <w:sz w:val="18"/>
                <w:szCs w:val="18"/>
                <w:lang w:val="fr-CH"/>
              </w:rPr>
              <w:t xml:space="preserve"> (</w:t>
            </w:r>
            <w:r>
              <w:rPr>
                <w:rFonts w:cs="Arial"/>
                <w:sz w:val="18"/>
                <w:szCs w:val="18"/>
                <w:lang w:val="fr-CH"/>
              </w:rPr>
              <w:t>sans fondement fixe</w:t>
            </w:r>
            <w:r w:rsidR="147A5F7B" w:rsidRPr="00572D0C">
              <w:rPr>
                <w:rFonts w:cs="Arial"/>
                <w:sz w:val="18"/>
                <w:szCs w:val="18"/>
                <w:lang w:val="fr-CH"/>
              </w:rPr>
              <w:t xml:space="preserve">) </w:t>
            </w:r>
            <w:r>
              <w:rPr>
                <w:rFonts w:cs="Arial"/>
                <w:sz w:val="18"/>
                <w:szCs w:val="18"/>
                <w:lang w:val="fr-CH"/>
              </w:rPr>
              <w:t xml:space="preserve">et les couches de mulch changent d’emplacement chaque année selon les cultures. Une reconversion pour pratiquer des cultures ciblées est donc possible dans un délai d’un an et les effets sur le sol sont moindres que dans les serres et sous les tunnels permanents. </w:t>
            </w:r>
          </w:p>
        </w:tc>
      </w:tr>
      <w:tr w:rsidR="009F7959" w:rsidRPr="003F1EDB" w14:paraId="5E06C72C" w14:textId="77777777" w:rsidTr="49F97252">
        <w:tc>
          <w:tcPr>
            <w:tcW w:w="2122" w:type="dxa"/>
            <w:tcBorders>
              <w:top w:val="single" w:sz="4" w:space="0" w:color="auto"/>
              <w:left w:val="single" w:sz="4" w:space="0" w:color="auto"/>
              <w:bottom w:val="single" w:sz="4" w:space="0" w:color="auto"/>
              <w:right w:val="single" w:sz="4" w:space="0" w:color="auto"/>
            </w:tcBorders>
            <w:hideMark/>
          </w:tcPr>
          <w:p w14:paraId="261599F5" w14:textId="56733E8A" w:rsidR="00BF5D50" w:rsidRPr="00572D0C" w:rsidRDefault="0095703F" w:rsidP="147A5F7B">
            <w:pPr>
              <w:spacing w:before="40"/>
              <w:rPr>
                <w:rFonts w:cs="Arial"/>
                <w:b/>
                <w:bCs/>
                <w:sz w:val="18"/>
                <w:szCs w:val="18"/>
                <w:lang w:val="fr-CH"/>
              </w:rPr>
            </w:pPr>
            <w:r>
              <w:rPr>
                <w:rFonts w:cs="Arial"/>
                <w:b/>
                <w:bCs/>
                <w:sz w:val="18"/>
                <w:szCs w:val="18"/>
                <w:lang w:val="fr-CH"/>
              </w:rPr>
              <w:t>Cultures fruitières</w:t>
            </w:r>
            <w:r w:rsidR="49F97252" w:rsidRPr="00572D0C">
              <w:rPr>
                <w:rFonts w:cs="Arial"/>
                <w:b/>
                <w:bCs/>
                <w:sz w:val="18"/>
                <w:szCs w:val="18"/>
                <w:lang w:val="fr-CH"/>
              </w:rPr>
              <w:t xml:space="preserve">, </w:t>
            </w:r>
            <w:r>
              <w:rPr>
                <w:rFonts w:cs="Arial"/>
                <w:b/>
                <w:bCs/>
                <w:sz w:val="18"/>
                <w:szCs w:val="18"/>
                <w:lang w:val="fr-CH"/>
              </w:rPr>
              <w:t>baies</w:t>
            </w:r>
          </w:p>
        </w:tc>
        <w:tc>
          <w:tcPr>
            <w:tcW w:w="1559" w:type="dxa"/>
            <w:tcBorders>
              <w:top w:val="single" w:sz="4" w:space="0" w:color="auto"/>
              <w:left w:val="single" w:sz="4" w:space="0" w:color="auto"/>
              <w:bottom w:val="single" w:sz="4" w:space="0" w:color="auto"/>
              <w:right w:val="single" w:sz="4" w:space="0" w:color="auto"/>
            </w:tcBorders>
            <w:hideMark/>
          </w:tcPr>
          <w:p w14:paraId="25C0101E" w14:textId="40D4BCCB" w:rsidR="00BF5D50" w:rsidRPr="00572D0C" w:rsidRDefault="004D0265" w:rsidP="147A5F7B">
            <w:pPr>
              <w:spacing w:before="40"/>
              <w:rPr>
                <w:rFonts w:cs="Arial"/>
                <w:sz w:val="18"/>
                <w:szCs w:val="18"/>
                <w:lang w:val="fr-CH"/>
              </w:rPr>
            </w:pPr>
            <w:r>
              <w:rPr>
                <w:rFonts w:cs="Arial"/>
                <w:b/>
                <w:bCs/>
                <w:sz w:val="18"/>
                <w:szCs w:val="18"/>
                <w:lang w:val="fr-CH"/>
              </w:rPr>
              <w:t>Oui</w:t>
            </w:r>
          </w:p>
        </w:tc>
        <w:tc>
          <w:tcPr>
            <w:tcW w:w="5812" w:type="dxa"/>
            <w:tcBorders>
              <w:top w:val="single" w:sz="4" w:space="0" w:color="auto"/>
              <w:left w:val="single" w:sz="4" w:space="0" w:color="auto"/>
              <w:bottom w:val="single" w:sz="4" w:space="0" w:color="auto"/>
              <w:right w:val="single" w:sz="4" w:space="0" w:color="auto"/>
            </w:tcBorders>
            <w:hideMark/>
          </w:tcPr>
          <w:p w14:paraId="543706A5" w14:textId="21A6A61F" w:rsidR="00BF5D50" w:rsidRPr="00572D0C" w:rsidRDefault="0061703D" w:rsidP="147A5F7B">
            <w:pPr>
              <w:spacing w:before="40"/>
              <w:rPr>
                <w:rFonts w:cs="Arial"/>
                <w:sz w:val="18"/>
                <w:szCs w:val="18"/>
                <w:lang w:val="fr-CH"/>
              </w:rPr>
            </w:pPr>
            <w:r>
              <w:rPr>
                <w:rFonts w:cs="Arial"/>
                <w:sz w:val="18"/>
                <w:szCs w:val="18"/>
                <w:lang w:val="fr-CH"/>
              </w:rPr>
              <w:t>Dans le plan alimentaire, l</w:t>
            </w:r>
            <w:r w:rsidR="0095703F">
              <w:rPr>
                <w:rFonts w:cs="Arial"/>
                <w:sz w:val="18"/>
                <w:szCs w:val="18"/>
                <w:lang w:val="fr-CH"/>
              </w:rPr>
              <w:t>es fruits sont cons</w:t>
            </w:r>
            <w:r>
              <w:rPr>
                <w:rFonts w:cs="Arial"/>
                <w:sz w:val="18"/>
                <w:szCs w:val="18"/>
                <w:lang w:val="fr-CH"/>
              </w:rPr>
              <w:t xml:space="preserve">idérés comme une denrée alimentaire </w:t>
            </w:r>
            <w:r w:rsidR="147A5F7B" w:rsidRPr="00572D0C">
              <w:rPr>
                <w:rFonts w:cs="Arial"/>
                <w:sz w:val="18"/>
                <w:szCs w:val="18"/>
                <w:lang w:val="fr-CH"/>
              </w:rPr>
              <w:t>d</w:t>
            </w:r>
            <w:r>
              <w:rPr>
                <w:rFonts w:cs="Arial"/>
                <w:sz w:val="18"/>
                <w:szCs w:val="18"/>
                <w:lang w:val="fr-CH"/>
              </w:rPr>
              <w:t>e base. L’abattage des arbres pour une remise en culture pourrait épuiser les sols.</w:t>
            </w:r>
          </w:p>
        </w:tc>
      </w:tr>
      <w:tr w:rsidR="009F7959" w:rsidRPr="003F1EDB" w14:paraId="37C054DB" w14:textId="77777777" w:rsidTr="49F97252">
        <w:tc>
          <w:tcPr>
            <w:tcW w:w="2122" w:type="dxa"/>
            <w:tcBorders>
              <w:top w:val="single" w:sz="4" w:space="0" w:color="auto"/>
              <w:left w:val="single" w:sz="4" w:space="0" w:color="auto"/>
              <w:bottom w:val="single" w:sz="4" w:space="0" w:color="auto"/>
              <w:right w:val="single" w:sz="4" w:space="0" w:color="auto"/>
            </w:tcBorders>
            <w:hideMark/>
          </w:tcPr>
          <w:p w14:paraId="3A9F0C80" w14:textId="2512DE30" w:rsidR="00BF5D50" w:rsidRPr="00572D0C" w:rsidRDefault="0061703D" w:rsidP="147A5F7B">
            <w:pPr>
              <w:spacing w:before="40"/>
              <w:rPr>
                <w:rFonts w:cs="Arial"/>
                <w:b/>
                <w:bCs/>
                <w:sz w:val="18"/>
                <w:szCs w:val="18"/>
                <w:lang w:val="fr-CH"/>
              </w:rPr>
            </w:pPr>
            <w:r>
              <w:rPr>
                <w:rFonts w:cs="Arial"/>
                <w:b/>
                <w:bCs/>
                <w:sz w:val="18"/>
                <w:szCs w:val="18"/>
                <w:lang w:val="fr-CH"/>
              </w:rPr>
              <w:lastRenderedPageBreak/>
              <w:t>Vignes</w:t>
            </w:r>
          </w:p>
        </w:tc>
        <w:tc>
          <w:tcPr>
            <w:tcW w:w="1559" w:type="dxa"/>
            <w:tcBorders>
              <w:top w:val="single" w:sz="4" w:space="0" w:color="auto"/>
              <w:left w:val="single" w:sz="4" w:space="0" w:color="auto"/>
              <w:bottom w:val="single" w:sz="4" w:space="0" w:color="auto"/>
              <w:right w:val="single" w:sz="4" w:space="0" w:color="auto"/>
            </w:tcBorders>
            <w:hideMark/>
          </w:tcPr>
          <w:p w14:paraId="02AF5FC6" w14:textId="2A8477DD" w:rsidR="00BF5D50" w:rsidRPr="00572D0C" w:rsidRDefault="004D0265" w:rsidP="147A5F7B">
            <w:pPr>
              <w:spacing w:before="40"/>
              <w:rPr>
                <w:rFonts w:cs="Arial"/>
                <w:sz w:val="18"/>
                <w:szCs w:val="18"/>
                <w:lang w:val="fr-CH"/>
              </w:rPr>
            </w:pPr>
            <w:r>
              <w:rPr>
                <w:rFonts w:cs="Arial"/>
                <w:b/>
                <w:bCs/>
                <w:sz w:val="18"/>
                <w:szCs w:val="18"/>
                <w:lang w:val="fr-CH"/>
              </w:rPr>
              <w:t>Oui</w:t>
            </w:r>
            <w:r w:rsidR="147A5F7B" w:rsidRPr="00572D0C">
              <w:rPr>
                <w:rFonts w:cs="Arial"/>
                <w:sz w:val="18"/>
                <w:szCs w:val="18"/>
                <w:lang w:val="fr-CH"/>
              </w:rPr>
              <w:t xml:space="preserve">, </w:t>
            </w:r>
            <w:r w:rsidR="0061703D">
              <w:rPr>
                <w:rFonts w:cs="Arial"/>
                <w:sz w:val="18"/>
                <w:szCs w:val="18"/>
                <w:lang w:val="fr-CH"/>
              </w:rPr>
              <w:t>si le sol n’est pas pollué</w:t>
            </w:r>
          </w:p>
        </w:tc>
        <w:tc>
          <w:tcPr>
            <w:tcW w:w="5812" w:type="dxa"/>
            <w:tcBorders>
              <w:top w:val="single" w:sz="4" w:space="0" w:color="auto"/>
              <w:left w:val="single" w:sz="4" w:space="0" w:color="auto"/>
              <w:bottom w:val="single" w:sz="4" w:space="0" w:color="auto"/>
              <w:right w:val="single" w:sz="4" w:space="0" w:color="auto"/>
            </w:tcBorders>
            <w:hideMark/>
          </w:tcPr>
          <w:p w14:paraId="1CF9D72B" w14:textId="2255F62A" w:rsidR="0052376F" w:rsidRPr="00572D0C" w:rsidRDefault="0061703D" w:rsidP="147A5F7B">
            <w:pPr>
              <w:spacing w:before="40"/>
              <w:rPr>
                <w:rFonts w:cs="Arial"/>
                <w:sz w:val="18"/>
                <w:szCs w:val="18"/>
                <w:lang w:val="fr-CH"/>
              </w:rPr>
            </w:pPr>
            <w:r>
              <w:rPr>
                <w:rFonts w:cs="Arial"/>
                <w:sz w:val="18"/>
                <w:szCs w:val="18"/>
                <w:lang w:val="fr-CH"/>
              </w:rPr>
              <w:t>Une remise en culture pour des cultures ciblées est possible après enlèvement des ceps</w:t>
            </w:r>
            <w:r w:rsidR="147A5F7B" w:rsidRPr="00572D0C">
              <w:rPr>
                <w:rFonts w:cs="Arial"/>
                <w:sz w:val="18"/>
                <w:szCs w:val="18"/>
                <w:lang w:val="fr-CH"/>
              </w:rPr>
              <w:t xml:space="preserve">. </w:t>
            </w:r>
            <w:r>
              <w:rPr>
                <w:rFonts w:cs="Arial"/>
                <w:sz w:val="18"/>
                <w:szCs w:val="18"/>
                <w:lang w:val="fr-CH"/>
              </w:rPr>
              <w:t xml:space="preserve">Les vignes sont rarement plantées sur des SDA en raison de leur forte pente et n’entrent pour ainsi dire pas en considération dans le calcul des SDA. Les anciens vignobles présentent toutefois des concentrations élevées de cuivres dans leur sol. Des études pédologiques doivent donc être effectuées de cas en cas avant de comptabiliser de telles surfaces dans les SDA. </w:t>
            </w:r>
          </w:p>
        </w:tc>
      </w:tr>
      <w:tr w:rsidR="009F7959" w:rsidRPr="003F1EDB" w14:paraId="063FE993" w14:textId="77777777" w:rsidTr="49F97252">
        <w:tc>
          <w:tcPr>
            <w:tcW w:w="2122" w:type="dxa"/>
            <w:tcBorders>
              <w:top w:val="single" w:sz="4" w:space="0" w:color="auto"/>
              <w:left w:val="single" w:sz="4" w:space="0" w:color="auto"/>
              <w:bottom w:val="single" w:sz="4" w:space="0" w:color="auto"/>
              <w:right w:val="single" w:sz="4" w:space="0" w:color="auto"/>
            </w:tcBorders>
            <w:hideMark/>
          </w:tcPr>
          <w:p w14:paraId="688423EE" w14:textId="27C10878" w:rsidR="00BF5D50" w:rsidRPr="00572D0C" w:rsidRDefault="0061703D" w:rsidP="147A5F7B">
            <w:pPr>
              <w:spacing w:before="40"/>
              <w:rPr>
                <w:rFonts w:cs="Arial"/>
                <w:b/>
                <w:bCs/>
                <w:sz w:val="18"/>
                <w:szCs w:val="18"/>
                <w:lang w:val="fr-CH"/>
              </w:rPr>
            </w:pPr>
            <w:r>
              <w:rPr>
                <w:rFonts w:cs="Arial"/>
                <w:b/>
                <w:bCs/>
                <w:sz w:val="18"/>
                <w:szCs w:val="18"/>
                <w:lang w:val="fr-CH"/>
              </w:rPr>
              <w:t>Pépinières</w:t>
            </w:r>
            <w:r w:rsidR="147A5F7B" w:rsidRPr="00572D0C">
              <w:rPr>
                <w:rFonts w:cs="Arial"/>
                <w:b/>
                <w:bCs/>
                <w:sz w:val="18"/>
                <w:szCs w:val="18"/>
                <w:lang w:val="fr-CH"/>
              </w:rPr>
              <w:t xml:space="preserve">, </w:t>
            </w:r>
            <w:r w:rsidR="00BF5D50" w:rsidRPr="00572D0C">
              <w:rPr>
                <w:lang w:val="fr-CH"/>
              </w:rPr>
              <w:br/>
            </w:r>
            <w:r>
              <w:rPr>
                <w:rFonts w:cs="Arial"/>
                <w:b/>
                <w:bCs/>
                <w:sz w:val="18"/>
                <w:szCs w:val="18"/>
                <w:lang w:val="fr-CH"/>
              </w:rPr>
              <w:t>cultures de sapins de Noël</w:t>
            </w:r>
          </w:p>
        </w:tc>
        <w:tc>
          <w:tcPr>
            <w:tcW w:w="1559" w:type="dxa"/>
            <w:tcBorders>
              <w:top w:val="single" w:sz="4" w:space="0" w:color="auto"/>
              <w:left w:val="single" w:sz="4" w:space="0" w:color="auto"/>
              <w:bottom w:val="single" w:sz="4" w:space="0" w:color="auto"/>
              <w:right w:val="single" w:sz="4" w:space="0" w:color="auto"/>
            </w:tcBorders>
            <w:hideMark/>
          </w:tcPr>
          <w:p w14:paraId="30636184" w14:textId="36558BD0" w:rsidR="00BF5D50" w:rsidRPr="00572D0C" w:rsidRDefault="004D0265" w:rsidP="147A5F7B">
            <w:pPr>
              <w:spacing w:before="40"/>
              <w:rPr>
                <w:rFonts w:cs="Arial"/>
                <w:sz w:val="18"/>
                <w:szCs w:val="18"/>
                <w:lang w:val="fr-CH"/>
              </w:rPr>
            </w:pPr>
            <w:r>
              <w:rPr>
                <w:rFonts w:cs="Arial"/>
                <w:b/>
                <w:bCs/>
                <w:sz w:val="18"/>
                <w:szCs w:val="18"/>
                <w:lang w:val="fr-CH"/>
              </w:rPr>
              <w:t>Ou</w:t>
            </w:r>
            <w:r w:rsidR="0061703D">
              <w:rPr>
                <w:rFonts w:cs="Arial"/>
                <w:b/>
                <w:bCs/>
                <w:sz w:val="18"/>
                <w:szCs w:val="18"/>
                <w:lang w:val="fr-CH"/>
              </w:rPr>
              <w:t>i</w:t>
            </w:r>
          </w:p>
        </w:tc>
        <w:tc>
          <w:tcPr>
            <w:tcW w:w="5812" w:type="dxa"/>
            <w:tcBorders>
              <w:top w:val="single" w:sz="4" w:space="0" w:color="auto"/>
              <w:left w:val="single" w:sz="4" w:space="0" w:color="auto"/>
              <w:bottom w:val="single" w:sz="4" w:space="0" w:color="auto"/>
              <w:right w:val="single" w:sz="4" w:space="0" w:color="auto"/>
            </w:tcBorders>
            <w:hideMark/>
          </w:tcPr>
          <w:p w14:paraId="6FA0C8B0" w14:textId="552DF964" w:rsidR="002F28CF" w:rsidRPr="00572D0C" w:rsidRDefault="0061703D" w:rsidP="147A5F7B">
            <w:pPr>
              <w:spacing w:before="40"/>
              <w:rPr>
                <w:rFonts w:cs="Arial"/>
                <w:sz w:val="18"/>
                <w:szCs w:val="18"/>
                <w:lang w:val="fr-CH"/>
              </w:rPr>
            </w:pPr>
            <w:r>
              <w:rPr>
                <w:rFonts w:cs="Arial"/>
                <w:sz w:val="18"/>
                <w:szCs w:val="18"/>
                <w:lang w:val="fr-CH"/>
              </w:rPr>
              <w:t>Une remise en culture pour des cultures ciblées est possible dans un délai d’un an après enlèvement des racines.</w:t>
            </w:r>
            <w:r w:rsidR="147A5F7B" w:rsidRPr="00572D0C">
              <w:rPr>
                <w:rFonts w:cs="Arial"/>
                <w:sz w:val="18"/>
                <w:szCs w:val="18"/>
                <w:lang w:val="fr-CH"/>
              </w:rPr>
              <w:t xml:space="preserve"> </w:t>
            </w:r>
          </w:p>
        </w:tc>
      </w:tr>
      <w:tr w:rsidR="009F7959" w:rsidRPr="003F1EDB" w14:paraId="675681BD" w14:textId="77777777" w:rsidTr="49F97252">
        <w:tc>
          <w:tcPr>
            <w:tcW w:w="2122" w:type="dxa"/>
            <w:tcBorders>
              <w:top w:val="single" w:sz="4" w:space="0" w:color="auto"/>
              <w:left w:val="single" w:sz="4" w:space="0" w:color="auto"/>
              <w:bottom w:val="single" w:sz="4" w:space="0" w:color="auto"/>
              <w:right w:val="single" w:sz="4" w:space="0" w:color="auto"/>
            </w:tcBorders>
            <w:hideMark/>
          </w:tcPr>
          <w:p w14:paraId="5CF05397" w14:textId="6CA93FA2" w:rsidR="00BF5D50" w:rsidRPr="00572D0C" w:rsidRDefault="0061703D" w:rsidP="147A5F7B">
            <w:pPr>
              <w:spacing w:before="40"/>
              <w:rPr>
                <w:rFonts w:cs="Arial"/>
                <w:b/>
                <w:bCs/>
                <w:sz w:val="18"/>
                <w:szCs w:val="18"/>
                <w:lang w:val="fr-CH"/>
              </w:rPr>
            </w:pPr>
            <w:r>
              <w:rPr>
                <w:rFonts w:cs="Arial"/>
                <w:b/>
                <w:bCs/>
                <w:sz w:val="18"/>
                <w:szCs w:val="18"/>
                <w:lang w:val="fr-CH"/>
              </w:rPr>
              <w:t>Surfaces de promotion de la biodiversité</w:t>
            </w:r>
          </w:p>
        </w:tc>
        <w:tc>
          <w:tcPr>
            <w:tcW w:w="1559" w:type="dxa"/>
            <w:tcBorders>
              <w:top w:val="single" w:sz="4" w:space="0" w:color="auto"/>
              <w:left w:val="single" w:sz="4" w:space="0" w:color="auto"/>
              <w:bottom w:val="single" w:sz="4" w:space="0" w:color="auto"/>
              <w:right w:val="single" w:sz="4" w:space="0" w:color="auto"/>
            </w:tcBorders>
            <w:hideMark/>
          </w:tcPr>
          <w:p w14:paraId="0AC3A1A0" w14:textId="391DB3FD" w:rsidR="00BF5D50" w:rsidRPr="00572D0C" w:rsidRDefault="004D0265" w:rsidP="147A5F7B">
            <w:pPr>
              <w:spacing w:before="40"/>
              <w:rPr>
                <w:rFonts w:cs="Arial"/>
                <w:sz w:val="18"/>
                <w:szCs w:val="18"/>
                <w:lang w:val="fr-CH"/>
              </w:rPr>
            </w:pPr>
            <w:r>
              <w:rPr>
                <w:rFonts w:cs="Arial"/>
                <w:b/>
                <w:bCs/>
                <w:sz w:val="18"/>
                <w:szCs w:val="18"/>
                <w:lang w:val="fr-CH"/>
              </w:rPr>
              <w:t>Oui</w:t>
            </w:r>
          </w:p>
        </w:tc>
        <w:tc>
          <w:tcPr>
            <w:tcW w:w="5812" w:type="dxa"/>
            <w:tcBorders>
              <w:top w:val="single" w:sz="4" w:space="0" w:color="auto"/>
              <w:left w:val="single" w:sz="4" w:space="0" w:color="auto"/>
              <w:bottom w:val="single" w:sz="4" w:space="0" w:color="auto"/>
              <w:right w:val="single" w:sz="4" w:space="0" w:color="auto"/>
            </w:tcBorders>
            <w:hideMark/>
          </w:tcPr>
          <w:p w14:paraId="0E1C1B78" w14:textId="79CD4221" w:rsidR="00EB25F7" w:rsidRPr="00572D0C" w:rsidRDefault="0061703D">
            <w:pPr>
              <w:spacing w:before="40"/>
              <w:rPr>
                <w:rFonts w:cs="Arial"/>
                <w:sz w:val="18"/>
                <w:szCs w:val="18"/>
                <w:lang w:val="fr-CH"/>
              </w:rPr>
            </w:pPr>
            <w:r>
              <w:rPr>
                <w:rFonts w:cs="Arial"/>
                <w:sz w:val="18"/>
                <w:szCs w:val="18"/>
                <w:lang w:val="fr-CH"/>
              </w:rPr>
              <w:t>Les surfaces de promotion de la biodiversité au sens de l’OPD</w:t>
            </w:r>
            <w:r w:rsidR="147A5F7B" w:rsidRPr="00572D0C">
              <w:rPr>
                <w:rFonts w:cs="Arial"/>
                <w:sz w:val="18"/>
                <w:szCs w:val="18"/>
                <w:lang w:val="fr-CH"/>
              </w:rPr>
              <w:t xml:space="preserve"> (</w:t>
            </w:r>
            <w:r w:rsidR="008E2C25">
              <w:rPr>
                <w:rFonts w:cs="Arial"/>
                <w:sz w:val="18"/>
                <w:szCs w:val="18"/>
                <w:lang w:val="fr-CH"/>
              </w:rPr>
              <w:t>praires extensives ou peu intensives, jachères florales, jachères tournantes, bandes culturales extensives</w:t>
            </w:r>
            <w:r w:rsidR="147A5F7B" w:rsidRPr="00572D0C">
              <w:rPr>
                <w:rFonts w:cs="Arial"/>
                <w:sz w:val="18"/>
                <w:szCs w:val="18"/>
                <w:lang w:val="fr-CH"/>
              </w:rPr>
              <w:t xml:space="preserve">, etc.) </w:t>
            </w:r>
            <w:r w:rsidR="008E2C25">
              <w:rPr>
                <w:rFonts w:cs="Arial"/>
                <w:sz w:val="18"/>
                <w:szCs w:val="18"/>
                <w:lang w:val="fr-CH"/>
              </w:rPr>
              <w:t xml:space="preserve">sont compatibles avec des SDA et peuvent être remises en culture pour des cultures ciblées dans un délai d’un an. </w:t>
            </w:r>
            <w:r w:rsidR="00246A1B">
              <w:rPr>
                <w:rFonts w:cs="Arial"/>
                <w:sz w:val="18"/>
                <w:szCs w:val="18"/>
                <w:lang w:val="fr-CH"/>
              </w:rPr>
              <w:t>Aucune</w:t>
            </w:r>
            <w:r w:rsidR="008E2C25">
              <w:rPr>
                <w:rFonts w:cs="Arial"/>
                <w:sz w:val="18"/>
                <w:szCs w:val="18"/>
                <w:lang w:val="fr-CH"/>
              </w:rPr>
              <w:t xml:space="preserve"> dégradation de la qualité du sol</w:t>
            </w:r>
            <w:r w:rsidR="00246A1B">
              <w:rPr>
                <w:rFonts w:cs="Arial"/>
                <w:sz w:val="18"/>
                <w:szCs w:val="18"/>
                <w:lang w:val="fr-CH"/>
              </w:rPr>
              <w:t xml:space="preserve"> n’est à attendre</w:t>
            </w:r>
            <w:r w:rsidR="008E2C25">
              <w:rPr>
                <w:rFonts w:cs="Arial"/>
                <w:sz w:val="18"/>
                <w:szCs w:val="18"/>
                <w:lang w:val="fr-CH"/>
              </w:rPr>
              <w:t xml:space="preserve"> en raison d’une utilisation spéciale.</w:t>
            </w:r>
          </w:p>
        </w:tc>
      </w:tr>
      <w:tr w:rsidR="009F7959" w:rsidRPr="003F1EDB" w14:paraId="0AB97238" w14:textId="77777777" w:rsidTr="49F97252">
        <w:tc>
          <w:tcPr>
            <w:tcW w:w="2122" w:type="dxa"/>
            <w:tcBorders>
              <w:top w:val="single" w:sz="4" w:space="0" w:color="auto"/>
              <w:left w:val="single" w:sz="4" w:space="0" w:color="auto"/>
              <w:bottom w:val="single" w:sz="4" w:space="0" w:color="auto"/>
              <w:right w:val="single" w:sz="4" w:space="0" w:color="auto"/>
            </w:tcBorders>
            <w:hideMark/>
          </w:tcPr>
          <w:p w14:paraId="6FF2E66E" w14:textId="1A1751E8" w:rsidR="00BF5D50" w:rsidRPr="00572D0C" w:rsidRDefault="008E2C25" w:rsidP="147A5F7B">
            <w:pPr>
              <w:spacing w:before="40"/>
              <w:rPr>
                <w:rFonts w:cs="Arial"/>
                <w:b/>
                <w:bCs/>
                <w:sz w:val="18"/>
                <w:szCs w:val="18"/>
                <w:lang w:val="fr-CH"/>
              </w:rPr>
            </w:pPr>
            <w:r>
              <w:rPr>
                <w:rFonts w:cs="Arial"/>
                <w:b/>
                <w:bCs/>
                <w:sz w:val="18"/>
                <w:szCs w:val="18"/>
                <w:lang w:val="fr-CH"/>
              </w:rPr>
              <w:t>Espaces réservés aux eaux</w:t>
            </w:r>
          </w:p>
          <w:p w14:paraId="7CBC23DF" w14:textId="74EA72B7" w:rsidR="00823719" w:rsidRPr="00572D0C" w:rsidRDefault="00823719" w:rsidP="00BC3373">
            <w:pPr>
              <w:spacing w:before="40"/>
              <w:rPr>
                <w:rFonts w:cs="Arial"/>
                <w:b/>
                <w:sz w:val="18"/>
                <w:szCs w:val="18"/>
                <w:lang w:val="fr-CH"/>
              </w:rPr>
            </w:pPr>
          </w:p>
        </w:tc>
        <w:tc>
          <w:tcPr>
            <w:tcW w:w="1559" w:type="dxa"/>
            <w:tcBorders>
              <w:top w:val="single" w:sz="4" w:space="0" w:color="auto"/>
              <w:left w:val="single" w:sz="4" w:space="0" w:color="auto"/>
              <w:bottom w:val="single" w:sz="4" w:space="0" w:color="auto"/>
              <w:right w:val="single" w:sz="4" w:space="0" w:color="auto"/>
            </w:tcBorders>
            <w:hideMark/>
          </w:tcPr>
          <w:p w14:paraId="3312FD38" w14:textId="77777777" w:rsidR="00BF5D50" w:rsidRDefault="004D0265" w:rsidP="147A5F7B">
            <w:pPr>
              <w:spacing w:before="40"/>
              <w:rPr>
                <w:rFonts w:cs="Arial"/>
                <w:sz w:val="18"/>
                <w:szCs w:val="18"/>
                <w:lang w:val="fr-CH"/>
              </w:rPr>
            </w:pPr>
            <w:r>
              <w:rPr>
                <w:rFonts w:cs="Arial"/>
                <w:b/>
                <w:bCs/>
                <w:sz w:val="18"/>
                <w:szCs w:val="18"/>
                <w:lang w:val="fr-CH"/>
              </w:rPr>
              <w:t>Oui</w:t>
            </w:r>
            <w:r w:rsidR="147A5F7B" w:rsidRPr="00572D0C">
              <w:rPr>
                <w:rFonts w:cs="Arial"/>
                <w:sz w:val="18"/>
                <w:szCs w:val="18"/>
                <w:lang w:val="fr-CH"/>
              </w:rPr>
              <w:t xml:space="preserve">, </w:t>
            </w:r>
            <w:r w:rsidR="008E2C25">
              <w:rPr>
                <w:rFonts w:cs="Arial"/>
                <w:sz w:val="18"/>
                <w:szCs w:val="18"/>
                <w:lang w:val="fr-CH"/>
              </w:rPr>
              <w:t>dans la mesure où ces espaces ne sont pas construits.</w:t>
            </w:r>
          </w:p>
          <w:p w14:paraId="58B917A6" w14:textId="4B2E2F9B" w:rsidR="008E2C25" w:rsidRPr="00572D0C" w:rsidRDefault="000448EF" w:rsidP="147A5F7B">
            <w:pPr>
              <w:spacing w:before="40"/>
              <w:rPr>
                <w:rFonts w:cs="Arial"/>
                <w:sz w:val="18"/>
                <w:szCs w:val="18"/>
                <w:lang w:val="fr-CH"/>
              </w:rPr>
            </w:pPr>
            <w:r>
              <w:rPr>
                <w:rFonts w:cs="Arial"/>
                <w:sz w:val="18"/>
                <w:szCs w:val="18"/>
                <w:lang w:val="fr-CH"/>
              </w:rPr>
              <w:t>Prévoir une indication séparée dans l’inventaire.</w:t>
            </w:r>
          </w:p>
        </w:tc>
        <w:tc>
          <w:tcPr>
            <w:tcW w:w="5812" w:type="dxa"/>
            <w:tcBorders>
              <w:top w:val="single" w:sz="4" w:space="0" w:color="auto"/>
              <w:left w:val="single" w:sz="4" w:space="0" w:color="auto"/>
              <w:bottom w:val="single" w:sz="4" w:space="0" w:color="auto"/>
              <w:right w:val="single" w:sz="4" w:space="0" w:color="auto"/>
            </w:tcBorders>
            <w:hideMark/>
          </w:tcPr>
          <w:p w14:paraId="4AF8EC17" w14:textId="143FB780" w:rsidR="00BF5D50" w:rsidRPr="00572D0C" w:rsidRDefault="000448EF" w:rsidP="147A5F7B">
            <w:pPr>
              <w:spacing w:before="40"/>
              <w:rPr>
                <w:rFonts w:cs="Arial"/>
                <w:sz w:val="18"/>
                <w:szCs w:val="18"/>
                <w:lang w:val="fr-CH"/>
              </w:rPr>
            </w:pPr>
            <w:r>
              <w:rPr>
                <w:rFonts w:cs="Arial"/>
                <w:sz w:val="18"/>
                <w:szCs w:val="18"/>
                <w:lang w:val="fr-CH"/>
              </w:rPr>
              <w:t>Les SDA situées dans des espaces réservés aux eaux peuvent être comptabilisées dans le contingent cantonal</w:t>
            </w:r>
            <w:r w:rsidR="00246A1B">
              <w:rPr>
                <w:rFonts w:cs="Arial"/>
                <w:sz w:val="18"/>
                <w:szCs w:val="18"/>
                <w:lang w:val="fr-CH"/>
              </w:rPr>
              <w:t>,</w:t>
            </w:r>
            <w:r>
              <w:rPr>
                <w:rFonts w:cs="Arial"/>
                <w:sz w:val="18"/>
                <w:szCs w:val="18"/>
                <w:lang w:val="fr-CH"/>
              </w:rPr>
              <w:t xml:space="preserve"> mais doivent faire l’objet d’une indication séparée</w:t>
            </w:r>
            <w:r w:rsidR="00B0480C" w:rsidRPr="00572D0C">
              <w:rPr>
                <w:rStyle w:val="Funotenzeichen"/>
                <w:rFonts w:cs="Arial"/>
                <w:sz w:val="18"/>
                <w:szCs w:val="18"/>
                <w:lang w:val="fr-CH"/>
              </w:rPr>
              <w:footnoteReference w:id="34"/>
            </w:r>
            <w:r w:rsidR="00823719" w:rsidRPr="00572D0C">
              <w:rPr>
                <w:rFonts w:cs="Arial"/>
                <w:sz w:val="18"/>
                <w:szCs w:val="18"/>
                <w:lang w:val="fr-CH"/>
              </w:rPr>
              <w:t xml:space="preserve">. </w:t>
            </w:r>
          </w:p>
          <w:p w14:paraId="482A3B38" w14:textId="51F89AAD" w:rsidR="00823719" w:rsidRPr="00572D0C" w:rsidRDefault="000448EF" w:rsidP="147A5F7B">
            <w:pPr>
              <w:spacing w:before="40"/>
              <w:rPr>
                <w:rFonts w:cs="Arial"/>
                <w:sz w:val="18"/>
                <w:szCs w:val="18"/>
                <w:lang w:val="fr-CH"/>
              </w:rPr>
            </w:pPr>
            <w:r>
              <w:rPr>
                <w:rFonts w:cs="Arial"/>
                <w:sz w:val="18"/>
                <w:szCs w:val="18"/>
                <w:lang w:val="fr-CH"/>
              </w:rPr>
              <w:t>Sont exclues les surfaces utilisées à titre définitif pour des mesures de protection contre les crues ou de revitalisation des eaux. Ces surfaces ne peuvent pas être comptabilisées.</w:t>
            </w:r>
          </w:p>
          <w:p w14:paraId="4FCD1C09" w14:textId="453FD5BA" w:rsidR="00823719" w:rsidRPr="00572D0C" w:rsidRDefault="000448EF" w:rsidP="147A5F7B">
            <w:pPr>
              <w:spacing w:before="40"/>
              <w:rPr>
                <w:rFonts w:cs="Arial"/>
                <w:sz w:val="18"/>
                <w:szCs w:val="18"/>
                <w:lang w:val="fr-CH"/>
              </w:rPr>
            </w:pPr>
            <w:r>
              <w:rPr>
                <w:rFonts w:cs="Arial"/>
                <w:sz w:val="18"/>
                <w:szCs w:val="18"/>
                <w:lang w:val="fr-CH"/>
              </w:rPr>
              <w:t>Les surfaces inondables</w:t>
            </w:r>
            <w:r w:rsidR="147A5F7B" w:rsidRPr="00572D0C">
              <w:rPr>
                <w:rFonts w:cs="Arial"/>
                <w:sz w:val="18"/>
                <w:szCs w:val="18"/>
                <w:lang w:val="fr-CH"/>
              </w:rPr>
              <w:t xml:space="preserve"> (</w:t>
            </w:r>
            <w:r>
              <w:rPr>
                <w:rFonts w:cs="Arial"/>
                <w:sz w:val="18"/>
                <w:szCs w:val="18"/>
                <w:lang w:val="fr-CH"/>
              </w:rPr>
              <w:t>dans et hors de l’espace réservé aux eaux</w:t>
            </w:r>
            <w:r w:rsidR="147A5F7B" w:rsidRPr="00572D0C">
              <w:rPr>
                <w:rFonts w:cs="Arial"/>
                <w:sz w:val="18"/>
                <w:szCs w:val="18"/>
                <w:lang w:val="fr-CH"/>
              </w:rPr>
              <w:t xml:space="preserve">) </w:t>
            </w:r>
            <w:r>
              <w:rPr>
                <w:rFonts w:cs="Arial"/>
                <w:sz w:val="18"/>
                <w:szCs w:val="18"/>
                <w:lang w:val="fr-CH"/>
              </w:rPr>
              <w:t>peuvent en général continuer d’être considérées comme des SDA</w:t>
            </w:r>
            <w:r w:rsidR="147A5F7B" w:rsidRPr="00572D0C">
              <w:rPr>
                <w:rFonts w:cs="Arial"/>
                <w:sz w:val="18"/>
                <w:szCs w:val="18"/>
                <w:lang w:val="fr-CH"/>
              </w:rPr>
              <w:t xml:space="preserve"> </w:t>
            </w:r>
            <w:r>
              <w:rPr>
                <w:rFonts w:cs="Arial"/>
                <w:sz w:val="18"/>
                <w:szCs w:val="18"/>
                <w:lang w:val="fr-CH"/>
              </w:rPr>
              <w:t>pour autant qu’une utilisation extensive soit prescrite</w:t>
            </w:r>
            <w:r w:rsidR="147A5F7B" w:rsidRPr="00572D0C">
              <w:rPr>
                <w:rFonts w:cs="Arial"/>
                <w:sz w:val="18"/>
                <w:szCs w:val="18"/>
                <w:lang w:val="fr-CH"/>
              </w:rPr>
              <w:t>.</w:t>
            </w:r>
          </w:p>
        </w:tc>
      </w:tr>
      <w:tr w:rsidR="00416D66" w:rsidRPr="003F1EDB" w14:paraId="3DE7F217" w14:textId="77777777" w:rsidTr="49F97252">
        <w:tc>
          <w:tcPr>
            <w:tcW w:w="2122" w:type="dxa"/>
            <w:tcBorders>
              <w:top w:val="single" w:sz="4" w:space="0" w:color="auto"/>
              <w:left w:val="single" w:sz="4" w:space="0" w:color="auto"/>
              <w:bottom w:val="single" w:sz="4" w:space="0" w:color="auto"/>
              <w:right w:val="single" w:sz="4" w:space="0" w:color="auto"/>
            </w:tcBorders>
          </w:tcPr>
          <w:p w14:paraId="41810EB2" w14:textId="59850761" w:rsidR="00416D66" w:rsidRPr="00572D0C" w:rsidRDefault="000448EF" w:rsidP="147A5F7B">
            <w:pPr>
              <w:spacing w:before="40"/>
              <w:rPr>
                <w:rFonts w:cs="Arial"/>
                <w:b/>
                <w:bCs/>
                <w:sz w:val="18"/>
                <w:szCs w:val="18"/>
                <w:lang w:val="fr-CH"/>
              </w:rPr>
            </w:pPr>
            <w:r>
              <w:rPr>
                <w:rFonts w:cs="Arial"/>
                <w:b/>
                <w:bCs/>
                <w:sz w:val="18"/>
                <w:szCs w:val="18"/>
                <w:lang w:val="fr-CH"/>
              </w:rPr>
              <w:t>Surfaces réhabilitées</w:t>
            </w:r>
          </w:p>
        </w:tc>
        <w:tc>
          <w:tcPr>
            <w:tcW w:w="1559" w:type="dxa"/>
            <w:tcBorders>
              <w:top w:val="single" w:sz="4" w:space="0" w:color="auto"/>
              <w:left w:val="single" w:sz="4" w:space="0" w:color="auto"/>
              <w:bottom w:val="single" w:sz="4" w:space="0" w:color="auto"/>
              <w:right w:val="single" w:sz="4" w:space="0" w:color="auto"/>
            </w:tcBorders>
          </w:tcPr>
          <w:p w14:paraId="0F1DAC51" w14:textId="302752B3" w:rsidR="00416D66" w:rsidRPr="00572D0C" w:rsidRDefault="004D0265" w:rsidP="009C086A">
            <w:pPr>
              <w:spacing w:before="40"/>
              <w:rPr>
                <w:rFonts w:cs="Arial"/>
                <w:b/>
                <w:bCs/>
                <w:sz w:val="18"/>
                <w:szCs w:val="18"/>
                <w:lang w:val="fr-CH"/>
              </w:rPr>
            </w:pPr>
            <w:r>
              <w:rPr>
                <w:rFonts w:cs="Arial"/>
                <w:b/>
                <w:bCs/>
                <w:sz w:val="18"/>
                <w:szCs w:val="18"/>
                <w:lang w:val="fr-CH"/>
              </w:rPr>
              <w:t>Oui</w:t>
            </w:r>
            <w:r w:rsidR="147A5F7B" w:rsidRPr="00572D0C">
              <w:rPr>
                <w:rFonts w:cs="Arial"/>
                <w:sz w:val="18"/>
                <w:szCs w:val="18"/>
                <w:lang w:val="fr-CH"/>
              </w:rPr>
              <w:t xml:space="preserve">, </w:t>
            </w:r>
            <w:r w:rsidR="000448EF">
              <w:rPr>
                <w:rFonts w:cs="Arial"/>
                <w:sz w:val="18"/>
                <w:szCs w:val="18"/>
                <w:lang w:val="fr-CH"/>
              </w:rPr>
              <w:t>pour autant qu’elles remplissent les critères de qualité SDA</w:t>
            </w:r>
          </w:p>
        </w:tc>
        <w:tc>
          <w:tcPr>
            <w:tcW w:w="5812" w:type="dxa"/>
            <w:tcBorders>
              <w:top w:val="single" w:sz="4" w:space="0" w:color="auto"/>
              <w:left w:val="single" w:sz="4" w:space="0" w:color="auto"/>
              <w:bottom w:val="single" w:sz="4" w:space="0" w:color="auto"/>
              <w:right w:val="single" w:sz="4" w:space="0" w:color="auto"/>
            </w:tcBorders>
          </w:tcPr>
          <w:p w14:paraId="00685740" w14:textId="728A601C" w:rsidR="00416D66" w:rsidRPr="00572D0C" w:rsidRDefault="000448EF">
            <w:pPr>
              <w:spacing w:before="40"/>
              <w:rPr>
                <w:rFonts w:cs="Arial"/>
                <w:sz w:val="18"/>
                <w:szCs w:val="18"/>
                <w:lang w:val="fr-CH"/>
              </w:rPr>
            </w:pPr>
            <w:r>
              <w:rPr>
                <w:rFonts w:cs="Arial"/>
                <w:sz w:val="18"/>
                <w:szCs w:val="18"/>
                <w:lang w:val="fr-CH"/>
              </w:rPr>
              <w:t>Leur comptabilisation dans l’inventaire cantonal</w:t>
            </w:r>
            <w:r w:rsidR="147A5F7B" w:rsidRPr="00572D0C">
              <w:rPr>
                <w:rFonts w:cs="Arial"/>
                <w:sz w:val="18"/>
                <w:szCs w:val="18"/>
                <w:lang w:val="fr-CH"/>
              </w:rPr>
              <w:t xml:space="preserve"> </w:t>
            </w:r>
            <w:r>
              <w:rPr>
                <w:rFonts w:cs="Arial"/>
                <w:sz w:val="18"/>
                <w:szCs w:val="18"/>
                <w:lang w:val="fr-CH"/>
              </w:rPr>
              <w:t>nécessite l’achèvement des travaux de réhabilitation</w:t>
            </w:r>
            <w:r w:rsidR="147A5F7B" w:rsidRPr="00572D0C">
              <w:rPr>
                <w:rFonts w:cs="Arial"/>
                <w:sz w:val="18"/>
                <w:szCs w:val="18"/>
                <w:lang w:val="fr-CH"/>
              </w:rPr>
              <w:t xml:space="preserve"> (</w:t>
            </w:r>
            <w:r w:rsidR="00B54E02">
              <w:rPr>
                <w:rFonts w:cs="Arial"/>
                <w:sz w:val="18"/>
                <w:szCs w:val="18"/>
                <w:lang w:val="fr-CH"/>
              </w:rPr>
              <w:t>phase de transition incluse</w:t>
            </w:r>
            <w:r w:rsidR="147A5F7B" w:rsidRPr="00572D0C">
              <w:rPr>
                <w:rFonts w:cs="Arial"/>
                <w:sz w:val="18"/>
                <w:szCs w:val="18"/>
                <w:lang w:val="fr-CH"/>
              </w:rPr>
              <w:t xml:space="preserve">) </w:t>
            </w:r>
            <w:r>
              <w:rPr>
                <w:rFonts w:cs="Arial"/>
                <w:sz w:val="18"/>
                <w:szCs w:val="18"/>
                <w:lang w:val="fr-CH"/>
              </w:rPr>
              <w:t xml:space="preserve">et le respect des </w:t>
            </w:r>
            <w:r w:rsidR="00B54E02">
              <w:rPr>
                <w:rFonts w:cs="Arial"/>
                <w:sz w:val="18"/>
                <w:szCs w:val="18"/>
                <w:lang w:val="fr-CH"/>
              </w:rPr>
              <w:t>critères de qualité SDA</w:t>
            </w:r>
            <w:r w:rsidR="147A5F7B" w:rsidRPr="00572D0C">
              <w:rPr>
                <w:rFonts w:cs="Arial"/>
                <w:sz w:val="18"/>
                <w:szCs w:val="18"/>
                <w:lang w:val="fr-CH"/>
              </w:rPr>
              <w:t xml:space="preserve"> </w:t>
            </w:r>
            <w:r w:rsidR="00E574B9" w:rsidRPr="00572D0C">
              <w:rPr>
                <w:rFonts w:cs="Arial"/>
                <w:sz w:val="18"/>
                <w:szCs w:val="18"/>
                <w:lang w:val="fr-CH"/>
              </w:rPr>
              <w:t>(</w:t>
            </w:r>
            <w:r w:rsidR="00B54E02">
              <w:rPr>
                <w:rFonts w:cs="Arial"/>
                <w:sz w:val="18"/>
                <w:szCs w:val="18"/>
                <w:lang w:val="fr-CH"/>
              </w:rPr>
              <w:t>selon</w:t>
            </w:r>
            <w:r w:rsidR="008A6E1C" w:rsidRPr="00572D0C">
              <w:rPr>
                <w:rFonts w:cs="Arial"/>
                <w:sz w:val="18"/>
                <w:szCs w:val="18"/>
                <w:lang w:val="fr-CH"/>
              </w:rPr>
              <w:t xml:space="preserve"> </w:t>
            </w:r>
            <w:r w:rsidR="008A6E1C" w:rsidRPr="00572D0C">
              <w:rPr>
                <w:rFonts w:cs="Arial"/>
                <w:sz w:val="18"/>
                <w:szCs w:val="18"/>
                <w:lang w:val="fr-CH"/>
              </w:rPr>
              <w:fldChar w:fldCharType="begin"/>
            </w:r>
            <w:r w:rsidR="008A6E1C" w:rsidRPr="00572D0C">
              <w:rPr>
                <w:rFonts w:cs="Arial"/>
                <w:sz w:val="18"/>
                <w:szCs w:val="18"/>
                <w:lang w:val="fr-CH"/>
              </w:rPr>
              <w:instrText xml:space="preserve"> REF _Ref527035211 \r \h </w:instrText>
            </w:r>
            <w:r w:rsidR="008A6E1C" w:rsidRPr="00572D0C">
              <w:rPr>
                <w:rFonts w:cs="Arial"/>
                <w:sz w:val="18"/>
                <w:szCs w:val="18"/>
                <w:lang w:val="fr-CH"/>
              </w:rPr>
            </w:r>
            <w:r w:rsidR="008A6E1C" w:rsidRPr="00572D0C">
              <w:rPr>
                <w:rFonts w:cs="Arial"/>
                <w:sz w:val="18"/>
                <w:szCs w:val="18"/>
                <w:lang w:val="fr-CH"/>
              </w:rPr>
              <w:fldChar w:fldCharType="separate"/>
            </w:r>
            <w:r w:rsidR="00A65A9C">
              <w:rPr>
                <w:rFonts w:cs="Arial"/>
                <w:sz w:val="18"/>
                <w:szCs w:val="18"/>
                <w:lang w:val="fr-CH"/>
              </w:rPr>
              <w:t>P6</w:t>
            </w:r>
            <w:r w:rsidR="008A6E1C" w:rsidRPr="00572D0C">
              <w:rPr>
                <w:rFonts w:cs="Arial"/>
                <w:sz w:val="18"/>
                <w:szCs w:val="18"/>
                <w:lang w:val="fr-CH"/>
              </w:rPr>
              <w:fldChar w:fldCharType="end"/>
            </w:r>
            <w:r w:rsidR="00E574B9" w:rsidRPr="00572D0C">
              <w:rPr>
                <w:rFonts w:cs="Arial"/>
                <w:sz w:val="18"/>
                <w:szCs w:val="18"/>
                <w:lang w:val="fr-CH"/>
              </w:rPr>
              <w:t>)</w:t>
            </w:r>
            <w:r w:rsidR="147A5F7B" w:rsidRPr="00572D0C">
              <w:rPr>
                <w:rFonts w:cs="Arial"/>
                <w:sz w:val="18"/>
                <w:szCs w:val="18"/>
                <w:lang w:val="fr-CH"/>
              </w:rPr>
              <w:t xml:space="preserve">. </w:t>
            </w:r>
            <w:r w:rsidR="00B54E02">
              <w:rPr>
                <w:rFonts w:cs="Arial"/>
                <w:sz w:val="18"/>
                <w:szCs w:val="18"/>
                <w:lang w:val="fr-CH"/>
              </w:rPr>
              <w:t xml:space="preserve">Une </w:t>
            </w:r>
            <w:r w:rsidR="00687205">
              <w:rPr>
                <w:rFonts w:cs="Arial"/>
                <w:sz w:val="18"/>
                <w:szCs w:val="18"/>
                <w:lang w:val="fr-CH"/>
              </w:rPr>
              <w:t>réhabilitation</w:t>
            </w:r>
            <w:r w:rsidR="00B54E02">
              <w:rPr>
                <w:rFonts w:cs="Arial"/>
                <w:sz w:val="18"/>
                <w:szCs w:val="18"/>
                <w:lang w:val="fr-CH"/>
              </w:rPr>
              <w:t xml:space="preserve"> et la phase de transition qui suit avec une utilisation extensive durent en règle générale quatre ans</w:t>
            </w:r>
            <w:r w:rsidR="00DD03AF">
              <w:rPr>
                <w:rFonts w:cs="Arial"/>
                <w:sz w:val="18"/>
                <w:szCs w:val="18"/>
                <w:lang w:val="fr-CH"/>
              </w:rPr>
              <w:t xml:space="preserve"> au moins</w:t>
            </w:r>
            <w:r w:rsidR="00B54E02">
              <w:rPr>
                <w:rFonts w:cs="Arial"/>
                <w:sz w:val="18"/>
                <w:szCs w:val="18"/>
                <w:lang w:val="fr-CH"/>
              </w:rPr>
              <w:t>.</w:t>
            </w:r>
          </w:p>
        </w:tc>
      </w:tr>
    </w:tbl>
    <w:p w14:paraId="41801516" w14:textId="77777777" w:rsidR="00BC3373" w:rsidRPr="00572D0C" w:rsidRDefault="00BC3373" w:rsidP="00683612">
      <w:pPr>
        <w:rPr>
          <w:lang w:val="fr-CH"/>
        </w:rPr>
      </w:pPr>
    </w:p>
    <w:p w14:paraId="4F8DC459" w14:textId="391CC192" w:rsidR="00683612" w:rsidRPr="00572D0C" w:rsidRDefault="00B54E02" w:rsidP="147A5F7B">
      <w:pPr>
        <w:rPr>
          <w:b/>
          <w:bCs/>
          <w:lang w:val="fr-CH"/>
        </w:rPr>
      </w:pPr>
      <w:r>
        <w:rPr>
          <w:b/>
          <w:bCs/>
          <w:lang w:val="fr-CH"/>
        </w:rPr>
        <w:t>État des connaissances insuffisant pour les serres</w:t>
      </w:r>
      <w:r w:rsidR="147A5F7B" w:rsidRPr="00572D0C">
        <w:rPr>
          <w:b/>
          <w:bCs/>
          <w:lang w:val="fr-CH"/>
        </w:rPr>
        <w:t xml:space="preserve"> </w:t>
      </w:r>
    </w:p>
    <w:p w14:paraId="3D784366" w14:textId="51E0278B" w:rsidR="001C1E9F" w:rsidRPr="00572D0C" w:rsidRDefault="00EB56A4" w:rsidP="00EC371A">
      <w:pPr>
        <w:rPr>
          <w:lang w:val="fr-CH"/>
        </w:rPr>
      </w:pPr>
      <w:r>
        <w:rPr>
          <w:lang w:val="fr-CH"/>
        </w:rPr>
        <w:t xml:space="preserve">Une étude </w:t>
      </w:r>
      <w:r w:rsidR="00DD03AF">
        <w:rPr>
          <w:lang w:val="fr-CH"/>
        </w:rPr>
        <w:t>de</w:t>
      </w:r>
      <w:r>
        <w:rPr>
          <w:lang w:val="fr-CH"/>
        </w:rPr>
        <w:t xml:space="preserve"> l’Institut</w:t>
      </w:r>
      <w:r w:rsidR="00EC371A" w:rsidRPr="00572D0C">
        <w:rPr>
          <w:lang w:val="fr-CH"/>
        </w:rPr>
        <w:t xml:space="preserve"> </w:t>
      </w:r>
      <w:r>
        <w:rPr>
          <w:lang w:val="fr-CH"/>
        </w:rPr>
        <w:t>fédéral de recherches sur la forêt, la neige et le paysage (</w:t>
      </w:r>
      <w:r w:rsidR="0010577B" w:rsidRPr="00572D0C">
        <w:rPr>
          <w:lang w:val="fr-CH"/>
        </w:rPr>
        <w:t>WSL</w:t>
      </w:r>
      <w:r>
        <w:rPr>
          <w:lang w:val="fr-CH"/>
        </w:rPr>
        <w:t>)</w:t>
      </w:r>
      <w:r w:rsidR="00EC371A" w:rsidRPr="00572D0C">
        <w:rPr>
          <w:rStyle w:val="Funotenzeichen"/>
          <w:lang w:val="fr-CH"/>
        </w:rPr>
        <w:footnoteReference w:id="35"/>
      </w:r>
      <w:r w:rsidR="0010577B" w:rsidRPr="00572D0C">
        <w:rPr>
          <w:lang w:val="fr-CH"/>
        </w:rPr>
        <w:t xml:space="preserve"> </w:t>
      </w:r>
      <w:r w:rsidR="00DD03AF">
        <w:rPr>
          <w:lang w:val="fr-CH"/>
        </w:rPr>
        <w:t xml:space="preserve">menée dans le cadre du remaniement du plan sectoriel des SDA </w:t>
      </w:r>
      <w:r>
        <w:rPr>
          <w:lang w:val="fr-CH"/>
        </w:rPr>
        <w:t>arrive à la conclusion que l’état des connaissances sur les effets à long terme</w:t>
      </w:r>
      <w:r w:rsidR="006122B2">
        <w:rPr>
          <w:lang w:val="fr-CH"/>
        </w:rPr>
        <w:t xml:space="preserve"> des serres </w:t>
      </w:r>
      <w:r w:rsidR="006122B2" w:rsidRPr="00572D0C">
        <w:rPr>
          <w:lang w:val="fr-CH"/>
        </w:rPr>
        <w:t>(</w:t>
      </w:r>
      <w:r w:rsidR="006122B2">
        <w:rPr>
          <w:lang w:val="fr-CH"/>
        </w:rPr>
        <w:t xml:space="preserve">pour la production </w:t>
      </w:r>
      <w:r w:rsidR="006122B2" w:rsidRPr="00572D0C">
        <w:rPr>
          <w:lang w:val="fr-CH"/>
        </w:rPr>
        <w:t xml:space="preserve">hors-sol </w:t>
      </w:r>
      <w:r w:rsidR="006122B2">
        <w:rPr>
          <w:lang w:val="fr-CH"/>
        </w:rPr>
        <w:t>et la production tributaire du sol</w:t>
      </w:r>
      <w:r w:rsidR="006122B2" w:rsidRPr="00572D0C">
        <w:rPr>
          <w:lang w:val="fr-CH"/>
        </w:rPr>
        <w:t xml:space="preserve">) </w:t>
      </w:r>
      <w:r w:rsidR="006122B2">
        <w:rPr>
          <w:lang w:val="fr-CH"/>
        </w:rPr>
        <w:t>ainsi que des tunnels en plastique permanents</w:t>
      </w:r>
      <w:r>
        <w:rPr>
          <w:lang w:val="fr-CH"/>
        </w:rPr>
        <w:t xml:space="preserve"> sur la qualité des sols en Suisse est encore insuffisant</w:t>
      </w:r>
      <w:r w:rsidR="0010577B" w:rsidRPr="00572D0C">
        <w:rPr>
          <w:lang w:val="fr-CH"/>
        </w:rPr>
        <w:t xml:space="preserve">. </w:t>
      </w:r>
      <w:r>
        <w:rPr>
          <w:lang w:val="fr-CH"/>
        </w:rPr>
        <w:t>Cette constatation concerne notamment les paramètres relatifs aux processus biologiques dans les sols</w:t>
      </w:r>
      <w:r w:rsidR="00EC371A" w:rsidRPr="00572D0C">
        <w:rPr>
          <w:lang w:val="fr-CH"/>
        </w:rPr>
        <w:t>.</w:t>
      </w:r>
      <w:r w:rsidR="001C1E9F" w:rsidRPr="00572D0C">
        <w:rPr>
          <w:lang w:val="fr-CH"/>
        </w:rPr>
        <w:t xml:space="preserve"> </w:t>
      </w:r>
    </w:p>
    <w:p w14:paraId="5EA0FD6C" w14:textId="1D1E8817" w:rsidR="00EC371A" w:rsidRDefault="006122B2" w:rsidP="00EC371A">
      <w:pPr>
        <w:rPr>
          <w:lang w:val="fr-CH"/>
        </w:rPr>
      </w:pPr>
      <w:r>
        <w:rPr>
          <w:rFonts w:cs="Arial"/>
          <w:lang w:val="fr-CH"/>
        </w:rPr>
        <w:t>À</w:t>
      </w:r>
      <w:r w:rsidR="00EB56A4">
        <w:rPr>
          <w:lang w:val="fr-CH"/>
        </w:rPr>
        <w:t xml:space="preserve"> l’heure actuelle, l’insuffisance des connaissances ne permet pas </w:t>
      </w:r>
      <w:r w:rsidR="007D4F01">
        <w:rPr>
          <w:lang w:val="fr-CH"/>
        </w:rPr>
        <w:t>de formuler des indications générales sur la prise en compte des surfaces de cultures sous serres (cultures protégées durablemen</w:t>
      </w:r>
      <w:r w:rsidR="147A5F7B" w:rsidRPr="00572D0C">
        <w:rPr>
          <w:lang w:val="fr-CH"/>
        </w:rPr>
        <w:t>t)</w:t>
      </w:r>
      <w:r w:rsidR="49F97252" w:rsidRPr="00572D0C">
        <w:rPr>
          <w:lang w:val="fr-CH"/>
        </w:rPr>
        <w:t>.</w:t>
      </w:r>
      <w:r w:rsidR="147A5F7B" w:rsidRPr="00572D0C" w:rsidDel="00140988">
        <w:rPr>
          <w:lang w:val="fr-CH"/>
        </w:rPr>
        <w:t xml:space="preserve"> </w:t>
      </w:r>
      <w:r w:rsidR="007D4F01">
        <w:rPr>
          <w:lang w:val="fr-CH"/>
        </w:rPr>
        <w:t>Celles-ci ne sont donc pour le moment pas comptabilisées dans les inventaires cantonaux de SDA. Des études plus approfondies démontreront si et à quelles conditions des surfaces de cultures sous serres peuvent être comptabilisées dans les SDA</w:t>
      </w:r>
      <w:r w:rsidR="00140988" w:rsidRPr="00572D0C">
        <w:rPr>
          <w:lang w:val="fr-CH"/>
        </w:rPr>
        <w:t xml:space="preserve">.  </w:t>
      </w:r>
    </w:p>
    <w:p w14:paraId="37578A3C" w14:textId="17502F65" w:rsidR="00200775" w:rsidRDefault="00200775" w:rsidP="00EC371A">
      <w:pPr>
        <w:rPr>
          <w:lang w:val="fr-CH"/>
        </w:rPr>
      </w:pPr>
    </w:p>
    <w:p w14:paraId="7A36FA8C" w14:textId="77777777" w:rsidR="00200775" w:rsidRPr="00572D0C" w:rsidRDefault="00200775" w:rsidP="00EC371A">
      <w:pPr>
        <w:rPr>
          <w:lang w:val="fr-CH"/>
        </w:rPr>
      </w:pPr>
    </w:p>
    <w:p w14:paraId="37C2E307" w14:textId="5D8EC6F0" w:rsidR="00EB25F7" w:rsidRPr="00572D0C" w:rsidRDefault="007D4F01" w:rsidP="147A5F7B">
      <w:pPr>
        <w:rPr>
          <w:b/>
          <w:bCs/>
          <w:lang w:val="fr-CH"/>
        </w:rPr>
      </w:pPr>
      <w:r>
        <w:rPr>
          <w:b/>
          <w:bCs/>
          <w:lang w:val="fr-CH"/>
        </w:rPr>
        <w:lastRenderedPageBreak/>
        <w:t>Contrôle</w:t>
      </w:r>
      <w:r w:rsidR="147A5F7B" w:rsidRPr="00572D0C">
        <w:rPr>
          <w:b/>
          <w:bCs/>
          <w:lang w:val="fr-CH"/>
        </w:rPr>
        <w:t xml:space="preserve"> / </w:t>
      </w:r>
      <w:r>
        <w:rPr>
          <w:b/>
          <w:bCs/>
          <w:lang w:val="fr-CH"/>
        </w:rPr>
        <w:t>preuve de la qualité des sols</w:t>
      </w:r>
    </w:p>
    <w:p w14:paraId="518B46BB" w14:textId="28665D7C" w:rsidR="001F4A23" w:rsidRPr="00572D0C" w:rsidRDefault="007D4F01" w:rsidP="001F4A23">
      <w:pPr>
        <w:rPr>
          <w:lang w:val="fr-CH"/>
        </w:rPr>
      </w:pPr>
      <w:r>
        <w:rPr>
          <w:lang w:val="fr-CH"/>
        </w:rPr>
        <w:t xml:space="preserve">En règle générale, le principe de causalité est appliqué aux cas spéciaux </w:t>
      </w:r>
      <w:r w:rsidR="001F4A23" w:rsidRPr="00572D0C">
        <w:rPr>
          <w:lang w:val="fr-CH"/>
        </w:rPr>
        <w:t xml:space="preserve">; </w:t>
      </w:r>
      <w:r>
        <w:rPr>
          <w:lang w:val="fr-CH"/>
        </w:rPr>
        <w:t xml:space="preserve">le requérant doit </w:t>
      </w:r>
      <w:r w:rsidR="006D450E">
        <w:rPr>
          <w:lang w:val="fr-CH"/>
        </w:rPr>
        <w:t>renseigner le canton et lui fournir la preuve que les critères de prise en compte sont remplis. Le canton porte la responsabilité de ce calcul et doit en rendre compte à la Confédération</w:t>
      </w:r>
      <w:r w:rsidR="001F4A23" w:rsidRPr="00572D0C">
        <w:rPr>
          <w:lang w:val="fr-CH"/>
        </w:rPr>
        <w:t xml:space="preserve">. </w:t>
      </w:r>
    </w:p>
    <w:p w14:paraId="39959DF4" w14:textId="7F7AEA30" w:rsidR="00341510" w:rsidRPr="00572D0C" w:rsidRDefault="006D450E" w:rsidP="00507407">
      <w:pPr>
        <w:rPr>
          <w:lang w:val="fr-CH"/>
        </w:rPr>
      </w:pPr>
      <w:r>
        <w:rPr>
          <w:lang w:val="fr-CH"/>
        </w:rPr>
        <w:t xml:space="preserve">Il est important de veiller à ce que les utilisations spéciales de SDA ne portent pas atteinte à la qualité du sol antérieure à ces utilisations. Les </w:t>
      </w:r>
      <w:r w:rsidR="00687205">
        <w:rPr>
          <w:lang w:val="fr-CH"/>
        </w:rPr>
        <w:t>réhabilitations</w:t>
      </w:r>
      <w:r>
        <w:rPr>
          <w:lang w:val="fr-CH"/>
        </w:rPr>
        <w:t xml:space="preserve"> impliquent une </w:t>
      </w:r>
      <w:r w:rsidR="006122B2">
        <w:rPr>
          <w:lang w:val="fr-CH"/>
        </w:rPr>
        <w:t xml:space="preserve">reconstitution </w:t>
      </w:r>
      <w:r>
        <w:rPr>
          <w:lang w:val="fr-CH"/>
        </w:rPr>
        <w:t>complète des sols. Ces surfaces doivent donc remplir les critères de qualité des nouvelles SDA au sens du principe P</w:t>
      </w:r>
      <w:r w:rsidR="147A5F7B" w:rsidRPr="00572D0C">
        <w:rPr>
          <w:lang w:val="fr-CH"/>
        </w:rPr>
        <w:t>6.</w:t>
      </w:r>
    </w:p>
    <w:p w14:paraId="499EBB29" w14:textId="23297FD8" w:rsidR="005767B5" w:rsidRPr="008B563A" w:rsidRDefault="005767B5" w:rsidP="00501D1D">
      <w:pPr>
        <w:pStyle w:val="berschrift2"/>
        <w:rPr>
          <w:lang w:val="fr-CH"/>
        </w:rPr>
      </w:pPr>
      <w:bookmarkStart w:id="133" w:name="_Toc531102193"/>
      <w:bookmarkStart w:id="134" w:name="_Toc531103708"/>
      <w:bookmarkStart w:id="135" w:name="_Toc526946718"/>
      <w:bookmarkStart w:id="136" w:name="_Toc531193010"/>
      <w:bookmarkStart w:id="137" w:name="_Toc517266592"/>
      <w:bookmarkStart w:id="138" w:name="_Toc532996292"/>
      <w:r w:rsidRPr="008B563A">
        <w:rPr>
          <w:lang w:val="fr-CH"/>
        </w:rPr>
        <w:t xml:space="preserve">Réglementations relatives </w:t>
      </w:r>
      <w:bookmarkEnd w:id="133"/>
      <w:bookmarkEnd w:id="134"/>
      <w:r w:rsidR="00CC380D">
        <w:rPr>
          <w:lang w:val="fr-CH"/>
        </w:rPr>
        <w:t>aux</w:t>
      </w:r>
      <w:r w:rsidR="006122B2" w:rsidRPr="008B563A">
        <w:rPr>
          <w:lang w:val="fr-CH"/>
        </w:rPr>
        <w:t xml:space="preserve"> bases</w:t>
      </w:r>
      <w:r w:rsidRPr="008B563A">
        <w:rPr>
          <w:lang w:val="fr-CH"/>
        </w:rPr>
        <w:t xml:space="preserve"> de données des cantons</w:t>
      </w:r>
      <w:bookmarkEnd w:id="138"/>
    </w:p>
    <w:bookmarkEnd w:id="135"/>
    <w:bookmarkEnd w:id="136"/>
    <w:p w14:paraId="27B716DE" w14:textId="7E4EB1FD" w:rsidR="007D024A" w:rsidRDefault="006D450E" w:rsidP="007D024A">
      <w:pPr>
        <w:rPr>
          <w:lang w:val="fr-CH"/>
        </w:rPr>
      </w:pPr>
      <w:r>
        <w:rPr>
          <w:lang w:val="fr-CH"/>
        </w:rPr>
        <w:t>Le tableau ci-dessous</w:t>
      </w:r>
      <w:r w:rsidR="000E2F9F" w:rsidRPr="00572D0C">
        <w:rPr>
          <w:lang w:val="fr-CH"/>
        </w:rPr>
        <w:t xml:space="preserve"> </w:t>
      </w:r>
      <w:r w:rsidR="00196DCD">
        <w:rPr>
          <w:lang w:val="fr-CH"/>
        </w:rPr>
        <w:t xml:space="preserve">indique les cantons qui peuvent </w:t>
      </w:r>
      <w:r w:rsidR="00F5427B">
        <w:rPr>
          <w:lang w:val="fr-CH"/>
        </w:rPr>
        <w:t xml:space="preserve">négocier </w:t>
      </w:r>
      <w:r w:rsidR="00196DCD">
        <w:rPr>
          <w:lang w:val="fr-CH"/>
        </w:rPr>
        <w:t xml:space="preserve">des SDA conformément </w:t>
      </w:r>
      <w:r w:rsidR="00096AA1">
        <w:rPr>
          <w:lang w:val="fr-CH"/>
        </w:rPr>
        <w:t>à</w:t>
      </w:r>
      <w:r w:rsidR="000E2F9F" w:rsidRPr="00572D0C">
        <w:rPr>
          <w:lang w:val="fr-CH"/>
        </w:rPr>
        <w:t xml:space="preserve"> </w:t>
      </w:r>
      <w:r w:rsidR="008A6E1C" w:rsidRPr="00572D0C">
        <w:rPr>
          <w:lang w:val="fr-CH"/>
        </w:rPr>
        <w:fldChar w:fldCharType="begin"/>
      </w:r>
      <w:r w:rsidR="008A6E1C" w:rsidRPr="00572D0C">
        <w:rPr>
          <w:lang w:val="fr-CH"/>
        </w:rPr>
        <w:instrText xml:space="preserve"> REF _Ref527035316 \r \h </w:instrText>
      </w:r>
      <w:r w:rsidR="008A6E1C" w:rsidRPr="00572D0C">
        <w:rPr>
          <w:lang w:val="fr-CH"/>
        </w:rPr>
      </w:r>
      <w:r w:rsidR="008A6E1C" w:rsidRPr="00572D0C">
        <w:rPr>
          <w:lang w:val="fr-CH"/>
        </w:rPr>
        <w:fldChar w:fldCharType="separate"/>
      </w:r>
      <w:r w:rsidR="00A65A9C">
        <w:rPr>
          <w:lang w:val="fr-CH"/>
        </w:rPr>
        <w:t>P17</w:t>
      </w:r>
      <w:r w:rsidR="008A6E1C" w:rsidRPr="00572D0C">
        <w:rPr>
          <w:lang w:val="fr-CH"/>
        </w:rPr>
        <w:fldChar w:fldCharType="end"/>
      </w:r>
      <w:r w:rsidR="008A6E1C" w:rsidRPr="00572D0C">
        <w:rPr>
          <w:lang w:val="fr-CH"/>
        </w:rPr>
        <w:t xml:space="preserve"> </w:t>
      </w:r>
      <w:r w:rsidR="00196DCD">
        <w:rPr>
          <w:lang w:val="fr-CH"/>
        </w:rPr>
        <w:t>et ceux qui doivent au préalable introduire une r</w:t>
      </w:r>
      <w:r w:rsidR="00096AA1">
        <w:rPr>
          <w:lang w:val="fr-CH"/>
        </w:rPr>
        <w:t>é</w:t>
      </w:r>
      <w:r w:rsidR="00196DCD">
        <w:rPr>
          <w:lang w:val="fr-CH"/>
        </w:rPr>
        <w:t xml:space="preserve">glementation de la compensation conformément </w:t>
      </w:r>
      <w:r w:rsidR="00096AA1">
        <w:rPr>
          <w:lang w:val="fr-CH"/>
        </w:rPr>
        <w:t>à</w:t>
      </w:r>
      <w:r w:rsidR="000E2F9F" w:rsidRPr="00572D0C">
        <w:rPr>
          <w:lang w:val="fr-CH"/>
        </w:rPr>
        <w:t xml:space="preserve"> </w:t>
      </w:r>
      <w:r w:rsidR="008A6E1C" w:rsidRPr="00572D0C">
        <w:rPr>
          <w:lang w:val="fr-CH"/>
        </w:rPr>
        <w:fldChar w:fldCharType="begin"/>
      </w:r>
      <w:r w:rsidR="008A6E1C" w:rsidRPr="00572D0C">
        <w:rPr>
          <w:lang w:val="fr-CH"/>
        </w:rPr>
        <w:instrText xml:space="preserve"> REF _Ref527035335 \r \h </w:instrText>
      </w:r>
      <w:r w:rsidR="008A6E1C" w:rsidRPr="00572D0C">
        <w:rPr>
          <w:lang w:val="fr-CH"/>
        </w:rPr>
      </w:r>
      <w:r w:rsidR="008A6E1C" w:rsidRPr="00572D0C">
        <w:rPr>
          <w:lang w:val="fr-CH"/>
        </w:rPr>
        <w:fldChar w:fldCharType="separate"/>
      </w:r>
      <w:r w:rsidR="00A65A9C">
        <w:rPr>
          <w:lang w:val="fr-CH"/>
        </w:rPr>
        <w:t>P18</w:t>
      </w:r>
      <w:r w:rsidR="008A6E1C" w:rsidRPr="00572D0C">
        <w:rPr>
          <w:lang w:val="fr-CH"/>
        </w:rPr>
        <w:fldChar w:fldCharType="end"/>
      </w:r>
      <w:r w:rsidR="003861C7" w:rsidRPr="00572D0C">
        <w:rPr>
          <w:lang w:val="fr-CH"/>
        </w:rPr>
        <w:t xml:space="preserve">. </w:t>
      </w:r>
      <w:r w:rsidR="00196DCD">
        <w:rPr>
          <w:lang w:val="fr-CH"/>
        </w:rPr>
        <w:t>La répartition entre les cantons est fondée sur une étude de l’observatoire national des sols</w:t>
      </w:r>
      <w:r w:rsidR="00427CE8" w:rsidRPr="00572D0C">
        <w:rPr>
          <w:lang w:val="fr-CH"/>
        </w:rPr>
        <w:t xml:space="preserve"> </w:t>
      </w:r>
      <w:r w:rsidR="00196DCD">
        <w:rPr>
          <w:lang w:val="fr-CH"/>
        </w:rPr>
        <w:t>(</w:t>
      </w:r>
      <w:r w:rsidR="00427CE8" w:rsidRPr="00572D0C">
        <w:rPr>
          <w:lang w:val="fr-CH"/>
        </w:rPr>
        <w:t>NABO</w:t>
      </w:r>
      <w:r w:rsidR="00196DCD">
        <w:rPr>
          <w:lang w:val="fr-CH"/>
        </w:rPr>
        <w:t>)</w:t>
      </w:r>
      <w:r w:rsidR="00427CE8" w:rsidRPr="00572D0C">
        <w:rPr>
          <w:lang w:val="fr-CH"/>
        </w:rPr>
        <w:t xml:space="preserve"> </w:t>
      </w:r>
      <w:r w:rsidR="00196DCD">
        <w:rPr>
          <w:lang w:val="fr-CH"/>
        </w:rPr>
        <w:t>sur l</w:t>
      </w:r>
      <w:r w:rsidR="00096AA1">
        <w:rPr>
          <w:lang w:val="fr-CH"/>
        </w:rPr>
        <w:t xml:space="preserve">’état d’avancement de la </w:t>
      </w:r>
      <w:r w:rsidR="00196DCD">
        <w:rPr>
          <w:lang w:val="fr-CH"/>
        </w:rPr>
        <w:t>cartographie des sols</w:t>
      </w:r>
      <w:r w:rsidR="00096AA1">
        <w:rPr>
          <w:lang w:val="fr-CH"/>
        </w:rPr>
        <w:t xml:space="preserve"> en Suisse</w:t>
      </w:r>
      <w:r w:rsidR="00427CE8" w:rsidRPr="00572D0C">
        <w:rPr>
          <w:lang w:val="fr-CH"/>
        </w:rPr>
        <w:t>.</w:t>
      </w:r>
      <w:r w:rsidR="006122B2">
        <w:rPr>
          <w:lang w:val="fr-CH"/>
        </w:rPr>
        <w:t xml:space="preserve"> Le tableau reflète un état provisoire. Il sera actualisé après la procédure d</w:t>
      </w:r>
      <w:r w:rsidR="00986D8B">
        <w:rPr>
          <w:lang w:val="fr-CH"/>
        </w:rPr>
        <w:t>e consultation</w:t>
      </w:r>
      <w:r w:rsidR="006122B2">
        <w:rPr>
          <w:lang w:val="fr-CH"/>
        </w:rPr>
        <w:t>.</w:t>
      </w:r>
    </w:p>
    <w:p w14:paraId="2D3A0AA8" w14:textId="77777777" w:rsidR="00AC7BFF" w:rsidRPr="00501D1D" w:rsidRDefault="00AC7BFF" w:rsidP="00AC7BFF">
      <w:pPr>
        <w:rPr>
          <w:lang w:val="fr-CH"/>
        </w:rPr>
      </w:pPr>
    </w:p>
    <w:tbl>
      <w:tblPr>
        <w:tblStyle w:val="Tabellenraster"/>
        <w:tblW w:w="9634" w:type="dxa"/>
        <w:tblInd w:w="-5" w:type="dxa"/>
        <w:tblLook w:val="04A0" w:firstRow="1" w:lastRow="0" w:firstColumn="1" w:lastColumn="0" w:noHBand="0" w:noVBand="1"/>
      </w:tblPr>
      <w:tblGrid>
        <w:gridCol w:w="1202"/>
        <w:gridCol w:w="1203"/>
        <w:gridCol w:w="1099"/>
        <w:gridCol w:w="1099"/>
        <w:gridCol w:w="1099"/>
        <w:gridCol w:w="1310"/>
        <w:gridCol w:w="1311"/>
        <w:gridCol w:w="1311"/>
      </w:tblGrid>
      <w:tr w:rsidR="00AC7BFF" w:rsidRPr="003F1EDB" w14:paraId="06314595" w14:textId="77777777" w:rsidTr="00200775">
        <w:tc>
          <w:tcPr>
            <w:tcW w:w="2405" w:type="dxa"/>
            <w:gridSpan w:val="2"/>
            <w:shd w:val="clear" w:color="auto" w:fill="BFBFBF" w:themeFill="background1" w:themeFillShade="BF"/>
            <w:vAlign w:val="center"/>
          </w:tcPr>
          <w:p w14:paraId="26B79936" w14:textId="1B5743B1" w:rsidR="00AC7BFF" w:rsidRPr="00AC7BFF" w:rsidRDefault="00AC7BFF" w:rsidP="008B563A">
            <w:pPr>
              <w:spacing w:before="120"/>
              <w:jc w:val="center"/>
              <w:rPr>
                <w:b/>
                <w:bCs/>
                <w:lang w:val="fr-CH"/>
              </w:rPr>
            </w:pPr>
            <w:r>
              <w:rPr>
                <w:b/>
                <w:bCs/>
                <w:lang w:val="fr-CH"/>
              </w:rPr>
              <w:t>Données du sol selon</w:t>
            </w:r>
            <w:r w:rsidRPr="00AC7BFF">
              <w:rPr>
                <w:b/>
                <w:bCs/>
                <w:lang w:val="fr-CH"/>
              </w:rPr>
              <w:t xml:space="preserve"> </w:t>
            </w:r>
            <w:r w:rsidR="008B563A">
              <w:rPr>
                <w:b/>
                <w:bCs/>
                <w:lang w:val="fr-CH"/>
              </w:rPr>
              <w:t>P5</w:t>
            </w:r>
          </w:p>
        </w:tc>
        <w:tc>
          <w:tcPr>
            <w:tcW w:w="7229" w:type="dxa"/>
            <w:gridSpan w:val="6"/>
            <w:shd w:val="clear" w:color="auto" w:fill="BFBFBF" w:themeFill="background1" w:themeFillShade="BF"/>
            <w:vAlign w:val="center"/>
          </w:tcPr>
          <w:p w14:paraId="259953D1" w14:textId="5F6BBDBA" w:rsidR="00AC7BFF" w:rsidRPr="00AC7BFF" w:rsidRDefault="008B563A" w:rsidP="00200775">
            <w:pPr>
              <w:spacing w:before="120"/>
              <w:jc w:val="center"/>
              <w:rPr>
                <w:b/>
                <w:bCs/>
                <w:lang w:val="fr-CH"/>
              </w:rPr>
            </w:pPr>
            <w:r>
              <w:rPr>
                <w:b/>
                <w:bCs/>
                <w:lang w:val="fr-CH"/>
              </w:rPr>
              <w:t>Pas de d</w:t>
            </w:r>
            <w:r w:rsidR="00AC7BFF">
              <w:rPr>
                <w:b/>
                <w:bCs/>
                <w:lang w:val="fr-CH"/>
              </w:rPr>
              <w:t>onnées du sol selon</w:t>
            </w:r>
            <w:r w:rsidR="00200775">
              <w:rPr>
                <w:b/>
                <w:bCs/>
                <w:lang w:val="fr-CH"/>
              </w:rPr>
              <w:t xml:space="preserve"> </w:t>
            </w:r>
            <w:r w:rsidR="00200775">
              <w:rPr>
                <w:b/>
                <w:bCs/>
                <w:lang w:val="fr-CH"/>
              </w:rPr>
              <w:fldChar w:fldCharType="begin"/>
            </w:r>
            <w:r w:rsidR="00200775">
              <w:rPr>
                <w:b/>
                <w:bCs/>
                <w:lang w:val="fr-CH"/>
              </w:rPr>
              <w:instrText xml:space="preserve"> REF _Ref532995786 \r \h </w:instrText>
            </w:r>
            <w:r w:rsidR="00200775">
              <w:rPr>
                <w:b/>
                <w:bCs/>
                <w:lang w:val="fr-CH"/>
              </w:rPr>
            </w:r>
            <w:r w:rsidR="00200775">
              <w:rPr>
                <w:b/>
                <w:bCs/>
                <w:lang w:val="fr-CH"/>
              </w:rPr>
              <w:fldChar w:fldCharType="separate"/>
            </w:r>
            <w:r w:rsidR="00A65A9C">
              <w:rPr>
                <w:b/>
                <w:bCs/>
                <w:lang w:val="fr-CH"/>
              </w:rPr>
              <w:t>P5</w:t>
            </w:r>
            <w:r w:rsidR="00200775">
              <w:rPr>
                <w:b/>
                <w:bCs/>
                <w:lang w:val="fr-CH"/>
              </w:rPr>
              <w:fldChar w:fldCharType="end"/>
            </w:r>
          </w:p>
        </w:tc>
      </w:tr>
      <w:tr w:rsidR="00AC7BFF" w:rsidRPr="003F1EDB" w14:paraId="12D1ABC6" w14:textId="77777777" w:rsidTr="00200775">
        <w:tc>
          <w:tcPr>
            <w:tcW w:w="2405" w:type="dxa"/>
            <w:gridSpan w:val="2"/>
            <w:tcBorders>
              <w:bottom w:val="single" w:sz="4" w:space="0" w:color="auto"/>
            </w:tcBorders>
            <w:shd w:val="clear" w:color="auto" w:fill="BFBFBF" w:themeFill="background1" w:themeFillShade="BF"/>
            <w:vAlign w:val="center"/>
          </w:tcPr>
          <w:p w14:paraId="2B4711A3" w14:textId="56C875D3" w:rsidR="00AC7BFF" w:rsidRPr="00AC7BFF" w:rsidDel="00C5472E" w:rsidRDefault="009132B8">
            <w:pPr>
              <w:spacing w:before="120"/>
              <w:jc w:val="center"/>
              <w:rPr>
                <w:b/>
                <w:bCs/>
                <w:lang w:val="fr-CH"/>
              </w:rPr>
            </w:pPr>
            <w:r>
              <w:rPr>
                <w:b/>
                <w:bCs/>
                <w:lang w:val="fr-CH"/>
              </w:rPr>
              <w:t xml:space="preserve">Commerce </w:t>
            </w:r>
            <w:r w:rsidR="00AC7BFF">
              <w:rPr>
                <w:b/>
                <w:bCs/>
                <w:lang w:val="fr-CH"/>
              </w:rPr>
              <w:t>autorisé</w:t>
            </w:r>
          </w:p>
        </w:tc>
        <w:tc>
          <w:tcPr>
            <w:tcW w:w="3297" w:type="dxa"/>
            <w:gridSpan w:val="3"/>
            <w:tcBorders>
              <w:bottom w:val="single" w:sz="4" w:space="0" w:color="auto"/>
            </w:tcBorders>
            <w:shd w:val="clear" w:color="auto" w:fill="BFBFBF" w:themeFill="background1" w:themeFillShade="BF"/>
            <w:vAlign w:val="center"/>
          </w:tcPr>
          <w:p w14:paraId="607C7002" w14:textId="7D9246E8" w:rsidR="00AC7BFF" w:rsidRPr="00AC7BFF" w:rsidRDefault="00AC7BFF" w:rsidP="008C0E14">
            <w:pPr>
              <w:spacing w:before="120"/>
              <w:jc w:val="center"/>
              <w:rPr>
                <w:b/>
                <w:bCs/>
                <w:lang w:val="fr-CH"/>
              </w:rPr>
            </w:pPr>
            <w:r>
              <w:rPr>
                <w:b/>
                <w:bCs/>
                <w:lang w:val="fr-CH"/>
              </w:rPr>
              <w:t>Réglementation de la compensation existante conformément au tableau</w:t>
            </w:r>
            <w:r w:rsidRPr="00AC7BFF">
              <w:rPr>
                <w:b/>
                <w:lang w:val="fr-CH"/>
              </w:rPr>
              <w:t xml:space="preserve"> </w:t>
            </w:r>
            <w:r w:rsidRPr="00AC7BFF">
              <w:rPr>
                <w:b/>
                <w:lang w:val="fr-CH"/>
              </w:rPr>
              <w:fldChar w:fldCharType="begin"/>
            </w:r>
            <w:r w:rsidRPr="00AC7BFF">
              <w:rPr>
                <w:b/>
                <w:lang w:val="fr-CH"/>
              </w:rPr>
              <w:instrText xml:space="preserve"> REF _Ref527035354 \r \h  \* MERGEFORMAT </w:instrText>
            </w:r>
            <w:r w:rsidRPr="00AC7BFF">
              <w:rPr>
                <w:b/>
                <w:lang w:val="fr-CH"/>
              </w:rPr>
            </w:r>
            <w:r w:rsidRPr="00AC7BFF">
              <w:rPr>
                <w:b/>
                <w:lang w:val="fr-CH"/>
              </w:rPr>
              <w:fldChar w:fldCharType="separate"/>
            </w:r>
            <w:r w:rsidR="00A65A9C">
              <w:rPr>
                <w:b/>
                <w:lang w:val="fr-CH"/>
              </w:rPr>
              <w:t>P8</w:t>
            </w:r>
            <w:r w:rsidRPr="00AC7BFF">
              <w:rPr>
                <w:b/>
                <w:lang w:val="fr-CH"/>
              </w:rPr>
              <w:fldChar w:fldCharType="end"/>
            </w:r>
            <w:r w:rsidRPr="00AC7BFF">
              <w:rPr>
                <w:b/>
                <w:lang w:val="fr-CH"/>
              </w:rPr>
              <w:t xml:space="preserve"> </w:t>
            </w:r>
          </w:p>
        </w:tc>
        <w:tc>
          <w:tcPr>
            <w:tcW w:w="3932" w:type="dxa"/>
            <w:gridSpan w:val="3"/>
            <w:tcBorders>
              <w:bottom w:val="single" w:sz="4" w:space="0" w:color="auto"/>
            </w:tcBorders>
            <w:shd w:val="clear" w:color="auto" w:fill="BFBFBF" w:themeFill="background1" w:themeFillShade="BF"/>
          </w:tcPr>
          <w:p w14:paraId="20E1D5BE" w14:textId="7DF0DB12" w:rsidR="00AC7BFF" w:rsidRPr="00AC7BFF" w:rsidRDefault="00AC7BFF" w:rsidP="008C0E14">
            <w:pPr>
              <w:spacing w:before="120"/>
              <w:jc w:val="center"/>
              <w:rPr>
                <w:b/>
                <w:bCs/>
                <w:lang w:val="fr-CH"/>
              </w:rPr>
            </w:pPr>
            <w:r>
              <w:rPr>
                <w:b/>
                <w:bCs/>
                <w:lang w:val="fr-CH"/>
              </w:rPr>
              <w:t>Introduire une réglementation de la compensation</w:t>
            </w:r>
          </w:p>
        </w:tc>
      </w:tr>
      <w:tr w:rsidR="00200775" w14:paraId="2C45F476" w14:textId="77777777" w:rsidTr="00200775">
        <w:trPr>
          <w:trHeight w:val="1580"/>
        </w:trPr>
        <w:tc>
          <w:tcPr>
            <w:tcW w:w="1202" w:type="dxa"/>
            <w:tcBorders>
              <w:right w:val="nil"/>
            </w:tcBorders>
          </w:tcPr>
          <w:p w14:paraId="10B784ED" w14:textId="77777777" w:rsidR="00200775" w:rsidRPr="00501D1D" w:rsidRDefault="00200775" w:rsidP="008C0E14">
            <w:pPr>
              <w:spacing w:before="120"/>
              <w:rPr>
                <w:lang w:val="it-CH"/>
              </w:rPr>
            </w:pPr>
            <w:r w:rsidRPr="00501D1D">
              <w:rPr>
                <w:lang w:val="it-CH"/>
              </w:rPr>
              <w:t>ZH</w:t>
            </w:r>
          </w:p>
          <w:p w14:paraId="6B734233" w14:textId="77777777" w:rsidR="00200775" w:rsidRPr="00501D1D" w:rsidRDefault="00200775" w:rsidP="008C0E14">
            <w:pPr>
              <w:spacing w:before="120"/>
              <w:rPr>
                <w:lang w:val="it-CH"/>
              </w:rPr>
            </w:pPr>
            <w:r w:rsidRPr="00501D1D">
              <w:rPr>
                <w:lang w:val="it-CH"/>
              </w:rPr>
              <w:t>BL</w:t>
            </w:r>
          </w:p>
          <w:p w14:paraId="18C9E114" w14:textId="77777777" w:rsidR="00200775" w:rsidRPr="00501D1D" w:rsidRDefault="00200775" w:rsidP="008C0E14">
            <w:pPr>
              <w:spacing w:before="120"/>
              <w:rPr>
                <w:lang w:val="it-CH"/>
              </w:rPr>
            </w:pPr>
            <w:r w:rsidRPr="00501D1D">
              <w:rPr>
                <w:lang w:val="it-CH"/>
              </w:rPr>
              <w:t>BS</w:t>
            </w:r>
          </w:p>
        </w:tc>
        <w:tc>
          <w:tcPr>
            <w:tcW w:w="1203" w:type="dxa"/>
            <w:tcBorders>
              <w:left w:val="nil"/>
            </w:tcBorders>
          </w:tcPr>
          <w:p w14:paraId="1BA78AB6" w14:textId="77777777" w:rsidR="00200775" w:rsidRPr="00501D1D" w:rsidRDefault="00200775" w:rsidP="008C0E14">
            <w:pPr>
              <w:spacing w:before="120"/>
              <w:rPr>
                <w:lang w:val="it-CH"/>
              </w:rPr>
            </w:pPr>
            <w:r w:rsidRPr="00501D1D">
              <w:rPr>
                <w:lang w:val="it-CH"/>
              </w:rPr>
              <w:t>AI</w:t>
            </w:r>
          </w:p>
          <w:p w14:paraId="00647CD7" w14:textId="77777777" w:rsidR="00200775" w:rsidRDefault="00200775" w:rsidP="00200775">
            <w:pPr>
              <w:spacing w:before="120"/>
              <w:rPr>
                <w:lang w:val="it-CH"/>
              </w:rPr>
            </w:pPr>
            <w:r w:rsidRPr="00501D1D">
              <w:rPr>
                <w:lang w:val="it-CH"/>
              </w:rPr>
              <w:t>ZG</w:t>
            </w:r>
          </w:p>
          <w:p w14:paraId="1D51B802" w14:textId="7BBF992E" w:rsidR="00200775" w:rsidRPr="00501D1D" w:rsidRDefault="00200775" w:rsidP="00200775">
            <w:pPr>
              <w:spacing w:before="120"/>
              <w:rPr>
                <w:lang w:val="it-CH"/>
              </w:rPr>
            </w:pPr>
            <w:r w:rsidRPr="00501D1D">
              <w:rPr>
                <w:lang w:val="it-CH"/>
              </w:rPr>
              <w:t>GL</w:t>
            </w:r>
          </w:p>
          <w:p w14:paraId="44882DD7" w14:textId="70733E30" w:rsidR="00200775" w:rsidRPr="00501D1D" w:rsidRDefault="00200775" w:rsidP="008C0E14">
            <w:pPr>
              <w:spacing w:before="120"/>
              <w:rPr>
                <w:lang w:val="it-CH"/>
              </w:rPr>
            </w:pPr>
          </w:p>
        </w:tc>
        <w:tc>
          <w:tcPr>
            <w:tcW w:w="1099" w:type="dxa"/>
            <w:tcBorders>
              <w:right w:val="nil"/>
            </w:tcBorders>
          </w:tcPr>
          <w:p w14:paraId="3753683F" w14:textId="77777777" w:rsidR="00200775" w:rsidRPr="00AC7BFF" w:rsidRDefault="00200775" w:rsidP="008C0E14">
            <w:pPr>
              <w:spacing w:before="120"/>
              <w:rPr>
                <w:lang w:val="fr-CH"/>
              </w:rPr>
            </w:pPr>
            <w:r w:rsidRPr="00AC7BFF">
              <w:rPr>
                <w:lang w:val="fr-CH"/>
              </w:rPr>
              <w:t>VS</w:t>
            </w:r>
          </w:p>
          <w:p w14:paraId="15D31C3F" w14:textId="77777777" w:rsidR="00200775" w:rsidRPr="00AC7BFF" w:rsidRDefault="00200775" w:rsidP="008C0E14">
            <w:pPr>
              <w:spacing w:before="120"/>
              <w:rPr>
                <w:lang w:val="fr-CH"/>
              </w:rPr>
            </w:pPr>
            <w:r w:rsidRPr="00AC7BFF">
              <w:rPr>
                <w:lang w:val="fr-CH"/>
              </w:rPr>
              <w:t>AR</w:t>
            </w:r>
          </w:p>
          <w:p w14:paraId="5EEF4AD1" w14:textId="77777777" w:rsidR="00200775" w:rsidRPr="00AC7BFF" w:rsidRDefault="00200775" w:rsidP="008C0E14">
            <w:pPr>
              <w:spacing w:before="120"/>
              <w:rPr>
                <w:lang w:val="fr-CH"/>
              </w:rPr>
            </w:pPr>
            <w:r w:rsidRPr="00AC7BFF">
              <w:rPr>
                <w:lang w:val="fr-CH"/>
              </w:rPr>
              <w:t>LU</w:t>
            </w:r>
          </w:p>
          <w:p w14:paraId="1D161B08" w14:textId="77777777" w:rsidR="00200775" w:rsidRPr="00AC7BFF" w:rsidRDefault="00200775" w:rsidP="008C0E14">
            <w:pPr>
              <w:spacing w:before="120"/>
              <w:rPr>
                <w:lang w:val="fr-CH"/>
              </w:rPr>
            </w:pPr>
          </w:p>
        </w:tc>
        <w:tc>
          <w:tcPr>
            <w:tcW w:w="1099" w:type="dxa"/>
            <w:tcBorders>
              <w:left w:val="nil"/>
              <w:right w:val="nil"/>
            </w:tcBorders>
          </w:tcPr>
          <w:p w14:paraId="7417B2FB" w14:textId="77777777" w:rsidR="00200775" w:rsidRPr="00AC7BFF" w:rsidRDefault="00200775" w:rsidP="008C0E14">
            <w:pPr>
              <w:spacing w:before="120"/>
              <w:rPr>
                <w:lang w:val="fr-CH"/>
              </w:rPr>
            </w:pPr>
            <w:r w:rsidRPr="00AC7BFF">
              <w:rPr>
                <w:lang w:val="fr-CH"/>
              </w:rPr>
              <w:t>UR</w:t>
            </w:r>
          </w:p>
          <w:p w14:paraId="4C3A4669" w14:textId="77777777" w:rsidR="00200775" w:rsidRPr="00AC7BFF" w:rsidRDefault="00200775" w:rsidP="008C0E14">
            <w:pPr>
              <w:spacing w:before="120"/>
              <w:rPr>
                <w:lang w:val="fr-CH"/>
              </w:rPr>
            </w:pPr>
            <w:r w:rsidRPr="00AC7BFF">
              <w:rPr>
                <w:lang w:val="fr-CH"/>
              </w:rPr>
              <w:t>BE</w:t>
            </w:r>
          </w:p>
          <w:p w14:paraId="72AC1477" w14:textId="77777777" w:rsidR="00200775" w:rsidRPr="00AC7BFF" w:rsidRDefault="00200775" w:rsidP="008C0E14">
            <w:pPr>
              <w:spacing w:before="120"/>
              <w:rPr>
                <w:lang w:val="fr-CH"/>
              </w:rPr>
            </w:pPr>
            <w:r w:rsidRPr="00AC7BFF">
              <w:rPr>
                <w:lang w:val="fr-CH"/>
              </w:rPr>
              <w:t>SH</w:t>
            </w:r>
          </w:p>
          <w:p w14:paraId="4E9A0FC4" w14:textId="77777777" w:rsidR="00200775" w:rsidRPr="00AC7BFF" w:rsidRDefault="00200775" w:rsidP="008C0E14">
            <w:pPr>
              <w:spacing w:before="120"/>
              <w:rPr>
                <w:lang w:val="fr-CH"/>
              </w:rPr>
            </w:pPr>
          </w:p>
        </w:tc>
        <w:tc>
          <w:tcPr>
            <w:tcW w:w="1099" w:type="dxa"/>
            <w:tcBorders>
              <w:left w:val="nil"/>
            </w:tcBorders>
          </w:tcPr>
          <w:p w14:paraId="075BB9D5" w14:textId="77777777" w:rsidR="00200775" w:rsidRPr="00AC7BFF" w:rsidRDefault="00200775" w:rsidP="008C0E14">
            <w:pPr>
              <w:spacing w:before="120"/>
              <w:rPr>
                <w:lang w:val="fr-CH"/>
              </w:rPr>
            </w:pPr>
            <w:r w:rsidRPr="00AC7BFF">
              <w:rPr>
                <w:lang w:val="fr-CH"/>
              </w:rPr>
              <w:t>NE</w:t>
            </w:r>
          </w:p>
          <w:p w14:paraId="64F4DBDF" w14:textId="77777777" w:rsidR="00200775" w:rsidRPr="00AC7BFF" w:rsidRDefault="00200775" w:rsidP="008C0E14">
            <w:pPr>
              <w:spacing w:before="120"/>
              <w:rPr>
                <w:lang w:val="fr-CH"/>
              </w:rPr>
            </w:pPr>
            <w:r w:rsidRPr="00AC7BFF">
              <w:rPr>
                <w:lang w:val="fr-CH"/>
              </w:rPr>
              <w:t>NW</w:t>
            </w:r>
          </w:p>
          <w:p w14:paraId="20A3DC65" w14:textId="77777777" w:rsidR="00200775" w:rsidRPr="00AC7BFF" w:rsidRDefault="00200775" w:rsidP="008C0E14">
            <w:pPr>
              <w:spacing w:before="120"/>
              <w:rPr>
                <w:lang w:val="fr-CH"/>
              </w:rPr>
            </w:pPr>
            <w:r w:rsidRPr="00AC7BFF">
              <w:rPr>
                <w:lang w:val="fr-CH"/>
              </w:rPr>
              <w:t>FR</w:t>
            </w:r>
          </w:p>
          <w:p w14:paraId="494AD520" w14:textId="77777777" w:rsidR="00200775" w:rsidRPr="00AC7BFF" w:rsidRDefault="00200775" w:rsidP="008C0E14">
            <w:pPr>
              <w:spacing w:before="120"/>
              <w:rPr>
                <w:lang w:val="fr-CH"/>
              </w:rPr>
            </w:pPr>
          </w:p>
        </w:tc>
        <w:tc>
          <w:tcPr>
            <w:tcW w:w="1310" w:type="dxa"/>
            <w:tcBorders>
              <w:right w:val="nil"/>
            </w:tcBorders>
          </w:tcPr>
          <w:p w14:paraId="56DEFC93" w14:textId="77777777" w:rsidR="00200775" w:rsidRPr="00AC7BFF" w:rsidRDefault="00200775" w:rsidP="008C0E14">
            <w:pPr>
              <w:spacing w:before="120"/>
              <w:rPr>
                <w:lang w:val="fr-CH"/>
              </w:rPr>
            </w:pPr>
            <w:r w:rsidRPr="00AC7BFF">
              <w:rPr>
                <w:lang w:val="fr-CH"/>
              </w:rPr>
              <w:t>VD</w:t>
            </w:r>
          </w:p>
          <w:p w14:paraId="438C65F9" w14:textId="77777777" w:rsidR="00200775" w:rsidRPr="00AC7BFF" w:rsidRDefault="00200775" w:rsidP="008C0E14">
            <w:pPr>
              <w:spacing w:before="120"/>
              <w:rPr>
                <w:lang w:val="fr-CH"/>
              </w:rPr>
            </w:pPr>
            <w:r w:rsidRPr="00AC7BFF">
              <w:rPr>
                <w:lang w:val="fr-CH"/>
              </w:rPr>
              <w:t>TG</w:t>
            </w:r>
          </w:p>
          <w:p w14:paraId="7C30E1BD" w14:textId="77777777" w:rsidR="00200775" w:rsidRPr="00AC7BFF" w:rsidRDefault="00200775" w:rsidP="008C0E14">
            <w:pPr>
              <w:spacing w:before="120"/>
              <w:rPr>
                <w:lang w:val="fr-CH"/>
              </w:rPr>
            </w:pPr>
            <w:r w:rsidRPr="00AC7BFF">
              <w:rPr>
                <w:lang w:val="fr-CH"/>
              </w:rPr>
              <w:t>GR</w:t>
            </w:r>
          </w:p>
          <w:p w14:paraId="59BBD599" w14:textId="30643894" w:rsidR="00200775" w:rsidRPr="00AC7BFF" w:rsidRDefault="00200775" w:rsidP="00200775">
            <w:pPr>
              <w:rPr>
                <w:lang w:val="fr-CH"/>
              </w:rPr>
            </w:pPr>
            <w:r>
              <w:rPr>
                <w:lang w:val="fr-CH"/>
              </w:rPr>
              <w:t>TI</w:t>
            </w:r>
          </w:p>
        </w:tc>
        <w:tc>
          <w:tcPr>
            <w:tcW w:w="1311" w:type="dxa"/>
            <w:tcBorders>
              <w:left w:val="nil"/>
              <w:right w:val="nil"/>
            </w:tcBorders>
          </w:tcPr>
          <w:p w14:paraId="15FE255A" w14:textId="77777777" w:rsidR="00200775" w:rsidRPr="00AC7BFF" w:rsidRDefault="00200775" w:rsidP="00200775">
            <w:pPr>
              <w:spacing w:before="120"/>
              <w:rPr>
                <w:lang w:val="fr-CH"/>
              </w:rPr>
            </w:pPr>
            <w:r w:rsidRPr="00AC7BFF">
              <w:rPr>
                <w:lang w:val="fr-CH"/>
              </w:rPr>
              <w:t>OW</w:t>
            </w:r>
          </w:p>
          <w:p w14:paraId="51EBAE35" w14:textId="77777777" w:rsidR="00200775" w:rsidRPr="00AC7BFF" w:rsidRDefault="00200775" w:rsidP="008C0E14">
            <w:pPr>
              <w:spacing w:before="120"/>
              <w:rPr>
                <w:lang w:val="fr-CH"/>
              </w:rPr>
            </w:pPr>
            <w:r w:rsidRPr="00AC7BFF">
              <w:rPr>
                <w:lang w:val="fr-CH"/>
              </w:rPr>
              <w:t>SZ</w:t>
            </w:r>
          </w:p>
          <w:p w14:paraId="1BD584C4" w14:textId="77777777" w:rsidR="00200775" w:rsidRDefault="00200775" w:rsidP="008C0E14">
            <w:pPr>
              <w:spacing w:before="120"/>
              <w:rPr>
                <w:lang w:val="fr-CH"/>
              </w:rPr>
            </w:pPr>
            <w:r w:rsidRPr="00AC7BFF">
              <w:rPr>
                <w:lang w:val="fr-CH"/>
              </w:rPr>
              <w:t>AG</w:t>
            </w:r>
          </w:p>
          <w:p w14:paraId="06338CD5" w14:textId="7C23CE44" w:rsidR="00200775" w:rsidRPr="00AC7BFF" w:rsidRDefault="00200775" w:rsidP="008C0E14">
            <w:pPr>
              <w:spacing w:before="120"/>
              <w:rPr>
                <w:lang w:val="fr-CH"/>
              </w:rPr>
            </w:pPr>
            <w:r>
              <w:rPr>
                <w:lang w:val="fr-CH"/>
              </w:rPr>
              <w:t>SG</w:t>
            </w:r>
          </w:p>
        </w:tc>
        <w:tc>
          <w:tcPr>
            <w:tcW w:w="1311" w:type="dxa"/>
            <w:tcBorders>
              <w:left w:val="nil"/>
            </w:tcBorders>
          </w:tcPr>
          <w:p w14:paraId="2D838D66" w14:textId="25F369EE" w:rsidR="00200775" w:rsidRPr="00AC7BFF" w:rsidRDefault="00200775" w:rsidP="008C0E14">
            <w:pPr>
              <w:spacing w:before="120"/>
              <w:rPr>
                <w:lang w:val="fr-CH"/>
              </w:rPr>
            </w:pPr>
            <w:r w:rsidRPr="00AC7BFF">
              <w:rPr>
                <w:lang w:val="fr-CH"/>
              </w:rPr>
              <w:t>GE</w:t>
            </w:r>
          </w:p>
          <w:p w14:paraId="2AD444BE" w14:textId="77777777" w:rsidR="00200775" w:rsidRPr="00AC7BFF" w:rsidRDefault="00200775" w:rsidP="008C0E14">
            <w:pPr>
              <w:spacing w:before="120"/>
              <w:rPr>
                <w:lang w:val="fr-CH"/>
              </w:rPr>
            </w:pPr>
            <w:r w:rsidRPr="00AC7BFF">
              <w:rPr>
                <w:lang w:val="fr-CH"/>
              </w:rPr>
              <w:t>SO</w:t>
            </w:r>
          </w:p>
          <w:p w14:paraId="2C5DF9D4" w14:textId="41C8E498" w:rsidR="00200775" w:rsidRPr="00AC7BFF" w:rsidRDefault="00200775" w:rsidP="008C0E14">
            <w:pPr>
              <w:spacing w:before="120"/>
              <w:rPr>
                <w:lang w:val="fr-CH"/>
              </w:rPr>
            </w:pPr>
            <w:r>
              <w:rPr>
                <w:lang w:val="fr-CH"/>
              </w:rPr>
              <w:t>JU</w:t>
            </w:r>
          </w:p>
        </w:tc>
      </w:tr>
    </w:tbl>
    <w:p w14:paraId="72E5B461" w14:textId="1387F264" w:rsidR="000817CC" w:rsidRPr="00572D0C" w:rsidRDefault="000817CC" w:rsidP="007D024A">
      <w:pPr>
        <w:rPr>
          <w:lang w:val="fr-CH"/>
        </w:rPr>
      </w:pPr>
    </w:p>
    <w:p w14:paraId="753F570C" w14:textId="0636407F" w:rsidR="00427CE8" w:rsidRPr="00572D0C" w:rsidRDefault="00105CD2" w:rsidP="008778D4">
      <w:pPr>
        <w:pStyle w:val="Listenabsatz"/>
        <w:numPr>
          <w:ilvl w:val="0"/>
          <w:numId w:val="29"/>
        </w:numPr>
        <w:shd w:val="clear" w:color="auto" w:fill="D9D9D9" w:themeFill="background1" w:themeFillShade="D9"/>
        <w:spacing w:before="240"/>
        <w:ind w:left="567" w:hanging="567"/>
        <w:rPr>
          <w:b/>
          <w:i w:val="0"/>
          <w:lang w:val="fr-CH"/>
        </w:rPr>
      </w:pPr>
      <w:bookmarkStart w:id="139" w:name="_Ref527035316"/>
      <w:r>
        <w:rPr>
          <w:b/>
          <w:bCs/>
          <w:i w:val="0"/>
          <w:lang w:val="fr-CH"/>
        </w:rPr>
        <w:t>Les c</w:t>
      </w:r>
      <w:r w:rsidR="008778D4" w:rsidRPr="00572D0C">
        <w:rPr>
          <w:b/>
          <w:bCs/>
          <w:i w:val="0"/>
          <w:lang w:val="fr-CH"/>
        </w:rPr>
        <w:t>anton</w:t>
      </w:r>
      <w:bookmarkEnd w:id="139"/>
      <w:r>
        <w:rPr>
          <w:b/>
          <w:bCs/>
          <w:i w:val="0"/>
          <w:lang w:val="fr-CH"/>
        </w:rPr>
        <w:t xml:space="preserve">s peuvent </w:t>
      </w:r>
      <w:r w:rsidR="00CC380D">
        <w:rPr>
          <w:b/>
          <w:bCs/>
          <w:i w:val="0"/>
          <w:lang w:val="fr-CH"/>
        </w:rPr>
        <w:t xml:space="preserve">faire commerce de </w:t>
      </w:r>
      <w:r w:rsidR="00AC7BFF">
        <w:rPr>
          <w:b/>
          <w:bCs/>
          <w:i w:val="0"/>
          <w:lang w:val="fr-CH"/>
        </w:rPr>
        <w:t xml:space="preserve">leurs contingents </w:t>
      </w:r>
      <w:r w:rsidR="00CC380D">
        <w:rPr>
          <w:b/>
          <w:bCs/>
          <w:i w:val="0"/>
          <w:lang w:val="fr-CH"/>
        </w:rPr>
        <w:t xml:space="preserve">de SDA </w:t>
      </w:r>
      <w:r>
        <w:rPr>
          <w:b/>
          <w:bCs/>
          <w:i w:val="0"/>
          <w:lang w:val="fr-CH"/>
        </w:rPr>
        <w:t>si leur</w:t>
      </w:r>
      <w:r w:rsidR="00AC7BFF">
        <w:rPr>
          <w:b/>
          <w:bCs/>
          <w:i w:val="0"/>
          <w:lang w:val="fr-CH"/>
        </w:rPr>
        <w:t>s</w:t>
      </w:r>
      <w:r>
        <w:rPr>
          <w:b/>
          <w:bCs/>
          <w:i w:val="0"/>
          <w:lang w:val="fr-CH"/>
        </w:rPr>
        <w:t xml:space="preserve"> inventaire</w:t>
      </w:r>
      <w:r w:rsidR="00AC7BFF">
        <w:rPr>
          <w:b/>
          <w:bCs/>
          <w:i w:val="0"/>
          <w:lang w:val="fr-CH"/>
        </w:rPr>
        <w:t>s</w:t>
      </w:r>
      <w:r>
        <w:rPr>
          <w:b/>
          <w:bCs/>
          <w:i w:val="0"/>
          <w:lang w:val="fr-CH"/>
        </w:rPr>
        <w:t xml:space="preserve"> de SDA </w:t>
      </w:r>
      <w:r w:rsidR="00AC7BFF">
        <w:rPr>
          <w:b/>
          <w:bCs/>
          <w:i w:val="0"/>
          <w:lang w:val="fr-CH"/>
        </w:rPr>
        <w:t xml:space="preserve">sont </w:t>
      </w:r>
      <w:r>
        <w:rPr>
          <w:b/>
          <w:bCs/>
          <w:i w:val="0"/>
          <w:lang w:val="fr-CH"/>
        </w:rPr>
        <w:t>fondé</w:t>
      </w:r>
      <w:r w:rsidR="00AC7BFF">
        <w:rPr>
          <w:b/>
          <w:bCs/>
          <w:i w:val="0"/>
          <w:lang w:val="fr-CH"/>
        </w:rPr>
        <w:t>s</w:t>
      </w:r>
      <w:r>
        <w:rPr>
          <w:b/>
          <w:bCs/>
          <w:i w:val="0"/>
          <w:lang w:val="fr-CH"/>
        </w:rPr>
        <w:t xml:space="preserve"> sur une base de données fiable.</w:t>
      </w:r>
    </w:p>
    <w:p w14:paraId="6A71C703" w14:textId="4ACC153A" w:rsidR="00DE18A7" w:rsidRPr="00572D0C" w:rsidRDefault="00096AA1" w:rsidP="00DE18A7">
      <w:pPr>
        <w:rPr>
          <w:lang w:val="fr-CH"/>
        </w:rPr>
      </w:pPr>
      <w:r>
        <w:rPr>
          <w:lang w:val="fr-CH"/>
        </w:rPr>
        <w:t xml:space="preserve">Une base de données fiable signifie que les SDA sont en </w:t>
      </w:r>
      <w:r w:rsidR="00AC7BFF">
        <w:rPr>
          <w:lang w:val="fr-CH"/>
        </w:rPr>
        <w:t xml:space="preserve">grande </w:t>
      </w:r>
      <w:r>
        <w:rPr>
          <w:lang w:val="fr-CH"/>
        </w:rPr>
        <w:t>majorité cartographiées au moins selon la méthode</w:t>
      </w:r>
      <w:r w:rsidR="00DE18A7" w:rsidRPr="00572D0C">
        <w:rPr>
          <w:lang w:val="fr-CH"/>
        </w:rPr>
        <w:t xml:space="preserve"> FAL24.</w:t>
      </w:r>
    </w:p>
    <w:p w14:paraId="07929E1F" w14:textId="117CC710" w:rsidR="008778D4" w:rsidRPr="00572D0C" w:rsidRDefault="00105CD2" w:rsidP="008778D4">
      <w:pPr>
        <w:pStyle w:val="Listenabsatz"/>
        <w:numPr>
          <w:ilvl w:val="0"/>
          <w:numId w:val="29"/>
        </w:numPr>
        <w:shd w:val="clear" w:color="auto" w:fill="D9D9D9" w:themeFill="background1" w:themeFillShade="D9"/>
        <w:spacing w:before="240"/>
        <w:ind w:left="567" w:hanging="567"/>
        <w:rPr>
          <w:b/>
          <w:bCs/>
          <w:i w:val="0"/>
          <w:lang w:val="fr-CH"/>
        </w:rPr>
      </w:pPr>
      <w:bookmarkStart w:id="140" w:name="_Ref527035335"/>
      <w:r>
        <w:rPr>
          <w:b/>
          <w:bCs/>
          <w:i w:val="0"/>
          <w:lang w:val="fr-CH"/>
        </w:rPr>
        <w:t xml:space="preserve">Les cantons dont </w:t>
      </w:r>
      <w:r w:rsidR="00AC7BFF">
        <w:rPr>
          <w:b/>
          <w:bCs/>
          <w:i w:val="0"/>
          <w:lang w:val="fr-CH"/>
        </w:rPr>
        <w:t xml:space="preserve">les inventaires </w:t>
      </w:r>
      <w:r>
        <w:rPr>
          <w:b/>
          <w:bCs/>
          <w:i w:val="0"/>
          <w:lang w:val="fr-CH"/>
        </w:rPr>
        <w:t>de SDA repose</w:t>
      </w:r>
      <w:r w:rsidR="00AC7BFF">
        <w:rPr>
          <w:b/>
          <w:bCs/>
          <w:i w:val="0"/>
          <w:lang w:val="fr-CH"/>
        </w:rPr>
        <w:t>nt</w:t>
      </w:r>
      <w:r>
        <w:rPr>
          <w:b/>
          <w:bCs/>
          <w:i w:val="0"/>
          <w:lang w:val="fr-CH"/>
        </w:rPr>
        <w:t xml:space="preserve"> sur une base de données </w:t>
      </w:r>
      <w:r w:rsidR="00CC380D">
        <w:rPr>
          <w:b/>
          <w:bCs/>
          <w:i w:val="0"/>
          <w:lang w:val="fr-CH"/>
        </w:rPr>
        <w:t>très imprécise</w:t>
      </w:r>
      <w:r>
        <w:rPr>
          <w:b/>
          <w:bCs/>
          <w:i w:val="0"/>
          <w:lang w:val="fr-CH"/>
        </w:rPr>
        <w:t xml:space="preserve"> sont tenus d’introduire </w:t>
      </w:r>
      <w:r w:rsidR="00CC380D">
        <w:rPr>
          <w:b/>
          <w:bCs/>
          <w:i w:val="0"/>
          <w:lang w:val="fr-CH"/>
        </w:rPr>
        <w:t>une réglementation de la</w:t>
      </w:r>
      <w:r>
        <w:rPr>
          <w:b/>
          <w:bCs/>
          <w:i w:val="0"/>
          <w:lang w:val="fr-CH"/>
        </w:rPr>
        <w:t xml:space="preserve"> compensation pour leurs SDA</w:t>
      </w:r>
      <w:r w:rsidR="00AC7BFF">
        <w:rPr>
          <w:b/>
          <w:bCs/>
          <w:i w:val="0"/>
          <w:lang w:val="fr-CH"/>
        </w:rPr>
        <w:t xml:space="preserve"> inventoriées</w:t>
      </w:r>
      <w:r w:rsidR="008778D4" w:rsidRPr="00572D0C">
        <w:rPr>
          <w:b/>
          <w:bCs/>
          <w:i w:val="0"/>
          <w:lang w:val="fr-CH"/>
        </w:rPr>
        <w:t>.</w:t>
      </w:r>
      <w:bookmarkEnd w:id="140"/>
    </w:p>
    <w:p w14:paraId="0BD379E9" w14:textId="4603D9E7" w:rsidR="00BF3D6F" w:rsidRDefault="00BF3D6F" w:rsidP="00D923C8">
      <w:pPr>
        <w:rPr>
          <w:lang w:val="fr-CH"/>
        </w:rPr>
      </w:pPr>
      <w:r>
        <w:rPr>
          <w:lang w:val="fr-CH"/>
        </w:rPr>
        <w:t>Si la base de données des SDA n’est pas fiable, il est difficile d’identifier clairement les surfaces qui doivent être garanties</w:t>
      </w:r>
      <w:r w:rsidR="009132B8">
        <w:rPr>
          <w:lang w:val="fr-CH"/>
        </w:rPr>
        <w:t>, soit</w:t>
      </w:r>
      <w:r>
        <w:rPr>
          <w:lang w:val="fr-CH"/>
        </w:rPr>
        <w:t xml:space="preserve"> celles qui présentent réellement les meilleures qualités. Une réglementation de la compensation permet d’assurer une meilleure garantie des SDA. Les cantons qui disposent déjà d’une réglementation de la compensation n’ont pas besoin de renouveler celle-ci sur la base de ce principe. </w:t>
      </w:r>
    </w:p>
    <w:p w14:paraId="35991547" w14:textId="73BD0B9A" w:rsidR="00C21234" w:rsidRPr="00572D0C" w:rsidRDefault="00BF3D6F" w:rsidP="00D923C8">
      <w:pPr>
        <w:rPr>
          <w:lang w:val="fr-CH"/>
        </w:rPr>
      </w:pPr>
      <w:r>
        <w:rPr>
          <w:lang w:val="fr-CH"/>
        </w:rPr>
        <w:t>Dans l’idéal, les cantons introduisent une obligation de compensation pour toutes les SDA perdues. Il est important que la compensation tienne compte non seulement de la quantité</w:t>
      </w:r>
      <w:r w:rsidR="00B4622D">
        <w:rPr>
          <w:lang w:val="fr-CH"/>
        </w:rPr>
        <w:t>,</w:t>
      </w:r>
      <w:r>
        <w:rPr>
          <w:lang w:val="fr-CH"/>
        </w:rPr>
        <w:t xml:space="preserve"> mais aussi de la qualité des SDA perdues. De plus</w:t>
      </w:r>
      <w:r w:rsidR="00BA6165">
        <w:rPr>
          <w:lang w:val="fr-CH"/>
        </w:rPr>
        <w:t>,</w:t>
      </w:r>
      <w:r>
        <w:rPr>
          <w:lang w:val="fr-CH"/>
        </w:rPr>
        <w:t xml:space="preserve"> la réglem</w:t>
      </w:r>
      <w:r w:rsidR="00BA6165">
        <w:rPr>
          <w:lang w:val="fr-CH"/>
        </w:rPr>
        <w:t>enta</w:t>
      </w:r>
      <w:r>
        <w:rPr>
          <w:lang w:val="fr-CH"/>
        </w:rPr>
        <w:t>tion de la compensation</w:t>
      </w:r>
      <w:r w:rsidR="00BA6165">
        <w:rPr>
          <w:lang w:val="fr-CH"/>
        </w:rPr>
        <w:t xml:space="preserve"> </w:t>
      </w:r>
      <w:r w:rsidR="00AC7BFF">
        <w:rPr>
          <w:lang w:val="fr-CH"/>
        </w:rPr>
        <w:t xml:space="preserve">devrait </w:t>
      </w:r>
      <w:r w:rsidR="00BA6165">
        <w:rPr>
          <w:lang w:val="fr-CH"/>
        </w:rPr>
        <w:t>également être applicable aux constructions et installations agricoles conformes à</w:t>
      </w:r>
      <w:r w:rsidR="007F47FB">
        <w:rPr>
          <w:lang w:val="fr-CH"/>
        </w:rPr>
        <w:t xml:space="preserve"> l’affectation de</w:t>
      </w:r>
      <w:r w:rsidR="00BA6165">
        <w:rPr>
          <w:lang w:val="fr-CH"/>
        </w:rPr>
        <w:t xml:space="preserve"> la zone.</w:t>
      </w:r>
    </w:p>
    <w:bookmarkEnd w:id="137"/>
    <w:p w14:paraId="5F3B102F" w14:textId="0D0556CE" w:rsidR="00507407" w:rsidRPr="00572D0C" w:rsidRDefault="00507407" w:rsidP="00507407">
      <w:pPr>
        <w:rPr>
          <w:lang w:val="fr-CH"/>
        </w:rPr>
      </w:pPr>
    </w:p>
    <w:p w14:paraId="3F22B6F2" w14:textId="77777777" w:rsidR="0003622A" w:rsidRPr="00572D0C" w:rsidRDefault="0003622A">
      <w:pPr>
        <w:spacing w:after="160" w:line="259" w:lineRule="auto"/>
        <w:rPr>
          <w:rFonts w:cs="Arial"/>
          <w:b/>
          <w:bCs/>
          <w:kern w:val="32"/>
          <w:sz w:val="32"/>
          <w:szCs w:val="32"/>
          <w:lang w:val="fr-CH"/>
        </w:rPr>
      </w:pPr>
      <w:bookmarkStart w:id="141" w:name="_Toc523813329"/>
      <w:bookmarkStart w:id="142" w:name="_Toc525022628"/>
      <w:r w:rsidRPr="00572D0C">
        <w:rPr>
          <w:lang w:val="fr-CH"/>
        </w:rPr>
        <w:br w:type="page"/>
      </w:r>
    </w:p>
    <w:p w14:paraId="6A2F324E" w14:textId="63902281" w:rsidR="00C2065D" w:rsidRPr="00572D0C" w:rsidRDefault="00C2065D" w:rsidP="00C2065D">
      <w:pPr>
        <w:pStyle w:val="berschrift1"/>
        <w:rPr>
          <w:lang w:val="fr-CH"/>
        </w:rPr>
      </w:pPr>
      <w:bookmarkStart w:id="143" w:name="_Toc526946719"/>
      <w:bookmarkStart w:id="144" w:name="_Toc531193011"/>
      <w:bookmarkStart w:id="145" w:name="_Toc532996293"/>
      <w:r w:rsidRPr="00572D0C">
        <w:rPr>
          <w:lang w:val="fr-CH"/>
        </w:rPr>
        <w:lastRenderedPageBreak/>
        <w:t>A</w:t>
      </w:r>
      <w:r w:rsidR="00105CD2">
        <w:rPr>
          <w:lang w:val="fr-CH"/>
        </w:rPr>
        <w:t xml:space="preserve">pplication et mise en œuvre du </w:t>
      </w:r>
      <w:r w:rsidR="005A3CAA">
        <w:rPr>
          <w:lang w:val="fr-CH"/>
        </w:rPr>
        <w:t>P</w:t>
      </w:r>
      <w:r w:rsidR="00105CD2">
        <w:rPr>
          <w:lang w:val="fr-CH"/>
        </w:rPr>
        <w:t>lan sectoriel</w:t>
      </w:r>
      <w:bookmarkEnd w:id="141"/>
      <w:bookmarkEnd w:id="142"/>
      <w:bookmarkEnd w:id="143"/>
      <w:bookmarkEnd w:id="144"/>
      <w:bookmarkEnd w:id="145"/>
    </w:p>
    <w:p w14:paraId="42D96EDB" w14:textId="41612638" w:rsidR="00A101C5" w:rsidRPr="00501D1D" w:rsidRDefault="00105CD2" w:rsidP="00501D1D">
      <w:pPr>
        <w:pStyle w:val="berschrift2"/>
      </w:pPr>
      <w:bookmarkStart w:id="146" w:name="_Toc523813330"/>
      <w:bookmarkStart w:id="147" w:name="_Ref524965071"/>
      <w:bookmarkStart w:id="148" w:name="_Toc525022629"/>
      <w:bookmarkStart w:id="149" w:name="_Toc526946720"/>
      <w:bookmarkStart w:id="150" w:name="_Toc531193012"/>
      <w:bookmarkStart w:id="151" w:name="_Toc532996294"/>
      <w:r w:rsidRPr="0072126E">
        <w:rPr>
          <w:lang w:val="fr-CH"/>
        </w:rPr>
        <w:t>Pesée des inté</w:t>
      </w:r>
      <w:bookmarkEnd w:id="146"/>
      <w:r w:rsidRPr="0072126E">
        <w:rPr>
          <w:lang w:val="fr-CH"/>
        </w:rPr>
        <w:t>rêts</w:t>
      </w:r>
      <w:r w:rsidR="00282C44" w:rsidRPr="0072126E">
        <w:rPr>
          <w:rStyle w:val="Funotenzeichen"/>
          <w:b w:val="0"/>
          <w:sz w:val="20"/>
          <w:szCs w:val="20"/>
        </w:rPr>
        <w:footnoteReference w:id="36"/>
      </w:r>
      <w:bookmarkEnd w:id="147"/>
      <w:bookmarkEnd w:id="148"/>
      <w:bookmarkEnd w:id="149"/>
      <w:bookmarkEnd w:id="150"/>
      <w:bookmarkEnd w:id="151"/>
    </w:p>
    <w:p w14:paraId="30FC8B31" w14:textId="08ABAB92" w:rsidR="008C0E14" w:rsidRDefault="008C0E14" w:rsidP="0072126E">
      <w:pPr>
        <w:rPr>
          <w:lang w:val="fr-CH"/>
        </w:rPr>
      </w:pPr>
      <w:r>
        <w:rPr>
          <w:lang w:val="fr-CH"/>
        </w:rPr>
        <w:t xml:space="preserve">Les paragraphes ci-dessous </w:t>
      </w:r>
      <w:r w:rsidR="002A616B">
        <w:rPr>
          <w:lang w:val="fr-CH"/>
        </w:rPr>
        <w:t xml:space="preserve">expliquent différents </w:t>
      </w:r>
      <w:r>
        <w:rPr>
          <w:lang w:val="fr-CH"/>
        </w:rPr>
        <w:t>aspects de la pesée des intérêts</w:t>
      </w:r>
      <w:r w:rsidR="0072126E">
        <w:rPr>
          <w:lang w:val="fr-CH"/>
        </w:rPr>
        <w:t>.</w:t>
      </w:r>
    </w:p>
    <w:p w14:paraId="4F3C3F30" w14:textId="56E1D6DC" w:rsidR="00A84211" w:rsidRPr="00572D0C" w:rsidRDefault="006E4DCA" w:rsidP="00501D1D">
      <w:pPr>
        <w:pStyle w:val="berschrift3"/>
        <w:rPr>
          <w:lang w:val="fr-CH"/>
        </w:rPr>
      </w:pPr>
      <w:bookmarkStart w:id="152" w:name="_Toc532996295"/>
      <w:r>
        <w:rPr>
          <w:lang w:val="fr-CH"/>
        </w:rPr>
        <w:t>La pesée des intérêts en général</w:t>
      </w:r>
      <w:bookmarkEnd w:id="152"/>
    </w:p>
    <w:p w14:paraId="18FD2278" w14:textId="557B5B14" w:rsidR="00A9181A" w:rsidRPr="00572D0C" w:rsidRDefault="006E4DCA">
      <w:pPr>
        <w:rPr>
          <w:rFonts w:eastAsiaTheme="minorEastAsia"/>
          <w:lang w:val="fr-CH" w:eastAsia="en-US"/>
        </w:rPr>
      </w:pPr>
      <w:r>
        <w:rPr>
          <w:rFonts w:eastAsiaTheme="minorEastAsia"/>
          <w:lang w:val="fr-CH" w:eastAsia="en-US"/>
        </w:rPr>
        <w:t xml:space="preserve">Une pesée des intérêts intervient lorsque les autorités disposent d’un pouvoir d’appréciation dans l’accomplissement et la coordination de tâches </w:t>
      </w:r>
      <w:r w:rsidR="002A616B">
        <w:rPr>
          <w:rFonts w:eastAsiaTheme="minorEastAsia"/>
          <w:lang w:val="fr-CH" w:eastAsia="en-US"/>
        </w:rPr>
        <w:t>ayant des effets sur l’organisation du territoire</w:t>
      </w:r>
      <w:r>
        <w:rPr>
          <w:rFonts w:eastAsiaTheme="minorEastAsia"/>
          <w:lang w:val="fr-CH" w:eastAsia="en-US"/>
        </w:rPr>
        <w:t xml:space="preserve"> </w:t>
      </w:r>
      <w:r w:rsidR="147A5F7B" w:rsidRPr="00572D0C">
        <w:rPr>
          <w:rFonts w:eastAsiaTheme="minorEastAsia"/>
          <w:lang w:val="fr-CH" w:eastAsia="en-US"/>
        </w:rPr>
        <w:t>(</w:t>
      </w:r>
      <w:r>
        <w:rPr>
          <w:rFonts w:eastAsiaTheme="minorEastAsia"/>
          <w:lang w:val="fr-CH" w:eastAsia="en-US"/>
        </w:rPr>
        <w:t>a</w:t>
      </w:r>
      <w:r w:rsidR="147A5F7B" w:rsidRPr="00572D0C">
        <w:rPr>
          <w:rFonts w:eastAsiaTheme="minorEastAsia"/>
          <w:lang w:val="fr-CH" w:eastAsia="en-US"/>
        </w:rPr>
        <w:t>rt. 3</w:t>
      </w:r>
      <w:r w:rsidR="002A616B">
        <w:rPr>
          <w:rFonts w:eastAsiaTheme="minorEastAsia"/>
          <w:lang w:val="fr-CH" w:eastAsia="en-US"/>
        </w:rPr>
        <w:t>,</w:t>
      </w:r>
      <w:r w:rsidR="147A5F7B" w:rsidRPr="00572D0C">
        <w:rPr>
          <w:rFonts w:eastAsiaTheme="minorEastAsia"/>
          <w:lang w:val="fr-CH" w:eastAsia="en-US"/>
        </w:rPr>
        <w:t xml:space="preserve"> </w:t>
      </w:r>
      <w:r>
        <w:rPr>
          <w:rFonts w:eastAsiaTheme="minorEastAsia"/>
          <w:lang w:val="fr-CH" w:eastAsia="en-US"/>
        </w:rPr>
        <w:t>al</w:t>
      </w:r>
      <w:r w:rsidR="147A5F7B" w:rsidRPr="00572D0C">
        <w:rPr>
          <w:rFonts w:eastAsiaTheme="minorEastAsia"/>
          <w:lang w:val="fr-CH" w:eastAsia="en-US"/>
        </w:rPr>
        <w:t>. 1</w:t>
      </w:r>
      <w:r w:rsidR="002A616B">
        <w:rPr>
          <w:rFonts w:eastAsiaTheme="minorEastAsia"/>
          <w:lang w:val="fr-CH" w:eastAsia="en-US"/>
        </w:rPr>
        <w:t>,</w:t>
      </w:r>
      <w:r w:rsidR="147A5F7B" w:rsidRPr="00572D0C">
        <w:rPr>
          <w:rFonts w:eastAsiaTheme="minorEastAsia"/>
          <w:lang w:val="fr-CH" w:eastAsia="en-US"/>
        </w:rPr>
        <w:t xml:space="preserve"> </w:t>
      </w:r>
      <w:r>
        <w:rPr>
          <w:rFonts w:eastAsiaTheme="minorEastAsia"/>
          <w:lang w:val="fr-CH" w:eastAsia="en-US"/>
        </w:rPr>
        <w:t>OAT</w:t>
      </w:r>
      <w:r w:rsidR="147A5F7B" w:rsidRPr="00572D0C">
        <w:rPr>
          <w:rFonts w:eastAsiaTheme="minorEastAsia"/>
          <w:lang w:val="fr-CH" w:eastAsia="en-US"/>
        </w:rPr>
        <w:t xml:space="preserve">). </w:t>
      </w:r>
      <w:r>
        <w:rPr>
          <w:rFonts w:eastAsiaTheme="minorEastAsia"/>
          <w:lang w:val="fr-CH" w:eastAsia="en-US"/>
        </w:rPr>
        <w:t xml:space="preserve">Tel est </w:t>
      </w:r>
      <w:r w:rsidR="002F4610">
        <w:rPr>
          <w:rFonts w:eastAsiaTheme="minorEastAsia"/>
          <w:lang w:val="fr-CH" w:eastAsia="en-US"/>
        </w:rPr>
        <w:t xml:space="preserve">notamment </w:t>
      </w:r>
      <w:r>
        <w:rPr>
          <w:rFonts w:eastAsiaTheme="minorEastAsia"/>
          <w:lang w:val="fr-CH" w:eastAsia="en-US"/>
        </w:rPr>
        <w:t>le cas de la gestion des SDA. Un tel pouvoir d’appréciation n’existe pas lorsqu’un</w:t>
      </w:r>
      <w:r w:rsidR="002F4610">
        <w:rPr>
          <w:rFonts w:eastAsiaTheme="minorEastAsia"/>
          <w:lang w:val="fr-CH" w:eastAsia="en-US"/>
        </w:rPr>
        <w:t>e situation est réglée par des dispositions constitutionnelles ou légales concrètes qui</w:t>
      </w:r>
      <w:r>
        <w:rPr>
          <w:rFonts w:eastAsiaTheme="minorEastAsia"/>
          <w:lang w:val="fr-CH" w:eastAsia="en-US"/>
        </w:rPr>
        <w:t xml:space="preserve"> </w:t>
      </w:r>
      <w:r w:rsidR="002F4610">
        <w:rPr>
          <w:rFonts w:eastAsiaTheme="minorEastAsia"/>
          <w:lang w:val="fr-CH" w:eastAsia="en-US"/>
        </w:rPr>
        <w:t>s’opposent à la réalisation d’un projet de planification ou de construction</w:t>
      </w:r>
      <w:r w:rsidR="147A5F7B" w:rsidRPr="00572D0C">
        <w:rPr>
          <w:rFonts w:eastAsiaTheme="minorEastAsia"/>
          <w:lang w:val="fr-CH" w:eastAsia="en-US"/>
        </w:rPr>
        <w:t xml:space="preserve"> </w:t>
      </w:r>
      <w:r w:rsidR="002F4610">
        <w:rPr>
          <w:rFonts w:eastAsiaTheme="minorEastAsia"/>
          <w:lang w:val="fr-CH" w:eastAsia="en-US"/>
        </w:rPr>
        <w:t xml:space="preserve">particulier </w:t>
      </w:r>
      <w:r w:rsidR="147A5F7B" w:rsidRPr="00572D0C">
        <w:rPr>
          <w:rFonts w:eastAsiaTheme="minorEastAsia"/>
          <w:lang w:val="fr-CH" w:eastAsia="en-US"/>
        </w:rPr>
        <w:t>(</w:t>
      </w:r>
      <w:r w:rsidR="002F4610">
        <w:rPr>
          <w:rFonts w:eastAsiaTheme="minorEastAsia"/>
          <w:lang w:val="fr-CH" w:eastAsia="en-US"/>
        </w:rPr>
        <w:t>par ex</w:t>
      </w:r>
      <w:r w:rsidR="147A5F7B" w:rsidRPr="00572D0C">
        <w:rPr>
          <w:rFonts w:eastAsiaTheme="minorEastAsia"/>
          <w:lang w:val="fr-CH" w:eastAsia="en-US"/>
        </w:rPr>
        <w:t xml:space="preserve">. </w:t>
      </w:r>
      <w:r w:rsidR="002F4610">
        <w:rPr>
          <w:rFonts w:eastAsiaTheme="minorEastAsia"/>
          <w:lang w:val="fr-CH" w:eastAsia="en-US"/>
        </w:rPr>
        <w:t xml:space="preserve">les conditions </w:t>
      </w:r>
      <w:r w:rsidR="008C0E14">
        <w:rPr>
          <w:rFonts w:eastAsiaTheme="minorEastAsia"/>
          <w:lang w:val="fr-CH" w:eastAsia="en-US"/>
        </w:rPr>
        <w:t xml:space="preserve">générales de </w:t>
      </w:r>
      <w:r w:rsidR="002F4610">
        <w:rPr>
          <w:rFonts w:eastAsiaTheme="minorEastAsia"/>
          <w:lang w:val="fr-CH" w:eastAsia="en-US"/>
        </w:rPr>
        <w:t>classement en zone à bâtir prévues à l’a</w:t>
      </w:r>
      <w:r w:rsidR="147A5F7B" w:rsidRPr="00572D0C">
        <w:rPr>
          <w:rFonts w:eastAsiaTheme="minorEastAsia"/>
          <w:lang w:val="fr-CH" w:eastAsia="en-US"/>
        </w:rPr>
        <w:t>rt</w:t>
      </w:r>
      <w:r w:rsidR="008C0E14">
        <w:rPr>
          <w:rFonts w:eastAsiaTheme="minorEastAsia"/>
          <w:lang w:val="fr-CH" w:eastAsia="en-US"/>
        </w:rPr>
        <w:t>icle</w:t>
      </w:r>
      <w:r w:rsidR="008C0E14" w:rsidRPr="00572D0C">
        <w:rPr>
          <w:rFonts w:eastAsiaTheme="minorEastAsia"/>
          <w:lang w:val="fr-CH" w:eastAsia="en-US"/>
        </w:rPr>
        <w:t xml:space="preserve"> </w:t>
      </w:r>
      <w:r w:rsidR="147A5F7B" w:rsidRPr="00572D0C">
        <w:rPr>
          <w:rFonts w:eastAsiaTheme="minorEastAsia"/>
          <w:lang w:val="fr-CH" w:eastAsia="en-US"/>
        </w:rPr>
        <w:t>15</w:t>
      </w:r>
      <w:r w:rsidR="008913A5">
        <w:rPr>
          <w:rFonts w:eastAsiaTheme="minorEastAsia"/>
          <w:lang w:val="fr-CH" w:eastAsia="en-US"/>
        </w:rPr>
        <w:t>,</w:t>
      </w:r>
      <w:r w:rsidR="147A5F7B" w:rsidRPr="00572D0C">
        <w:rPr>
          <w:rFonts w:eastAsiaTheme="minorEastAsia"/>
          <w:lang w:val="fr-CH" w:eastAsia="en-US"/>
        </w:rPr>
        <w:t xml:space="preserve"> </w:t>
      </w:r>
      <w:r w:rsidR="002F4610">
        <w:rPr>
          <w:rFonts w:eastAsiaTheme="minorEastAsia"/>
          <w:lang w:val="fr-CH" w:eastAsia="en-US"/>
        </w:rPr>
        <w:t>al</w:t>
      </w:r>
      <w:r w:rsidR="008C0E14">
        <w:rPr>
          <w:rFonts w:eastAsiaTheme="minorEastAsia"/>
          <w:lang w:val="fr-CH" w:eastAsia="en-US"/>
        </w:rPr>
        <w:t>inéa</w:t>
      </w:r>
      <w:r w:rsidR="008C0E14" w:rsidRPr="00572D0C">
        <w:rPr>
          <w:rFonts w:eastAsiaTheme="minorEastAsia"/>
          <w:lang w:val="fr-CH" w:eastAsia="en-US"/>
        </w:rPr>
        <w:t xml:space="preserve"> </w:t>
      </w:r>
      <w:r w:rsidR="147A5F7B" w:rsidRPr="00572D0C">
        <w:rPr>
          <w:rFonts w:eastAsiaTheme="minorEastAsia"/>
          <w:lang w:val="fr-CH" w:eastAsia="en-US"/>
        </w:rPr>
        <w:t xml:space="preserve">4 </w:t>
      </w:r>
      <w:r w:rsidR="002F4610">
        <w:rPr>
          <w:rFonts w:eastAsiaTheme="minorEastAsia"/>
          <w:lang w:val="fr-CH" w:eastAsia="en-US"/>
        </w:rPr>
        <w:t>LAT ou les conditions régissant l</w:t>
      </w:r>
      <w:r w:rsidR="008C0E14">
        <w:rPr>
          <w:rFonts w:eastAsiaTheme="minorEastAsia"/>
          <w:lang w:val="fr-CH" w:eastAsia="en-US"/>
        </w:rPr>
        <w:t>e classement en zone à bâtir</w:t>
      </w:r>
      <w:r w:rsidR="002F4610">
        <w:rPr>
          <w:rFonts w:eastAsiaTheme="minorEastAsia"/>
          <w:lang w:val="fr-CH" w:eastAsia="en-US"/>
        </w:rPr>
        <w:t xml:space="preserve"> de SDA de l’art</w:t>
      </w:r>
      <w:r w:rsidR="008C0E14">
        <w:rPr>
          <w:rFonts w:eastAsiaTheme="minorEastAsia"/>
          <w:lang w:val="fr-CH" w:eastAsia="en-US"/>
        </w:rPr>
        <w:t>icle</w:t>
      </w:r>
      <w:r w:rsidR="147A5F7B" w:rsidRPr="00572D0C">
        <w:rPr>
          <w:rFonts w:eastAsiaTheme="minorEastAsia"/>
          <w:lang w:val="fr-CH" w:eastAsia="en-US"/>
        </w:rPr>
        <w:t xml:space="preserve"> 30</w:t>
      </w:r>
      <w:r w:rsidR="008913A5">
        <w:rPr>
          <w:rFonts w:eastAsiaTheme="minorEastAsia"/>
          <w:lang w:val="fr-CH" w:eastAsia="en-US"/>
        </w:rPr>
        <w:t>,</w:t>
      </w:r>
      <w:r w:rsidR="147A5F7B" w:rsidRPr="00572D0C">
        <w:rPr>
          <w:rFonts w:eastAsiaTheme="minorEastAsia"/>
          <w:lang w:val="fr-CH" w:eastAsia="en-US"/>
        </w:rPr>
        <w:t xml:space="preserve"> </w:t>
      </w:r>
      <w:r w:rsidR="002F4610">
        <w:rPr>
          <w:rFonts w:eastAsiaTheme="minorEastAsia"/>
          <w:lang w:val="fr-CH" w:eastAsia="en-US"/>
        </w:rPr>
        <w:t>al</w:t>
      </w:r>
      <w:r w:rsidR="008C0E14">
        <w:rPr>
          <w:rFonts w:eastAsiaTheme="minorEastAsia"/>
          <w:lang w:val="fr-CH" w:eastAsia="en-US"/>
        </w:rPr>
        <w:t>inéa</w:t>
      </w:r>
      <w:r w:rsidR="147A5F7B" w:rsidRPr="00572D0C">
        <w:rPr>
          <w:rFonts w:eastAsiaTheme="minorEastAsia"/>
          <w:lang w:val="fr-CH" w:eastAsia="en-US"/>
        </w:rPr>
        <w:t xml:space="preserve"> 1</w:t>
      </w:r>
      <w:r w:rsidR="147A5F7B" w:rsidRPr="00572D0C">
        <w:rPr>
          <w:rFonts w:eastAsiaTheme="minorEastAsia"/>
          <w:vertAlign w:val="superscript"/>
          <w:lang w:val="fr-CH" w:eastAsia="en-US"/>
        </w:rPr>
        <w:t>bis</w:t>
      </w:r>
      <w:r w:rsidR="147A5F7B" w:rsidRPr="00572D0C">
        <w:rPr>
          <w:rFonts w:eastAsiaTheme="minorEastAsia"/>
          <w:sz w:val="14"/>
          <w:szCs w:val="14"/>
          <w:lang w:val="fr-CH" w:eastAsia="en-US"/>
        </w:rPr>
        <w:t xml:space="preserve"> </w:t>
      </w:r>
      <w:r w:rsidR="002F4610">
        <w:rPr>
          <w:rFonts w:eastAsiaTheme="minorEastAsia"/>
          <w:lang w:val="fr-CH" w:eastAsia="en-US"/>
        </w:rPr>
        <w:t>OAT</w:t>
      </w:r>
      <w:r w:rsidR="147A5F7B" w:rsidRPr="00572D0C">
        <w:rPr>
          <w:rFonts w:eastAsiaTheme="minorEastAsia"/>
          <w:lang w:val="fr-CH" w:eastAsia="en-US"/>
        </w:rPr>
        <w:t xml:space="preserve">. </w:t>
      </w:r>
    </w:p>
    <w:p w14:paraId="099E7117" w14:textId="190635DA" w:rsidR="00A9181A" w:rsidRPr="00572D0C" w:rsidRDefault="002F4610">
      <w:pPr>
        <w:rPr>
          <w:rFonts w:ascii="Verdana" w:eastAsiaTheme="minorEastAsia" w:hAnsi="Verdana" w:cs="Verdana"/>
          <w:sz w:val="16"/>
          <w:szCs w:val="16"/>
          <w:lang w:val="fr-CH" w:eastAsia="en-US"/>
        </w:rPr>
      </w:pPr>
      <w:r>
        <w:rPr>
          <w:rFonts w:eastAsiaTheme="minorEastAsia"/>
          <w:lang w:val="fr-CH" w:eastAsia="en-US"/>
        </w:rPr>
        <w:t>La pesée des intérêts au sens de l’a</w:t>
      </w:r>
      <w:r w:rsidR="147A5F7B" w:rsidRPr="00572D0C">
        <w:rPr>
          <w:rFonts w:eastAsiaTheme="minorEastAsia"/>
          <w:lang w:val="fr-CH" w:eastAsia="en-US"/>
        </w:rPr>
        <w:t>rt</w:t>
      </w:r>
      <w:r w:rsidR="008C0E14">
        <w:rPr>
          <w:rFonts w:eastAsiaTheme="minorEastAsia"/>
          <w:lang w:val="fr-CH" w:eastAsia="en-US"/>
        </w:rPr>
        <w:t>icle</w:t>
      </w:r>
      <w:r w:rsidR="147A5F7B" w:rsidRPr="00572D0C">
        <w:rPr>
          <w:rFonts w:eastAsiaTheme="minorEastAsia"/>
          <w:lang w:val="fr-CH" w:eastAsia="en-US"/>
        </w:rPr>
        <w:t xml:space="preserve"> 3</w:t>
      </w:r>
      <w:r w:rsidR="008913A5">
        <w:rPr>
          <w:rFonts w:eastAsiaTheme="minorEastAsia"/>
          <w:lang w:val="fr-CH" w:eastAsia="en-US"/>
        </w:rPr>
        <w:t>,</w:t>
      </w:r>
      <w:r w:rsidR="147A5F7B" w:rsidRPr="00572D0C">
        <w:rPr>
          <w:rFonts w:eastAsiaTheme="minorEastAsia"/>
          <w:lang w:val="fr-CH" w:eastAsia="en-US"/>
        </w:rPr>
        <w:t xml:space="preserve"> </w:t>
      </w:r>
      <w:r>
        <w:rPr>
          <w:rFonts w:eastAsiaTheme="minorEastAsia"/>
          <w:lang w:val="fr-CH" w:eastAsia="en-US"/>
        </w:rPr>
        <w:t>al</w:t>
      </w:r>
      <w:r w:rsidR="008C0E14">
        <w:rPr>
          <w:rFonts w:eastAsiaTheme="minorEastAsia"/>
          <w:lang w:val="fr-CH" w:eastAsia="en-US"/>
        </w:rPr>
        <w:t>inéa</w:t>
      </w:r>
      <w:r w:rsidR="147A5F7B" w:rsidRPr="00572D0C">
        <w:rPr>
          <w:rFonts w:eastAsiaTheme="minorEastAsia"/>
          <w:lang w:val="fr-CH" w:eastAsia="en-US"/>
        </w:rPr>
        <w:t xml:space="preserve"> 1 </w:t>
      </w:r>
      <w:r>
        <w:rPr>
          <w:rFonts w:eastAsiaTheme="minorEastAsia"/>
          <w:lang w:val="fr-CH" w:eastAsia="en-US"/>
        </w:rPr>
        <w:t xml:space="preserve">OAT comprend trois étapes de réflexion </w:t>
      </w:r>
      <w:r w:rsidR="147A5F7B" w:rsidRPr="00572D0C">
        <w:rPr>
          <w:rFonts w:eastAsiaTheme="minorEastAsia"/>
          <w:lang w:val="fr-CH" w:eastAsia="en-US"/>
        </w:rPr>
        <w:t>:</w:t>
      </w:r>
    </w:p>
    <w:p w14:paraId="29761CE9" w14:textId="1C70434F" w:rsidR="00A9181A" w:rsidRPr="00572D0C" w:rsidRDefault="002F4610">
      <w:pPr>
        <w:pStyle w:val="Listenabsatz"/>
        <w:numPr>
          <w:ilvl w:val="0"/>
          <w:numId w:val="17"/>
        </w:numPr>
        <w:rPr>
          <w:rFonts w:eastAsiaTheme="minorEastAsia"/>
          <w:i w:val="0"/>
          <w:lang w:val="fr-CH" w:eastAsia="en-US"/>
        </w:rPr>
      </w:pPr>
      <w:r>
        <w:rPr>
          <w:rFonts w:eastAsiaTheme="minorEastAsia"/>
          <w:i w:val="0"/>
          <w:lang w:val="fr-CH" w:eastAsia="en-US"/>
        </w:rPr>
        <w:t>Il convient, dans une première étape, de déterminer les intérêts concernés dans le cas précis</w:t>
      </w:r>
      <w:r w:rsidR="147A5F7B" w:rsidRPr="00572D0C">
        <w:rPr>
          <w:rFonts w:eastAsiaTheme="minorEastAsia"/>
          <w:i w:val="0"/>
          <w:lang w:val="fr-CH" w:eastAsia="en-US"/>
        </w:rPr>
        <w:t>.</w:t>
      </w:r>
    </w:p>
    <w:p w14:paraId="5A7E4CD7" w14:textId="170A2C73" w:rsidR="003F54CB" w:rsidRPr="00572D0C" w:rsidRDefault="002F4610">
      <w:pPr>
        <w:pStyle w:val="Listenabsatz"/>
        <w:numPr>
          <w:ilvl w:val="0"/>
          <w:numId w:val="17"/>
        </w:numPr>
        <w:rPr>
          <w:rFonts w:eastAsiaTheme="minorEastAsia"/>
          <w:i w:val="0"/>
          <w:lang w:val="fr-CH" w:eastAsia="en-US"/>
        </w:rPr>
      </w:pPr>
      <w:r>
        <w:rPr>
          <w:rFonts w:eastAsiaTheme="minorEastAsia"/>
          <w:i w:val="0"/>
          <w:lang w:val="fr-CH" w:eastAsia="en-US"/>
        </w:rPr>
        <w:t>La deuxième étape consiste à apprécier ces intérêts notamment en fonction</w:t>
      </w:r>
      <w:r w:rsidR="147A5F7B" w:rsidRPr="00572D0C">
        <w:rPr>
          <w:rFonts w:eastAsiaTheme="minorEastAsia"/>
          <w:i w:val="0"/>
          <w:lang w:val="fr-CH" w:eastAsia="en-US"/>
        </w:rPr>
        <w:t xml:space="preserve"> </w:t>
      </w:r>
      <w:r w:rsidR="00A636D3">
        <w:rPr>
          <w:rFonts w:eastAsiaTheme="minorEastAsia"/>
          <w:i w:val="0"/>
          <w:lang w:val="fr-CH" w:eastAsia="en-US"/>
        </w:rPr>
        <w:t>de critères normatifs transparents</w:t>
      </w:r>
      <w:r w:rsidR="147A5F7B" w:rsidRPr="00572D0C">
        <w:rPr>
          <w:rFonts w:eastAsiaTheme="minorEastAsia"/>
          <w:i w:val="0"/>
          <w:lang w:val="fr-CH" w:eastAsia="en-US"/>
        </w:rPr>
        <w:t xml:space="preserve"> – n</w:t>
      </w:r>
      <w:r w:rsidR="00A636D3">
        <w:rPr>
          <w:rFonts w:eastAsiaTheme="minorEastAsia"/>
          <w:i w:val="0"/>
          <w:lang w:val="fr-CH" w:eastAsia="en-US"/>
        </w:rPr>
        <w:t>otamment des prescriptions légales relatives à chaque intérêt concerné</w:t>
      </w:r>
      <w:r w:rsidR="147A5F7B" w:rsidRPr="00572D0C">
        <w:rPr>
          <w:rFonts w:eastAsiaTheme="minorEastAsia"/>
          <w:i w:val="0"/>
          <w:lang w:val="fr-CH" w:eastAsia="en-US"/>
        </w:rPr>
        <w:t>.</w:t>
      </w:r>
    </w:p>
    <w:p w14:paraId="0D13EBE1" w14:textId="476CA4FA" w:rsidR="00A9181A" w:rsidRPr="00572D0C" w:rsidRDefault="00A636D3">
      <w:pPr>
        <w:pStyle w:val="Listenabsatz"/>
        <w:numPr>
          <w:ilvl w:val="0"/>
          <w:numId w:val="17"/>
        </w:numPr>
        <w:rPr>
          <w:rFonts w:eastAsiaTheme="minorEastAsia"/>
          <w:i w:val="0"/>
          <w:lang w:val="fr-CH" w:eastAsia="en-US"/>
        </w:rPr>
      </w:pPr>
      <w:r>
        <w:rPr>
          <w:rFonts w:eastAsiaTheme="minorEastAsia"/>
          <w:i w:val="0"/>
          <w:lang w:val="fr-CH" w:eastAsia="en-US"/>
        </w:rPr>
        <w:t xml:space="preserve">La troisième étape </w:t>
      </w:r>
      <w:r w:rsidR="005A51E2">
        <w:rPr>
          <w:rFonts w:eastAsiaTheme="minorEastAsia"/>
          <w:i w:val="0"/>
          <w:lang w:val="fr-CH" w:eastAsia="en-US"/>
        </w:rPr>
        <w:t xml:space="preserve">sert à optimiser les intérêts déterminés et appréciés de façon à </w:t>
      </w:r>
      <w:r w:rsidR="00DB50FD">
        <w:rPr>
          <w:rFonts w:eastAsiaTheme="minorEastAsia"/>
          <w:i w:val="0"/>
          <w:lang w:val="fr-CH" w:eastAsia="en-US"/>
        </w:rPr>
        <w:t>pouvoir les faire valoir</w:t>
      </w:r>
      <w:r w:rsidR="005A51E2">
        <w:rPr>
          <w:rFonts w:eastAsiaTheme="minorEastAsia"/>
          <w:i w:val="0"/>
          <w:lang w:val="fr-CH" w:eastAsia="en-US"/>
        </w:rPr>
        <w:t xml:space="preserve"> de la manière la plus complète possible dans la décision en fonction de l’appréciation qui leur a été attribuée</w:t>
      </w:r>
      <w:r w:rsidR="00826E42">
        <w:rPr>
          <w:rFonts w:eastAsiaTheme="minorEastAsia"/>
          <w:i w:val="0"/>
          <w:lang w:val="fr-CH" w:eastAsia="en-US"/>
        </w:rPr>
        <w:t>.</w:t>
      </w:r>
    </w:p>
    <w:p w14:paraId="2B83A256" w14:textId="796BD8D5" w:rsidR="00A9181A" w:rsidRPr="00572D0C" w:rsidRDefault="00826E42">
      <w:pPr>
        <w:rPr>
          <w:rFonts w:eastAsiaTheme="minorEastAsia"/>
          <w:lang w:val="fr-CH" w:eastAsia="en-US"/>
        </w:rPr>
      </w:pPr>
      <w:r>
        <w:rPr>
          <w:rFonts w:eastAsiaTheme="minorEastAsia"/>
          <w:lang w:val="fr-CH" w:eastAsia="en-US"/>
        </w:rPr>
        <w:t>La pesée des intérêts doit être présentée de manière compréhensible et transparente : les autorités exposent leur pondération dans la motivation de la décision</w:t>
      </w:r>
      <w:r w:rsidR="147A5F7B" w:rsidRPr="00572D0C">
        <w:rPr>
          <w:rFonts w:eastAsiaTheme="minorEastAsia"/>
          <w:lang w:val="fr-CH" w:eastAsia="en-US"/>
        </w:rPr>
        <w:t xml:space="preserve"> (</w:t>
      </w:r>
      <w:r>
        <w:rPr>
          <w:rFonts w:eastAsiaTheme="minorEastAsia"/>
          <w:lang w:val="fr-CH" w:eastAsia="en-US"/>
        </w:rPr>
        <w:t>a</w:t>
      </w:r>
      <w:r w:rsidR="147A5F7B" w:rsidRPr="00572D0C">
        <w:rPr>
          <w:rFonts w:eastAsiaTheme="minorEastAsia"/>
          <w:lang w:val="fr-CH" w:eastAsia="en-US"/>
        </w:rPr>
        <w:t>rt. 3</w:t>
      </w:r>
      <w:r w:rsidR="00DB50FD">
        <w:rPr>
          <w:rFonts w:eastAsiaTheme="minorEastAsia"/>
          <w:lang w:val="fr-CH" w:eastAsia="en-US"/>
        </w:rPr>
        <w:t>,</w:t>
      </w:r>
      <w:r w:rsidR="147A5F7B" w:rsidRPr="00572D0C">
        <w:rPr>
          <w:rFonts w:eastAsiaTheme="minorEastAsia"/>
          <w:lang w:val="fr-CH" w:eastAsia="en-US"/>
        </w:rPr>
        <w:t xml:space="preserve"> </w:t>
      </w:r>
      <w:r>
        <w:rPr>
          <w:rFonts w:eastAsiaTheme="minorEastAsia"/>
          <w:lang w:val="fr-CH" w:eastAsia="en-US"/>
        </w:rPr>
        <w:t>al</w:t>
      </w:r>
      <w:r w:rsidR="147A5F7B" w:rsidRPr="00572D0C">
        <w:rPr>
          <w:rFonts w:eastAsiaTheme="minorEastAsia"/>
          <w:lang w:val="fr-CH" w:eastAsia="en-US"/>
        </w:rPr>
        <w:t>. 2</w:t>
      </w:r>
      <w:r w:rsidR="00DB50FD">
        <w:rPr>
          <w:rFonts w:eastAsiaTheme="minorEastAsia"/>
          <w:lang w:val="fr-CH" w:eastAsia="en-US"/>
        </w:rPr>
        <w:t>,</w:t>
      </w:r>
      <w:r w:rsidR="147A5F7B" w:rsidRPr="00572D0C">
        <w:rPr>
          <w:rFonts w:eastAsiaTheme="minorEastAsia"/>
          <w:lang w:val="fr-CH" w:eastAsia="en-US"/>
        </w:rPr>
        <w:t xml:space="preserve"> </w:t>
      </w:r>
      <w:r>
        <w:rPr>
          <w:rFonts w:eastAsiaTheme="minorEastAsia"/>
          <w:lang w:val="fr-CH" w:eastAsia="en-US"/>
        </w:rPr>
        <w:t>OAT</w:t>
      </w:r>
      <w:r w:rsidR="147A5F7B" w:rsidRPr="00572D0C">
        <w:rPr>
          <w:rFonts w:eastAsiaTheme="minorEastAsia"/>
          <w:lang w:val="fr-CH" w:eastAsia="en-US"/>
        </w:rPr>
        <w:t>).</w:t>
      </w:r>
    </w:p>
    <w:p w14:paraId="6192A75C" w14:textId="433F132A" w:rsidR="00430981" w:rsidRPr="00200775" w:rsidRDefault="00826E42" w:rsidP="00200775">
      <w:pPr>
        <w:rPr>
          <w:rFonts w:eastAsiaTheme="minorEastAsia"/>
          <w:lang w:val="fr-CH"/>
        </w:rPr>
      </w:pPr>
      <w:r>
        <w:rPr>
          <w:rFonts w:eastAsiaTheme="minorEastAsia"/>
          <w:lang w:val="fr-CH"/>
        </w:rPr>
        <w:t xml:space="preserve">La pesée des intérêts en présence </w:t>
      </w:r>
      <w:r w:rsidR="00DB50FD">
        <w:rPr>
          <w:rFonts w:eastAsiaTheme="minorEastAsia"/>
          <w:lang w:val="fr-CH"/>
        </w:rPr>
        <w:t xml:space="preserve">est </w:t>
      </w:r>
      <w:r>
        <w:rPr>
          <w:rFonts w:eastAsiaTheme="minorEastAsia"/>
          <w:lang w:val="fr-CH"/>
        </w:rPr>
        <w:t>un processus d’optimisation</w:t>
      </w:r>
      <w:r w:rsidR="147A5F7B" w:rsidRPr="00572D0C">
        <w:rPr>
          <w:rFonts w:eastAsiaTheme="minorEastAsia"/>
          <w:lang w:val="fr-CH"/>
        </w:rPr>
        <w:t xml:space="preserve">. </w:t>
      </w:r>
      <w:r>
        <w:rPr>
          <w:rFonts w:eastAsiaTheme="minorEastAsia"/>
          <w:lang w:val="fr-CH"/>
        </w:rPr>
        <w:t xml:space="preserve">Les </w:t>
      </w:r>
      <w:r w:rsidR="00DB50FD">
        <w:rPr>
          <w:rFonts w:eastAsiaTheme="minorEastAsia"/>
          <w:lang w:val="fr-CH"/>
        </w:rPr>
        <w:t>conflits d’</w:t>
      </w:r>
      <w:r>
        <w:rPr>
          <w:rFonts w:eastAsiaTheme="minorEastAsia"/>
          <w:lang w:val="fr-CH"/>
        </w:rPr>
        <w:t xml:space="preserve">intérêts ne peuvent en général pas être entièrement </w:t>
      </w:r>
      <w:r w:rsidR="00DB50FD">
        <w:rPr>
          <w:rFonts w:eastAsiaTheme="minorEastAsia"/>
          <w:lang w:val="fr-CH"/>
        </w:rPr>
        <w:t xml:space="preserve">résolus </w:t>
      </w:r>
      <w:r w:rsidR="147A5F7B" w:rsidRPr="00572D0C">
        <w:rPr>
          <w:rFonts w:eastAsiaTheme="minorEastAsia"/>
          <w:lang w:val="fr-CH"/>
        </w:rPr>
        <w:t xml:space="preserve">; </w:t>
      </w:r>
      <w:r w:rsidR="00DB50FD">
        <w:rPr>
          <w:rFonts w:eastAsiaTheme="minorEastAsia"/>
          <w:lang w:val="fr-CH"/>
        </w:rPr>
        <w:t xml:space="preserve">des intérêts antagoniques doivent cependant </w:t>
      </w:r>
      <w:r>
        <w:rPr>
          <w:rFonts w:eastAsiaTheme="minorEastAsia"/>
          <w:lang w:val="fr-CH"/>
        </w:rPr>
        <w:t>être harmonisés au mieux</w:t>
      </w:r>
      <w:r w:rsidR="147A5F7B" w:rsidRPr="00572D0C">
        <w:rPr>
          <w:rFonts w:eastAsiaTheme="minorEastAsia"/>
          <w:lang w:val="fr-CH"/>
        </w:rPr>
        <w:t xml:space="preserve">. </w:t>
      </w:r>
      <w:r>
        <w:rPr>
          <w:rFonts w:eastAsiaTheme="minorEastAsia"/>
          <w:lang w:val="fr-CH"/>
        </w:rPr>
        <w:t>La pesée des intérêts est une question juridique que les tribunaux, y compris le Tribunal fédéral, peuvent en principe examiner librement. Néanmoins, le Tribunal fédéral s’impose une certaine retenue, surtout lorsque des questions techniques se posent et que l’instance précédente a statué en se fondant sur les rapports d’une autorité</w:t>
      </w:r>
      <w:r w:rsidR="00C36EB4">
        <w:rPr>
          <w:rFonts w:eastAsiaTheme="minorEastAsia"/>
          <w:lang w:val="fr-CH"/>
        </w:rPr>
        <w:t xml:space="preserve"> </w:t>
      </w:r>
      <w:r>
        <w:rPr>
          <w:rFonts w:eastAsiaTheme="minorEastAsia"/>
          <w:lang w:val="fr-CH"/>
        </w:rPr>
        <w:t xml:space="preserve">spécialisée ou lorsqu’il </w:t>
      </w:r>
      <w:r w:rsidR="00C36EB4">
        <w:rPr>
          <w:rFonts w:eastAsiaTheme="minorEastAsia"/>
          <w:lang w:val="fr-CH"/>
        </w:rPr>
        <w:t>importe de tenir compte de circonstances locales que l’instance précédente connaît mieux que le Tribunal fédéral</w:t>
      </w:r>
      <w:r w:rsidR="147A5F7B" w:rsidRPr="00572D0C">
        <w:rPr>
          <w:rFonts w:eastAsiaTheme="minorEastAsia"/>
          <w:lang w:val="fr-CH"/>
        </w:rPr>
        <w:t>.</w:t>
      </w:r>
    </w:p>
    <w:p w14:paraId="7128A3E4" w14:textId="1F5DC35D" w:rsidR="00430981" w:rsidRPr="00572D0C" w:rsidRDefault="00C36EB4" w:rsidP="00501D1D">
      <w:pPr>
        <w:pStyle w:val="berschrift3"/>
        <w:rPr>
          <w:rFonts w:eastAsiaTheme="minorEastAsia"/>
          <w:lang w:val="fr-CH" w:eastAsia="en-US"/>
        </w:rPr>
      </w:pPr>
      <w:bookmarkStart w:id="153" w:name="_Toc532996296"/>
      <w:r>
        <w:rPr>
          <w:rFonts w:eastAsiaTheme="minorEastAsia"/>
          <w:lang w:val="fr-CH" w:eastAsia="en-US"/>
        </w:rPr>
        <w:t xml:space="preserve">Autres </w:t>
      </w:r>
      <w:r w:rsidR="00EC0990">
        <w:rPr>
          <w:rFonts w:eastAsiaTheme="minorEastAsia"/>
          <w:lang w:val="fr-CH" w:eastAsia="en-US"/>
        </w:rPr>
        <w:t xml:space="preserve">exigences en droit positif </w:t>
      </w:r>
      <w:r>
        <w:rPr>
          <w:rFonts w:eastAsiaTheme="minorEastAsia"/>
          <w:lang w:val="fr-CH" w:eastAsia="en-US"/>
        </w:rPr>
        <w:t>sur la protection des SDA</w:t>
      </w:r>
      <w:r w:rsidR="00EC0990">
        <w:rPr>
          <w:rFonts w:eastAsiaTheme="minorEastAsia"/>
          <w:lang w:val="fr-CH" w:eastAsia="en-US"/>
        </w:rPr>
        <w:t xml:space="preserve"> lors des classements en zone à bâtir</w:t>
      </w:r>
      <w:bookmarkEnd w:id="153"/>
    </w:p>
    <w:p w14:paraId="5D4A8D75" w14:textId="5378468A" w:rsidR="00577636" w:rsidRPr="00572D0C" w:rsidRDefault="00C36EB4">
      <w:pPr>
        <w:rPr>
          <w:rFonts w:ascii="Helvetica" w:eastAsiaTheme="minorEastAsia" w:hAnsi="Helvetica" w:cs="Helvetica"/>
          <w:sz w:val="22"/>
          <w:szCs w:val="22"/>
          <w:lang w:val="fr-CH" w:eastAsia="en-US"/>
        </w:rPr>
      </w:pPr>
      <w:r>
        <w:rPr>
          <w:rFonts w:eastAsiaTheme="minorEastAsia"/>
          <w:lang w:val="fr-CH" w:eastAsia="en-US"/>
        </w:rPr>
        <w:t>Selon l’a</w:t>
      </w:r>
      <w:r w:rsidR="147A5F7B" w:rsidRPr="00572D0C">
        <w:rPr>
          <w:rFonts w:eastAsiaTheme="minorEastAsia"/>
          <w:lang w:val="fr-CH" w:eastAsia="en-US"/>
        </w:rPr>
        <w:t>rt</w:t>
      </w:r>
      <w:r w:rsidR="008913A5">
        <w:rPr>
          <w:rFonts w:eastAsiaTheme="minorEastAsia"/>
          <w:lang w:val="fr-CH" w:eastAsia="en-US"/>
        </w:rPr>
        <w:t>icle</w:t>
      </w:r>
      <w:r w:rsidR="147A5F7B" w:rsidRPr="00572D0C">
        <w:rPr>
          <w:rFonts w:eastAsiaTheme="minorEastAsia"/>
          <w:lang w:val="fr-CH" w:eastAsia="en-US"/>
        </w:rPr>
        <w:t xml:space="preserve"> 30</w:t>
      </w:r>
      <w:r w:rsidR="00474F55">
        <w:rPr>
          <w:rFonts w:eastAsiaTheme="minorEastAsia"/>
          <w:lang w:val="fr-CH" w:eastAsia="en-US"/>
        </w:rPr>
        <w:t>,</w:t>
      </w:r>
      <w:r w:rsidR="147A5F7B" w:rsidRPr="00572D0C">
        <w:rPr>
          <w:rFonts w:eastAsiaTheme="minorEastAsia"/>
          <w:lang w:val="fr-CH" w:eastAsia="en-US"/>
        </w:rPr>
        <w:t xml:space="preserve"> </w:t>
      </w:r>
      <w:r>
        <w:rPr>
          <w:rFonts w:eastAsiaTheme="minorEastAsia"/>
          <w:lang w:val="fr-CH" w:eastAsia="en-US"/>
        </w:rPr>
        <w:t>al</w:t>
      </w:r>
      <w:r w:rsidR="008913A5">
        <w:rPr>
          <w:rFonts w:eastAsiaTheme="minorEastAsia"/>
          <w:lang w:val="fr-CH" w:eastAsia="en-US"/>
        </w:rPr>
        <w:t>inéa</w:t>
      </w:r>
      <w:r w:rsidR="147A5F7B" w:rsidRPr="00572D0C">
        <w:rPr>
          <w:rFonts w:eastAsiaTheme="minorEastAsia"/>
          <w:lang w:val="fr-CH" w:eastAsia="en-US"/>
        </w:rPr>
        <w:t xml:space="preserve"> 1</w:t>
      </w:r>
      <w:r w:rsidR="147A5F7B" w:rsidRPr="00572D0C">
        <w:rPr>
          <w:rFonts w:eastAsiaTheme="minorEastAsia"/>
          <w:vertAlign w:val="superscript"/>
          <w:lang w:val="fr-CH" w:eastAsia="en-US"/>
        </w:rPr>
        <w:t>bis</w:t>
      </w:r>
      <w:r w:rsidR="00EC0990">
        <w:rPr>
          <w:rFonts w:eastAsiaTheme="minorEastAsia"/>
          <w:sz w:val="14"/>
          <w:szCs w:val="14"/>
          <w:lang w:val="fr-CH" w:eastAsia="en-US"/>
        </w:rPr>
        <w:t xml:space="preserve">, </w:t>
      </w:r>
      <w:r>
        <w:rPr>
          <w:rFonts w:eastAsiaTheme="minorEastAsia"/>
          <w:lang w:val="fr-CH" w:eastAsia="en-US"/>
        </w:rPr>
        <w:t>OAT, des SDA</w:t>
      </w:r>
      <w:r w:rsidR="147A5F7B" w:rsidRPr="00572D0C">
        <w:rPr>
          <w:rFonts w:eastAsiaTheme="minorEastAsia"/>
          <w:lang w:val="fr-CH" w:eastAsia="en-US"/>
        </w:rPr>
        <w:t xml:space="preserve"> </w:t>
      </w:r>
      <w:r>
        <w:rPr>
          <w:rFonts w:eastAsiaTheme="minorEastAsia"/>
          <w:lang w:val="fr-CH" w:eastAsia="en-US"/>
        </w:rPr>
        <w:t>ne peuvent être classées en zone à bâtir que lorsqu’un objectif que le canton également estime important ne peut pas être atteint judicieusement sans recourir aux surfaces d’assolement et lorsqu’il peut être assuré que les surfaces sollicitées seront utilisées de manière optimale selon l’état des connaissances. Les objectifs</w:t>
      </w:r>
      <w:r w:rsidR="00D67028">
        <w:rPr>
          <w:rFonts w:eastAsiaTheme="minorEastAsia"/>
          <w:lang w:val="fr-CH" w:eastAsia="en-US"/>
        </w:rPr>
        <w:t xml:space="preserve"> que le canton estime importants </w:t>
      </w:r>
      <w:r w:rsidR="00EC0990">
        <w:rPr>
          <w:rFonts w:eastAsiaTheme="minorEastAsia"/>
          <w:lang w:val="fr-CH" w:eastAsia="en-US"/>
        </w:rPr>
        <w:t xml:space="preserve">découlent </w:t>
      </w:r>
      <w:r w:rsidR="00D67028">
        <w:rPr>
          <w:rFonts w:eastAsiaTheme="minorEastAsia"/>
          <w:lang w:val="fr-CH" w:eastAsia="en-US"/>
        </w:rPr>
        <w:t xml:space="preserve">du plan directeur cantonal ou de la législation cantonale sur l’aménagement du territoire et les constructions. Il peut s’agir par exemple de la réalisation de pôles cantonaux de développement, de projets d’infrastructures publiques ou d’un développement de l’urbanisation à l’intérieur du milieu bâti, par exemple </w:t>
      </w:r>
      <w:r w:rsidR="00D10A1F">
        <w:rPr>
          <w:rFonts w:eastAsiaTheme="minorEastAsia"/>
          <w:lang w:val="fr-CH" w:eastAsia="en-US"/>
        </w:rPr>
        <w:t>le comblement des « dents creuses » (espaces non construits)</w:t>
      </w:r>
      <w:r w:rsidR="00D67028">
        <w:rPr>
          <w:rFonts w:eastAsiaTheme="minorEastAsia"/>
          <w:lang w:val="fr-CH" w:eastAsia="en-US"/>
        </w:rPr>
        <w:t xml:space="preserve">. </w:t>
      </w:r>
      <w:r w:rsidR="00D67028">
        <w:rPr>
          <w:rFonts w:eastAsiaTheme="minorEastAsia"/>
          <w:lang w:val="fr-CH"/>
        </w:rPr>
        <w:t xml:space="preserve">Les </w:t>
      </w:r>
      <w:r w:rsidR="004B2FB5">
        <w:rPr>
          <w:rFonts w:eastAsiaTheme="minorEastAsia"/>
          <w:lang w:val="fr-CH"/>
        </w:rPr>
        <w:t xml:space="preserve">prescriptions </w:t>
      </w:r>
      <w:r w:rsidR="00D67028">
        <w:rPr>
          <w:rFonts w:eastAsiaTheme="minorEastAsia"/>
          <w:lang w:val="fr-CH"/>
        </w:rPr>
        <w:t>du plan directeur cantonal</w:t>
      </w:r>
      <w:r w:rsidR="0024242E">
        <w:rPr>
          <w:rFonts w:eastAsiaTheme="minorEastAsia"/>
          <w:lang w:val="fr-CH"/>
        </w:rPr>
        <w:t xml:space="preserve"> </w:t>
      </w:r>
      <w:r w:rsidR="008913A5">
        <w:rPr>
          <w:rFonts w:eastAsiaTheme="minorEastAsia"/>
          <w:lang w:val="fr-CH"/>
        </w:rPr>
        <w:t>doivent être examinées</w:t>
      </w:r>
      <w:r w:rsidR="0024242E">
        <w:rPr>
          <w:rFonts w:eastAsiaTheme="minorEastAsia"/>
          <w:lang w:val="fr-CH"/>
        </w:rPr>
        <w:t xml:space="preserve"> </w:t>
      </w:r>
      <w:r w:rsidR="008913A5">
        <w:rPr>
          <w:rFonts w:eastAsiaTheme="minorEastAsia"/>
          <w:lang w:val="fr-CH"/>
        </w:rPr>
        <w:t>dans le cadre de la planification</w:t>
      </w:r>
      <w:r w:rsidR="0024242E">
        <w:rPr>
          <w:rFonts w:eastAsiaTheme="minorEastAsia"/>
          <w:lang w:val="fr-CH"/>
        </w:rPr>
        <w:t xml:space="preserve"> d’affectation. Une utilisation peut par exemple être optimisée par un accroissement de la densité d’utilisation et (également) un mode de construction sur plusieurs étages </w:t>
      </w:r>
      <w:r w:rsidR="0024242E">
        <w:rPr>
          <w:rFonts w:eastAsiaTheme="minorEastAsia"/>
          <w:lang w:val="fr-CH"/>
        </w:rPr>
        <w:lastRenderedPageBreak/>
        <w:t>pour des activités administratives. La preuve de l’importance des objectifs</w:t>
      </w:r>
      <w:r w:rsidR="009D61DB">
        <w:rPr>
          <w:rFonts w:eastAsiaTheme="minorEastAsia"/>
          <w:lang w:val="fr-CH"/>
        </w:rPr>
        <w:t xml:space="preserve"> visés par le canton et de l’utilisation optimale des surfaces </w:t>
      </w:r>
      <w:r w:rsidR="003720B4">
        <w:rPr>
          <w:rFonts w:eastAsiaTheme="minorEastAsia"/>
          <w:lang w:val="fr-CH"/>
        </w:rPr>
        <w:t>est</w:t>
      </w:r>
      <w:r w:rsidR="009D61DB">
        <w:rPr>
          <w:rFonts w:eastAsiaTheme="minorEastAsia"/>
          <w:lang w:val="fr-CH"/>
        </w:rPr>
        <w:t xml:space="preserve"> une condition</w:t>
      </w:r>
      <w:r w:rsidR="003720B4">
        <w:rPr>
          <w:rFonts w:eastAsiaTheme="minorEastAsia"/>
          <w:lang w:val="fr-CH"/>
        </w:rPr>
        <w:t xml:space="preserve"> de droit positif qui justifie la sollicitation de SDA</w:t>
      </w:r>
      <w:r w:rsidR="147A5F7B" w:rsidRPr="00572D0C">
        <w:rPr>
          <w:rFonts w:eastAsiaTheme="minorEastAsia"/>
          <w:lang w:val="fr-CH"/>
        </w:rPr>
        <w:t xml:space="preserve">. </w:t>
      </w:r>
      <w:r w:rsidR="003720B4">
        <w:rPr>
          <w:rFonts w:eastAsiaTheme="minorEastAsia"/>
          <w:lang w:val="fr-CH"/>
        </w:rPr>
        <w:t xml:space="preserve">Si ces preuves ne sont pas apportées, l’utilisation de SDA n’est pas autorisée et il n’y a pas lieu de procéder à une pesée des intérêts en présence. </w:t>
      </w:r>
    </w:p>
    <w:p w14:paraId="0B7B7A58" w14:textId="3C666620" w:rsidR="003E1C06" w:rsidRDefault="002B24E3">
      <w:pPr>
        <w:rPr>
          <w:rFonts w:eastAsiaTheme="minorEastAsia"/>
          <w:lang w:val="fr-CH" w:eastAsia="en-US"/>
        </w:rPr>
      </w:pPr>
      <w:r>
        <w:rPr>
          <w:rFonts w:eastAsiaTheme="minorEastAsia"/>
          <w:lang w:val="fr-CH" w:eastAsia="en-US"/>
        </w:rPr>
        <w:t>L’a</w:t>
      </w:r>
      <w:r w:rsidR="147A5F7B" w:rsidRPr="00572D0C">
        <w:rPr>
          <w:rFonts w:eastAsiaTheme="minorEastAsia"/>
          <w:lang w:val="fr-CH" w:eastAsia="en-US"/>
        </w:rPr>
        <w:t>rt</w:t>
      </w:r>
      <w:r w:rsidR="008913A5">
        <w:rPr>
          <w:rFonts w:eastAsiaTheme="minorEastAsia"/>
          <w:lang w:val="fr-CH" w:eastAsia="en-US"/>
        </w:rPr>
        <w:t>icle</w:t>
      </w:r>
      <w:r w:rsidR="147A5F7B" w:rsidRPr="00572D0C">
        <w:rPr>
          <w:rFonts w:eastAsiaTheme="minorEastAsia"/>
          <w:lang w:val="fr-CH" w:eastAsia="en-US"/>
        </w:rPr>
        <w:t xml:space="preserve"> 30</w:t>
      </w:r>
      <w:r w:rsidR="008913A5">
        <w:rPr>
          <w:rFonts w:eastAsiaTheme="minorEastAsia"/>
          <w:lang w:val="fr-CH" w:eastAsia="en-US"/>
        </w:rPr>
        <w:t>,</w:t>
      </w:r>
      <w:r w:rsidR="147A5F7B" w:rsidRPr="00572D0C">
        <w:rPr>
          <w:rFonts w:eastAsiaTheme="minorEastAsia"/>
          <w:lang w:val="fr-CH" w:eastAsia="en-US"/>
        </w:rPr>
        <w:t xml:space="preserve"> </w:t>
      </w:r>
      <w:r>
        <w:rPr>
          <w:rFonts w:eastAsiaTheme="minorEastAsia"/>
          <w:lang w:val="fr-CH" w:eastAsia="en-US"/>
        </w:rPr>
        <w:t>al</w:t>
      </w:r>
      <w:r w:rsidR="008913A5">
        <w:rPr>
          <w:rFonts w:eastAsiaTheme="minorEastAsia"/>
          <w:lang w:val="fr-CH" w:eastAsia="en-US"/>
        </w:rPr>
        <w:t>inéa</w:t>
      </w:r>
      <w:r w:rsidR="147A5F7B" w:rsidRPr="00572D0C">
        <w:rPr>
          <w:rFonts w:eastAsiaTheme="minorEastAsia"/>
          <w:lang w:val="fr-CH" w:eastAsia="en-US"/>
        </w:rPr>
        <w:t xml:space="preserve"> 2</w:t>
      </w:r>
      <w:r w:rsidR="00D56577">
        <w:rPr>
          <w:rFonts w:eastAsiaTheme="minorEastAsia"/>
          <w:lang w:val="fr-CH" w:eastAsia="en-US"/>
        </w:rPr>
        <w:t>,</w:t>
      </w:r>
      <w:r w:rsidR="147A5F7B" w:rsidRPr="00572D0C">
        <w:rPr>
          <w:rFonts w:eastAsiaTheme="minorEastAsia"/>
          <w:lang w:val="fr-CH" w:eastAsia="en-US"/>
        </w:rPr>
        <w:t xml:space="preserve"> </w:t>
      </w:r>
      <w:r w:rsidR="005F721C">
        <w:rPr>
          <w:rFonts w:eastAsiaTheme="minorEastAsia"/>
          <w:lang w:val="fr-CH" w:eastAsia="en-US"/>
        </w:rPr>
        <w:t>O</w:t>
      </w:r>
      <w:r>
        <w:rPr>
          <w:rFonts w:eastAsiaTheme="minorEastAsia"/>
          <w:lang w:val="fr-CH" w:eastAsia="en-US"/>
        </w:rPr>
        <w:t>AT</w:t>
      </w:r>
      <w:r w:rsidR="147A5F7B" w:rsidRPr="00572D0C">
        <w:rPr>
          <w:rFonts w:eastAsiaTheme="minorEastAsia"/>
          <w:lang w:val="fr-CH" w:eastAsia="en-US"/>
        </w:rPr>
        <w:t xml:space="preserve"> </w:t>
      </w:r>
      <w:r w:rsidR="00D56577">
        <w:rPr>
          <w:rFonts w:eastAsiaTheme="minorEastAsia"/>
          <w:lang w:val="fr-CH" w:eastAsia="en-US"/>
        </w:rPr>
        <w:t>pose une condition supplémentaire au changement d’affectation de SDA. Selon cette disposition,</w:t>
      </w:r>
      <w:r w:rsidR="005F721C">
        <w:rPr>
          <w:rFonts w:eastAsiaTheme="minorEastAsia"/>
          <w:lang w:val="fr-CH" w:eastAsia="en-US"/>
        </w:rPr>
        <w:t xml:space="preserve"> le canton </w:t>
      </w:r>
      <w:r w:rsidR="00D56577">
        <w:rPr>
          <w:rFonts w:eastAsiaTheme="minorEastAsia"/>
          <w:lang w:val="fr-CH" w:eastAsia="en-US"/>
        </w:rPr>
        <w:t>s’assure</w:t>
      </w:r>
      <w:r w:rsidR="005F721C">
        <w:rPr>
          <w:rFonts w:eastAsiaTheme="minorEastAsia"/>
          <w:lang w:val="fr-CH" w:eastAsia="en-US"/>
        </w:rPr>
        <w:t xml:space="preserve"> que son contingent de SDA fixé dans le </w:t>
      </w:r>
      <w:r w:rsidR="005A3CAA">
        <w:rPr>
          <w:rFonts w:eastAsiaTheme="minorEastAsia"/>
          <w:lang w:val="fr-CH" w:eastAsia="en-US"/>
        </w:rPr>
        <w:t>P</w:t>
      </w:r>
      <w:r w:rsidR="005F721C">
        <w:rPr>
          <w:rFonts w:eastAsiaTheme="minorEastAsia"/>
          <w:lang w:val="fr-CH" w:eastAsia="en-US"/>
        </w:rPr>
        <w:t xml:space="preserve">lan sectoriel des SDA </w:t>
      </w:r>
      <w:r w:rsidR="00D56577">
        <w:rPr>
          <w:rFonts w:eastAsiaTheme="minorEastAsia"/>
          <w:lang w:val="fr-CH" w:eastAsia="en-US"/>
        </w:rPr>
        <w:t xml:space="preserve">soit </w:t>
      </w:r>
      <w:r w:rsidR="005F721C">
        <w:rPr>
          <w:rFonts w:eastAsiaTheme="minorEastAsia"/>
          <w:lang w:val="fr-CH" w:eastAsia="en-US"/>
        </w:rPr>
        <w:t>garanti</w:t>
      </w:r>
      <w:r w:rsidR="00D56577">
        <w:rPr>
          <w:rFonts w:eastAsiaTheme="minorEastAsia"/>
          <w:lang w:val="fr-CH" w:eastAsia="en-US"/>
        </w:rPr>
        <w:t xml:space="preserve"> en tout temps</w:t>
      </w:r>
      <w:r w:rsidR="147A5F7B" w:rsidRPr="00572D0C">
        <w:rPr>
          <w:rFonts w:eastAsiaTheme="minorEastAsia"/>
          <w:lang w:val="fr-CH" w:eastAsia="en-US"/>
        </w:rPr>
        <w:t>.</w:t>
      </w:r>
      <w:r w:rsidR="005F721C">
        <w:rPr>
          <w:rFonts w:eastAsiaTheme="minorEastAsia"/>
          <w:lang w:val="fr-CH" w:eastAsia="en-US"/>
        </w:rPr>
        <w:t xml:space="preserve"> Lorsqu’un projet </w:t>
      </w:r>
      <w:r w:rsidR="00D56577">
        <w:rPr>
          <w:rFonts w:eastAsiaTheme="minorEastAsia"/>
          <w:lang w:val="fr-CH" w:eastAsia="en-US"/>
        </w:rPr>
        <w:t xml:space="preserve">fait </w:t>
      </w:r>
      <w:r w:rsidR="00F03BFB">
        <w:rPr>
          <w:rFonts w:eastAsiaTheme="minorEastAsia"/>
          <w:lang w:val="fr-CH" w:eastAsia="en-US"/>
        </w:rPr>
        <w:t xml:space="preserve">disparaître </w:t>
      </w:r>
      <w:r w:rsidR="005F721C">
        <w:rPr>
          <w:rFonts w:eastAsiaTheme="minorEastAsia"/>
          <w:lang w:val="fr-CH" w:eastAsia="en-US"/>
        </w:rPr>
        <w:t>cette garantie, aucune autorisation ne peut être délivrée même si les autres conditions sont remplies. Les cantons qui ne respectent pas leur contingent de SDA ne peuvent classer des SDA en zone à bâtir que s’ils peuvent compenser</w:t>
      </w:r>
      <w:r w:rsidR="003205B3">
        <w:rPr>
          <w:rFonts w:eastAsiaTheme="minorEastAsia"/>
          <w:lang w:val="fr-CH" w:eastAsia="en-US"/>
        </w:rPr>
        <w:t xml:space="preserve"> celles-ci hors de la zone à bâtir </w:t>
      </w:r>
      <w:r w:rsidR="008913A5">
        <w:rPr>
          <w:rFonts w:eastAsiaTheme="minorEastAsia"/>
          <w:lang w:val="fr-CH" w:eastAsia="en-US"/>
        </w:rPr>
        <w:t>(</w:t>
      </w:r>
      <w:r w:rsidR="00F03BFB">
        <w:rPr>
          <w:rFonts w:eastAsiaTheme="minorEastAsia"/>
          <w:lang w:val="fr-CH" w:eastAsia="en-US"/>
        </w:rPr>
        <w:t xml:space="preserve">à propos des </w:t>
      </w:r>
      <w:r w:rsidR="008913A5">
        <w:rPr>
          <w:rFonts w:eastAsiaTheme="minorEastAsia"/>
          <w:lang w:val="fr-CH" w:eastAsia="en-US"/>
        </w:rPr>
        <w:t>compensation</w:t>
      </w:r>
      <w:r w:rsidR="00F03BFB">
        <w:rPr>
          <w:rFonts w:eastAsiaTheme="minorEastAsia"/>
          <w:lang w:val="fr-CH" w:eastAsia="en-US"/>
        </w:rPr>
        <w:t>s, cf.</w:t>
      </w:r>
      <w:r w:rsidR="008913A5">
        <w:rPr>
          <w:rFonts w:eastAsiaTheme="minorEastAsia"/>
          <w:lang w:val="fr-CH" w:eastAsia="en-US"/>
        </w:rPr>
        <w:t xml:space="preserve"> P8 et P9) </w:t>
      </w:r>
      <w:r w:rsidR="003205B3">
        <w:rPr>
          <w:rFonts w:eastAsiaTheme="minorEastAsia"/>
          <w:lang w:val="fr-CH" w:eastAsia="en-US"/>
        </w:rPr>
        <w:t>ou prévoir des zones réservées pour des territoires non équipés sis dans des zones à bâtir</w:t>
      </w:r>
      <w:r w:rsidR="008913A5">
        <w:rPr>
          <w:rFonts w:eastAsiaTheme="minorEastAsia"/>
          <w:lang w:val="fr-CH" w:eastAsia="en-US"/>
        </w:rPr>
        <w:t xml:space="preserve"> </w:t>
      </w:r>
      <w:r w:rsidR="00F03BFB">
        <w:rPr>
          <w:rFonts w:eastAsiaTheme="minorEastAsia"/>
          <w:lang w:val="fr-CH" w:eastAsia="en-US"/>
        </w:rPr>
        <w:t>existantes</w:t>
      </w:r>
      <w:r w:rsidR="003205B3">
        <w:rPr>
          <w:rFonts w:eastAsiaTheme="minorEastAsia"/>
          <w:lang w:val="fr-CH" w:eastAsia="en-US"/>
        </w:rPr>
        <w:t>. De même, un classement de SDA en zone à bâtir ne sera pas autorisé si les conditions prévues à l’a</w:t>
      </w:r>
      <w:r w:rsidR="147A5F7B" w:rsidRPr="00572D0C">
        <w:rPr>
          <w:rFonts w:eastAsiaTheme="minorEastAsia"/>
          <w:lang w:val="fr-CH" w:eastAsia="en-US"/>
        </w:rPr>
        <w:t>rt</w:t>
      </w:r>
      <w:r w:rsidR="003E1C06">
        <w:rPr>
          <w:rFonts w:eastAsiaTheme="minorEastAsia"/>
          <w:lang w:val="fr-CH" w:eastAsia="en-US"/>
        </w:rPr>
        <w:t>icle</w:t>
      </w:r>
      <w:r w:rsidR="147A5F7B" w:rsidRPr="00572D0C">
        <w:rPr>
          <w:rFonts w:eastAsiaTheme="minorEastAsia"/>
          <w:lang w:val="fr-CH" w:eastAsia="en-US"/>
        </w:rPr>
        <w:t xml:space="preserve"> 15</w:t>
      </w:r>
      <w:r w:rsidR="003E1C06">
        <w:rPr>
          <w:rFonts w:eastAsiaTheme="minorEastAsia"/>
          <w:lang w:val="fr-CH" w:eastAsia="en-US"/>
        </w:rPr>
        <w:t>,</w:t>
      </w:r>
      <w:r w:rsidR="147A5F7B" w:rsidRPr="00572D0C">
        <w:rPr>
          <w:rFonts w:eastAsiaTheme="minorEastAsia"/>
          <w:lang w:val="fr-CH" w:eastAsia="en-US"/>
        </w:rPr>
        <w:t xml:space="preserve"> </w:t>
      </w:r>
      <w:r w:rsidR="003205B3">
        <w:rPr>
          <w:rFonts w:eastAsiaTheme="minorEastAsia"/>
          <w:lang w:val="fr-CH" w:eastAsia="en-US"/>
        </w:rPr>
        <w:t>al</w:t>
      </w:r>
      <w:r w:rsidR="003E1C06">
        <w:rPr>
          <w:rFonts w:eastAsiaTheme="minorEastAsia"/>
          <w:lang w:val="fr-CH" w:eastAsia="en-US"/>
        </w:rPr>
        <w:t>inéa</w:t>
      </w:r>
      <w:r w:rsidR="147A5F7B" w:rsidRPr="00572D0C">
        <w:rPr>
          <w:rFonts w:eastAsiaTheme="minorEastAsia"/>
          <w:lang w:val="fr-CH" w:eastAsia="en-US"/>
        </w:rPr>
        <w:t xml:space="preserve"> 4 </w:t>
      </w:r>
      <w:r w:rsidR="003205B3">
        <w:rPr>
          <w:rFonts w:eastAsiaTheme="minorEastAsia"/>
          <w:lang w:val="fr-CH" w:eastAsia="en-US"/>
        </w:rPr>
        <w:t>LAT ne sont pas satisfaites</w:t>
      </w:r>
      <w:r w:rsidR="147A5F7B" w:rsidRPr="00572D0C">
        <w:rPr>
          <w:rFonts w:eastAsiaTheme="minorEastAsia"/>
          <w:lang w:val="fr-CH" w:eastAsia="en-US"/>
        </w:rPr>
        <w:t>.</w:t>
      </w:r>
      <w:r w:rsidR="003E1C06">
        <w:rPr>
          <w:rFonts w:eastAsiaTheme="minorEastAsia"/>
          <w:lang w:val="fr-CH" w:eastAsia="en-US"/>
        </w:rPr>
        <w:t xml:space="preserve"> </w:t>
      </w:r>
      <w:r w:rsidR="00401BD8">
        <w:rPr>
          <w:rFonts w:eastAsiaTheme="minorEastAsia"/>
          <w:lang w:val="fr-CH" w:eastAsia="en-US"/>
        </w:rPr>
        <w:t>La pesée des intérêts en présence n’intervient que lorsque les conditions de droit positif au changement d’affectation de SDA sont satisfaites</w:t>
      </w:r>
      <w:r w:rsidR="147A5F7B" w:rsidRPr="00572D0C">
        <w:rPr>
          <w:rFonts w:eastAsiaTheme="minorEastAsia"/>
          <w:lang w:val="fr-CH" w:eastAsia="en-US"/>
        </w:rPr>
        <w:t xml:space="preserve">. </w:t>
      </w:r>
    </w:p>
    <w:p w14:paraId="7EC34201" w14:textId="7E92323B" w:rsidR="003E1C06" w:rsidRDefault="003E1C06" w:rsidP="00501D1D">
      <w:pPr>
        <w:pStyle w:val="berschrift3"/>
        <w:rPr>
          <w:rFonts w:eastAsiaTheme="minorEastAsia"/>
          <w:lang w:val="fr-CH" w:eastAsia="en-US"/>
        </w:rPr>
      </w:pPr>
      <w:bookmarkStart w:id="154" w:name="_Toc532996297"/>
      <w:r>
        <w:rPr>
          <w:rFonts w:eastAsiaTheme="minorEastAsia"/>
          <w:lang w:val="fr-CH" w:eastAsia="en-US"/>
        </w:rPr>
        <w:t>Autres exigences relatives à la protection des SDA</w:t>
      </w:r>
      <w:bookmarkEnd w:id="154"/>
    </w:p>
    <w:p w14:paraId="559045D8" w14:textId="3B962CAE" w:rsidR="004D4949" w:rsidRPr="00572D0C" w:rsidRDefault="0047207C">
      <w:pPr>
        <w:rPr>
          <w:rFonts w:eastAsiaTheme="minorEastAsia"/>
          <w:sz w:val="16"/>
          <w:szCs w:val="16"/>
          <w:lang w:val="fr-CH" w:eastAsia="en-US"/>
        </w:rPr>
      </w:pPr>
      <w:r>
        <w:rPr>
          <w:rFonts w:eastAsiaTheme="minorEastAsia"/>
          <w:lang w:val="fr-CH" w:eastAsia="en-US"/>
        </w:rPr>
        <w:t>L</w:t>
      </w:r>
      <w:r w:rsidR="00401BD8">
        <w:rPr>
          <w:rFonts w:eastAsiaTheme="minorEastAsia"/>
          <w:lang w:val="fr-CH" w:eastAsia="en-US"/>
        </w:rPr>
        <w:t xml:space="preserve">es mesures d’aménagement </w:t>
      </w:r>
      <w:r>
        <w:rPr>
          <w:rFonts w:eastAsiaTheme="minorEastAsia"/>
          <w:lang w:val="fr-CH" w:eastAsia="en-US"/>
        </w:rPr>
        <w:t>ont pour but,</w:t>
      </w:r>
      <w:r w:rsidRPr="0047207C">
        <w:rPr>
          <w:rFonts w:eastAsiaTheme="minorEastAsia"/>
          <w:lang w:val="fr-CH" w:eastAsia="en-US"/>
        </w:rPr>
        <w:t xml:space="preserve"> </w:t>
      </w:r>
      <w:r>
        <w:rPr>
          <w:rFonts w:eastAsiaTheme="minorEastAsia"/>
          <w:lang w:val="fr-CH" w:eastAsia="en-US"/>
        </w:rPr>
        <w:t>selon l’a</w:t>
      </w:r>
      <w:r w:rsidRPr="00572D0C">
        <w:rPr>
          <w:rFonts w:eastAsiaTheme="minorEastAsia"/>
          <w:lang w:val="fr-CH" w:eastAsia="en-US"/>
        </w:rPr>
        <w:t>rt</w:t>
      </w:r>
      <w:r w:rsidR="005500D2">
        <w:rPr>
          <w:rFonts w:eastAsiaTheme="minorEastAsia"/>
          <w:lang w:val="fr-CH" w:eastAsia="en-US"/>
        </w:rPr>
        <w:t>icle</w:t>
      </w:r>
      <w:r w:rsidRPr="00572D0C">
        <w:rPr>
          <w:rFonts w:eastAsiaTheme="minorEastAsia"/>
          <w:lang w:val="fr-CH" w:eastAsia="en-US"/>
        </w:rPr>
        <w:t xml:space="preserve"> </w:t>
      </w:r>
      <w:r>
        <w:rPr>
          <w:rFonts w:eastAsiaTheme="minorEastAsia"/>
          <w:lang w:val="fr-CH" w:eastAsia="en-US"/>
        </w:rPr>
        <w:t>1,</w:t>
      </w:r>
      <w:r w:rsidRPr="00572D0C">
        <w:rPr>
          <w:rFonts w:eastAsiaTheme="minorEastAsia"/>
          <w:lang w:val="fr-CH" w:eastAsia="en-US"/>
        </w:rPr>
        <w:t xml:space="preserve"> </w:t>
      </w:r>
      <w:r>
        <w:rPr>
          <w:rFonts w:eastAsiaTheme="minorEastAsia"/>
          <w:lang w:val="fr-CH" w:eastAsia="en-US"/>
        </w:rPr>
        <w:t>al</w:t>
      </w:r>
      <w:r w:rsidR="005500D2">
        <w:rPr>
          <w:rFonts w:eastAsiaTheme="minorEastAsia"/>
          <w:lang w:val="fr-CH" w:eastAsia="en-US"/>
        </w:rPr>
        <w:t>inéa</w:t>
      </w:r>
      <w:r w:rsidRPr="00572D0C">
        <w:rPr>
          <w:rFonts w:eastAsiaTheme="minorEastAsia"/>
          <w:lang w:val="fr-CH" w:eastAsia="en-US"/>
        </w:rPr>
        <w:t xml:space="preserve"> 2</w:t>
      </w:r>
      <w:r>
        <w:rPr>
          <w:rFonts w:eastAsiaTheme="minorEastAsia"/>
          <w:lang w:val="fr-CH" w:eastAsia="en-US"/>
        </w:rPr>
        <w:t>,</w:t>
      </w:r>
      <w:r w:rsidRPr="00572D0C">
        <w:rPr>
          <w:rFonts w:eastAsiaTheme="minorEastAsia"/>
          <w:lang w:val="fr-CH" w:eastAsia="en-US"/>
        </w:rPr>
        <w:t xml:space="preserve"> </w:t>
      </w:r>
      <w:r>
        <w:rPr>
          <w:rFonts w:eastAsiaTheme="minorEastAsia"/>
          <w:lang w:val="fr-CH" w:eastAsia="en-US"/>
        </w:rPr>
        <w:t>let</w:t>
      </w:r>
      <w:r w:rsidR="005500D2">
        <w:rPr>
          <w:rFonts w:eastAsiaTheme="minorEastAsia"/>
          <w:lang w:val="fr-CH" w:eastAsia="en-US"/>
        </w:rPr>
        <w:t>tre</w:t>
      </w:r>
      <w:r w:rsidRPr="00572D0C">
        <w:rPr>
          <w:rFonts w:eastAsiaTheme="minorEastAsia"/>
          <w:lang w:val="fr-CH" w:eastAsia="en-US"/>
        </w:rPr>
        <w:t xml:space="preserve"> a</w:t>
      </w:r>
      <w:r>
        <w:rPr>
          <w:rFonts w:eastAsiaTheme="minorEastAsia"/>
          <w:lang w:val="fr-CH" w:eastAsia="en-US"/>
        </w:rPr>
        <w:t>,</w:t>
      </w:r>
      <w:r w:rsidRPr="00572D0C">
        <w:rPr>
          <w:rFonts w:eastAsiaTheme="minorEastAsia"/>
          <w:lang w:val="fr-CH" w:eastAsia="en-US"/>
        </w:rPr>
        <w:t xml:space="preserve"> </w:t>
      </w:r>
      <w:r>
        <w:rPr>
          <w:rFonts w:eastAsiaTheme="minorEastAsia"/>
          <w:lang w:val="fr-CH" w:eastAsia="en-US"/>
        </w:rPr>
        <w:t>LAT,</w:t>
      </w:r>
      <w:r w:rsidR="00401BD8">
        <w:rPr>
          <w:rFonts w:eastAsiaTheme="minorEastAsia"/>
          <w:lang w:val="fr-CH" w:eastAsia="en-US"/>
        </w:rPr>
        <w:t xml:space="preserve"> </w:t>
      </w:r>
      <w:r>
        <w:rPr>
          <w:rFonts w:eastAsiaTheme="minorEastAsia"/>
          <w:lang w:val="fr-CH" w:eastAsia="en-US"/>
        </w:rPr>
        <w:t xml:space="preserve">de </w:t>
      </w:r>
      <w:r w:rsidR="00401BD8">
        <w:rPr>
          <w:rFonts w:eastAsiaTheme="minorEastAsia"/>
          <w:lang w:val="fr-CH" w:eastAsia="en-US"/>
        </w:rPr>
        <w:t>protéger les bases naturelles de la vie</w:t>
      </w:r>
      <w:r w:rsidR="00F03BFB">
        <w:rPr>
          <w:rFonts w:eastAsiaTheme="minorEastAsia"/>
          <w:lang w:val="fr-CH" w:eastAsia="en-US"/>
        </w:rPr>
        <w:t>,</w:t>
      </w:r>
      <w:r w:rsidR="00401BD8">
        <w:rPr>
          <w:rFonts w:eastAsiaTheme="minorEastAsia"/>
          <w:lang w:val="fr-CH" w:eastAsia="en-US"/>
        </w:rPr>
        <w:t xml:space="preserve"> telles que le sol, l’air, l’eau, la forêt et le paysage</w:t>
      </w:r>
      <w:r w:rsidR="147A5F7B" w:rsidRPr="00572D0C">
        <w:rPr>
          <w:rFonts w:eastAsiaTheme="minorEastAsia"/>
          <w:lang w:val="fr-CH" w:eastAsia="en-US"/>
        </w:rPr>
        <w:t xml:space="preserve"> </w:t>
      </w:r>
      <w:r w:rsidR="00401BD8">
        <w:rPr>
          <w:rFonts w:eastAsiaTheme="minorEastAsia"/>
          <w:lang w:val="fr-CH" w:eastAsia="en-US"/>
        </w:rPr>
        <w:t>et</w:t>
      </w:r>
      <w:r>
        <w:rPr>
          <w:rFonts w:eastAsiaTheme="minorEastAsia"/>
          <w:lang w:val="fr-CH" w:eastAsia="en-US"/>
        </w:rPr>
        <w:t>,</w:t>
      </w:r>
      <w:r w:rsidR="00401BD8">
        <w:rPr>
          <w:rFonts w:eastAsiaTheme="minorEastAsia"/>
          <w:lang w:val="fr-CH" w:eastAsia="en-US"/>
        </w:rPr>
        <w:t xml:space="preserve"> selon l’a</w:t>
      </w:r>
      <w:r w:rsidR="147A5F7B" w:rsidRPr="00572D0C">
        <w:rPr>
          <w:rFonts w:eastAsiaTheme="minorEastAsia"/>
          <w:lang w:val="fr-CH" w:eastAsia="en-US"/>
        </w:rPr>
        <w:t>rt</w:t>
      </w:r>
      <w:r w:rsidR="003E1C06">
        <w:rPr>
          <w:rFonts w:eastAsiaTheme="minorEastAsia"/>
          <w:lang w:val="fr-CH" w:eastAsia="en-US"/>
        </w:rPr>
        <w:t>icle</w:t>
      </w:r>
      <w:r w:rsidR="003E1C06" w:rsidRPr="00572D0C">
        <w:rPr>
          <w:rFonts w:eastAsiaTheme="minorEastAsia"/>
          <w:lang w:val="fr-CH" w:eastAsia="en-US"/>
        </w:rPr>
        <w:t xml:space="preserve"> </w:t>
      </w:r>
      <w:r w:rsidR="147A5F7B" w:rsidRPr="00572D0C">
        <w:rPr>
          <w:rFonts w:eastAsiaTheme="minorEastAsia"/>
          <w:lang w:val="fr-CH" w:eastAsia="en-US"/>
        </w:rPr>
        <w:t>1</w:t>
      </w:r>
      <w:r w:rsidR="003E1C06">
        <w:rPr>
          <w:rFonts w:eastAsiaTheme="minorEastAsia"/>
          <w:lang w:val="fr-CH" w:eastAsia="en-US"/>
        </w:rPr>
        <w:t>,</w:t>
      </w:r>
      <w:r w:rsidR="147A5F7B" w:rsidRPr="00572D0C">
        <w:rPr>
          <w:rFonts w:eastAsiaTheme="minorEastAsia"/>
          <w:lang w:val="fr-CH" w:eastAsia="en-US"/>
        </w:rPr>
        <w:t xml:space="preserve"> </w:t>
      </w:r>
      <w:r w:rsidR="00401BD8">
        <w:rPr>
          <w:rFonts w:eastAsiaTheme="minorEastAsia"/>
          <w:lang w:val="fr-CH" w:eastAsia="en-US"/>
        </w:rPr>
        <w:t>al</w:t>
      </w:r>
      <w:r w:rsidR="003E1C06">
        <w:rPr>
          <w:rFonts w:eastAsiaTheme="minorEastAsia"/>
          <w:lang w:val="fr-CH" w:eastAsia="en-US"/>
        </w:rPr>
        <w:t>inéa</w:t>
      </w:r>
      <w:r w:rsidR="147A5F7B" w:rsidRPr="00572D0C">
        <w:rPr>
          <w:rFonts w:eastAsiaTheme="minorEastAsia"/>
          <w:lang w:val="fr-CH" w:eastAsia="en-US"/>
        </w:rPr>
        <w:t xml:space="preserve"> 2</w:t>
      </w:r>
      <w:r w:rsidR="003E1C06">
        <w:rPr>
          <w:rFonts w:eastAsiaTheme="minorEastAsia"/>
          <w:lang w:val="fr-CH" w:eastAsia="en-US"/>
        </w:rPr>
        <w:t>,</w:t>
      </w:r>
      <w:r w:rsidR="147A5F7B" w:rsidRPr="00572D0C">
        <w:rPr>
          <w:rFonts w:eastAsiaTheme="minorEastAsia"/>
          <w:lang w:val="fr-CH" w:eastAsia="en-US"/>
        </w:rPr>
        <w:t xml:space="preserve"> </w:t>
      </w:r>
      <w:r w:rsidR="00401BD8">
        <w:rPr>
          <w:rFonts w:eastAsiaTheme="minorEastAsia"/>
          <w:lang w:val="fr-CH" w:eastAsia="en-US"/>
        </w:rPr>
        <w:t>le</w:t>
      </w:r>
      <w:r w:rsidR="147A5F7B" w:rsidRPr="00572D0C">
        <w:rPr>
          <w:rFonts w:eastAsiaTheme="minorEastAsia"/>
          <w:lang w:val="fr-CH" w:eastAsia="en-US"/>
        </w:rPr>
        <w:t>t</w:t>
      </w:r>
      <w:r w:rsidR="003E1C06">
        <w:rPr>
          <w:rFonts w:eastAsiaTheme="minorEastAsia"/>
          <w:lang w:val="fr-CH" w:eastAsia="en-US"/>
        </w:rPr>
        <w:t>tre</w:t>
      </w:r>
      <w:r w:rsidR="147A5F7B" w:rsidRPr="00572D0C">
        <w:rPr>
          <w:rFonts w:eastAsiaTheme="minorEastAsia"/>
          <w:lang w:val="fr-CH" w:eastAsia="en-US"/>
        </w:rPr>
        <w:t xml:space="preserve"> d</w:t>
      </w:r>
      <w:r>
        <w:rPr>
          <w:rFonts w:eastAsiaTheme="minorEastAsia"/>
          <w:lang w:val="fr-CH" w:eastAsia="en-US"/>
        </w:rPr>
        <w:t>,</w:t>
      </w:r>
      <w:r w:rsidR="147A5F7B" w:rsidRPr="00572D0C">
        <w:rPr>
          <w:rFonts w:eastAsiaTheme="minorEastAsia"/>
          <w:lang w:val="fr-CH" w:eastAsia="en-US"/>
        </w:rPr>
        <w:t xml:space="preserve"> </w:t>
      </w:r>
      <w:r w:rsidR="00401BD8">
        <w:rPr>
          <w:rFonts w:eastAsiaTheme="minorEastAsia"/>
          <w:lang w:val="fr-CH" w:eastAsia="en-US"/>
        </w:rPr>
        <w:t>LAT</w:t>
      </w:r>
      <w:r>
        <w:rPr>
          <w:rFonts w:eastAsiaTheme="minorEastAsia"/>
          <w:lang w:val="fr-CH" w:eastAsia="en-US"/>
        </w:rPr>
        <w:t>,</w:t>
      </w:r>
      <w:r w:rsidR="00401BD8">
        <w:rPr>
          <w:rFonts w:eastAsiaTheme="minorEastAsia"/>
          <w:lang w:val="fr-CH" w:eastAsia="en-US"/>
        </w:rPr>
        <w:t xml:space="preserve"> </w:t>
      </w:r>
      <w:r>
        <w:rPr>
          <w:rFonts w:eastAsiaTheme="minorEastAsia"/>
          <w:lang w:val="fr-CH" w:eastAsia="en-US"/>
        </w:rPr>
        <w:t xml:space="preserve">de </w:t>
      </w:r>
      <w:r w:rsidR="00401BD8">
        <w:rPr>
          <w:rFonts w:eastAsiaTheme="minorEastAsia"/>
          <w:lang w:val="fr-CH" w:eastAsia="en-US"/>
        </w:rPr>
        <w:t>garantir des sources d’approvisionnement suffisantes dans le pays</w:t>
      </w:r>
      <w:r w:rsidR="147A5F7B" w:rsidRPr="00572D0C">
        <w:rPr>
          <w:rFonts w:eastAsiaTheme="minorEastAsia"/>
          <w:lang w:val="fr-CH" w:eastAsia="en-US"/>
        </w:rPr>
        <w:t xml:space="preserve">. </w:t>
      </w:r>
      <w:r w:rsidR="00401BD8">
        <w:rPr>
          <w:rFonts w:eastAsiaTheme="minorEastAsia"/>
          <w:lang w:val="fr-CH" w:eastAsia="en-US"/>
        </w:rPr>
        <w:t xml:space="preserve">Même si les SDA ne sont pas expressément mentionnées, elles </w:t>
      </w:r>
      <w:r>
        <w:rPr>
          <w:rFonts w:eastAsiaTheme="minorEastAsia"/>
          <w:lang w:val="fr-CH" w:eastAsia="en-US"/>
        </w:rPr>
        <w:t>sont directement visées par ces dispositions de protection</w:t>
      </w:r>
      <w:r w:rsidR="00401BD8">
        <w:rPr>
          <w:rFonts w:eastAsiaTheme="minorEastAsia"/>
          <w:lang w:val="fr-CH" w:eastAsia="en-US"/>
        </w:rPr>
        <w:t xml:space="preserve"> (de même que les terres agricoles)</w:t>
      </w:r>
      <w:r w:rsidR="147A5F7B" w:rsidRPr="00572D0C">
        <w:rPr>
          <w:rFonts w:eastAsiaTheme="minorEastAsia"/>
          <w:lang w:val="fr-CH" w:eastAsia="en-US"/>
        </w:rPr>
        <w:t>.</w:t>
      </w:r>
    </w:p>
    <w:p w14:paraId="0D71616A" w14:textId="287480A8" w:rsidR="00350832" w:rsidRPr="00572D0C" w:rsidRDefault="00401BD8">
      <w:pPr>
        <w:rPr>
          <w:rFonts w:eastAsiaTheme="minorEastAsia"/>
          <w:lang w:val="fr-CH" w:eastAsia="en-US"/>
        </w:rPr>
      </w:pPr>
      <w:r>
        <w:rPr>
          <w:rFonts w:eastAsiaTheme="minorEastAsia"/>
          <w:lang w:val="fr-CH" w:eastAsia="en-US"/>
        </w:rPr>
        <w:t xml:space="preserve">La protection des SDA est </w:t>
      </w:r>
      <w:r w:rsidR="00B168C4">
        <w:rPr>
          <w:rFonts w:eastAsiaTheme="minorEastAsia"/>
          <w:lang w:val="fr-CH" w:eastAsia="en-US"/>
        </w:rPr>
        <w:t xml:space="preserve">expressément mentionnée </w:t>
      </w:r>
      <w:r>
        <w:rPr>
          <w:rFonts w:eastAsiaTheme="minorEastAsia"/>
          <w:lang w:val="fr-CH" w:eastAsia="en-US"/>
        </w:rPr>
        <w:t xml:space="preserve">dans le principe d’aménagement </w:t>
      </w:r>
      <w:r w:rsidR="00B168C4">
        <w:rPr>
          <w:rFonts w:eastAsiaTheme="minorEastAsia"/>
          <w:lang w:val="fr-CH" w:eastAsia="en-US"/>
        </w:rPr>
        <w:t xml:space="preserve">de </w:t>
      </w:r>
      <w:r>
        <w:rPr>
          <w:rFonts w:eastAsiaTheme="minorEastAsia"/>
          <w:lang w:val="fr-CH" w:eastAsia="en-US"/>
        </w:rPr>
        <w:t>l’a</w:t>
      </w:r>
      <w:r w:rsidR="147A5F7B" w:rsidRPr="00572D0C">
        <w:rPr>
          <w:rFonts w:eastAsiaTheme="minorEastAsia"/>
          <w:lang w:val="fr-CH" w:eastAsia="en-US"/>
        </w:rPr>
        <w:t>rt</w:t>
      </w:r>
      <w:r w:rsidR="003E1C06">
        <w:rPr>
          <w:rFonts w:eastAsiaTheme="minorEastAsia"/>
          <w:lang w:val="fr-CH" w:eastAsia="en-US"/>
        </w:rPr>
        <w:t>icle</w:t>
      </w:r>
      <w:r w:rsidR="003E1C06" w:rsidRPr="00572D0C">
        <w:rPr>
          <w:rFonts w:eastAsiaTheme="minorEastAsia"/>
          <w:lang w:val="fr-CH" w:eastAsia="en-US"/>
        </w:rPr>
        <w:t xml:space="preserve"> </w:t>
      </w:r>
      <w:r w:rsidR="147A5F7B" w:rsidRPr="00572D0C">
        <w:rPr>
          <w:rFonts w:eastAsiaTheme="minorEastAsia"/>
          <w:lang w:val="fr-CH" w:eastAsia="en-US"/>
        </w:rPr>
        <w:t>3</w:t>
      </w:r>
      <w:r w:rsidR="003E1C06">
        <w:rPr>
          <w:rFonts w:eastAsiaTheme="minorEastAsia"/>
          <w:lang w:val="fr-CH" w:eastAsia="en-US"/>
        </w:rPr>
        <w:t>,</w:t>
      </w:r>
      <w:r w:rsidR="147A5F7B" w:rsidRPr="00572D0C">
        <w:rPr>
          <w:rFonts w:eastAsiaTheme="minorEastAsia"/>
          <w:lang w:val="fr-CH" w:eastAsia="en-US"/>
        </w:rPr>
        <w:t xml:space="preserve"> </w:t>
      </w:r>
      <w:r>
        <w:rPr>
          <w:rFonts w:eastAsiaTheme="minorEastAsia"/>
          <w:lang w:val="fr-CH" w:eastAsia="en-US"/>
        </w:rPr>
        <w:t>al</w:t>
      </w:r>
      <w:r w:rsidR="003E1C06">
        <w:rPr>
          <w:rFonts w:eastAsiaTheme="minorEastAsia"/>
          <w:lang w:val="fr-CH" w:eastAsia="en-US"/>
        </w:rPr>
        <w:t>inéa</w:t>
      </w:r>
      <w:r w:rsidR="147A5F7B" w:rsidRPr="00572D0C">
        <w:rPr>
          <w:rFonts w:eastAsiaTheme="minorEastAsia"/>
          <w:lang w:val="fr-CH" w:eastAsia="en-US"/>
        </w:rPr>
        <w:t xml:space="preserve"> 2</w:t>
      </w:r>
      <w:r w:rsidR="003E1C06">
        <w:rPr>
          <w:rFonts w:eastAsiaTheme="minorEastAsia"/>
          <w:lang w:val="fr-CH" w:eastAsia="en-US"/>
        </w:rPr>
        <w:t>,</w:t>
      </w:r>
      <w:r w:rsidR="147A5F7B" w:rsidRPr="00572D0C">
        <w:rPr>
          <w:rFonts w:eastAsiaTheme="minorEastAsia"/>
          <w:lang w:val="fr-CH" w:eastAsia="en-US"/>
        </w:rPr>
        <w:t xml:space="preserve"> </w:t>
      </w:r>
      <w:r>
        <w:rPr>
          <w:rFonts w:eastAsiaTheme="minorEastAsia"/>
          <w:lang w:val="fr-CH" w:eastAsia="en-US"/>
        </w:rPr>
        <w:t>le</w:t>
      </w:r>
      <w:r w:rsidR="147A5F7B" w:rsidRPr="00572D0C">
        <w:rPr>
          <w:rFonts w:eastAsiaTheme="minorEastAsia"/>
          <w:lang w:val="fr-CH" w:eastAsia="en-US"/>
        </w:rPr>
        <w:t>t</w:t>
      </w:r>
      <w:r w:rsidR="003E1C06">
        <w:rPr>
          <w:rFonts w:eastAsiaTheme="minorEastAsia"/>
          <w:lang w:val="fr-CH" w:eastAsia="en-US"/>
        </w:rPr>
        <w:t>tre</w:t>
      </w:r>
      <w:r w:rsidR="147A5F7B" w:rsidRPr="00572D0C">
        <w:rPr>
          <w:rFonts w:eastAsiaTheme="minorEastAsia"/>
          <w:lang w:val="fr-CH" w:eastAsia="en-US"/>
        </w:rPr>
        <w:t xml:space="preserve"> a</w:t>
      </w:r>
      <w:r w:rsidR="0047207C">
        <w:rPr>
          <w:rFonts w:eastAsiaTheme="minorEastAsia"/>
          <w:lang w:val="fr-CH" w:eastAsia="en-US"/>
        </w:rPr>
        <w:t>,</w:t>
      </w:r>
      <w:r w:rsidR="147A5F7B" w:rsidRPr="00572D0C">
        <w:rPr>
          <w:rFonts w:eastAsiaTheme="minorEastAsia"/>
          <w:lang w:val="fr-CH" w:eastAsia="en-US"/>
        </w:rPr>
        <w:t xml:space="preserve"> </w:t>
      </w:r>
      <w:r>
        <w:rPr>
          <w:rFonts w:eastAsiaTheme="minorEastAsia"/>
          <w:lang w:val="fr-CH" w:eastAsia="en-US"/>
        </w:rPr>
        <w:t>LA</w:t>
      </w:r>
      <w:r w:rsidR="00B168C4">
        <w:rPr>
          <w:rFonts w:eastAsiaTheme="minorEastAsia"/>
          <w:lang w:val="fr-CH" w:eastAsia="en-US"/>
        </w:rPr>
        <w:t>T selon lequel il convient de réserver à l’agriculture suffisamment de bonnes terres cultivables, en particulier, les surfaces d’assolement. Il s’agit en l’occurrence d’un « objectif important de l’aménagement du territoire » qui doi</w:t>
      </w:r>
      <w:r w:rsidR="147A5F7B" w:rsidRPr="00572D0C">
        <w:rPr>
          <w:rFonts w:eastAsiaTheme="minorEastAsia"/>
          <w:lang w:val="fr-CH" w:eastAsia="en-US"/>
        </w:rPr>
        <w:t>t</w:t>
      </w:r>
      <w:r w:rsidR="00B168C4">
        <w:rPr>
          <w:rFonts w:eastAsiaTheme="minorEastAsia"/>
          <w:lang w:val="fr-CH" w:eastAsia="en-US"/>
        </w:rPr>
        <w:t xml:space="preserve"> être pris en compte à sa juste valeur dans la pesée des intérêts en présence. La préservation des SDA répond à un intérêt national. </w:t>
      </w:r>
      <w:r w:rsidR="00D902B6">
        <w:rPr>
          <w:rFonts w:eastAsiaTheme="minorEastAsia"/>
          <w:lang w:val="fr-CH" w:eastAsia="en-US"/>
        </w:rPr>
        <w:t>Dans le cadre de la pesée des intérêts au sens de l’art</w:t>
      </w:r>
      <w:r w:rsidR="003E1C06">
        <w:rPr>
          <w:rFonts w:eastAsiaTheme="minorEastAsia"/>
          <w:lang w:val="fr-CH" w:eastAsia="en-US"/>
        </w:rPr>
        <w:t xml:space="preserve">icle </w:t>
      </w:r>
      <w:r w:rsidR="00D902B6">
        <w:rPr>
          <w:rFonts w:eastAsiaTheme="minorEastAsia"/>
          <w:lang w:val="fr-CH" w:eastAsia="en-US"/>
        </w:rPr>
        <w:t>3 OAT</w:t>
      </w:r>
      <w:r w:rsidR="00B168C4">
        <w:rPr>
          <w:rFonts w:eastAsiaTheme="minorEastAsia"/>
          <w:lang w:val="fr-CH" w:eastAsia="en-US"/>
        </w:rPr>
        <w:t>, les SDA</w:t>
      </w:r>
      <w:r w:rsidR="00D902B6">
        <w:rPr>
          <w:rFonts w:eastAsiaTheme="minorEastAsia"/>
          <w:lang w:val="fr-CH" w:eastAsia="en-US"/>
        </w:rPr>
        <w:t xml:space="preserve"> bénéficient par conséquent d’une protection plus élevée que les autres terres agricoles. Il s’agit d’une appréciation graduelle dans la pesée des intérêts ; </w:t>
      </w:r>
      <w:r w:rsidR="00A12BF6">
        <w:rPr>
          <w:rFonts w:eastAsiaTheme="minorEastAsia"/>
          <w:lang w:val="fr-CH" w:eastAsia="en-US"/>
        </w:rPr>
        <w:t>cela ne change rien au fait</w:t>
      </w:r>
      <w:r w:rsidR="00D902B6">
        <w:rPr>
          <w:rFonts w:eastAsiaTheme="minorEastAsia"/>
          <w:lang w:val="fr-CH" w:eastAsia="en-US"/>
        </w:rPr>
        <w:t xml:space="preserve"> que la protection des SDA </w:t>
      </w:r>
      <w:r w:rsidR="00A12BF6">
        <w:rPr>
          <w:rFonts w:eastAsiaTheme="minorEastAsia"/>
          <w:lang w:val="fr-CH" w:eastAsia="en-US"/>
        </w:rPr>
        <w:t>aussi fait</w:t>
      </w:r>
      <w:r w:rsidR="00D902B6">
        <w:rPr>
          <w:rFonts w:eastAsiaTheme="minorEastAsia"/>
          <w:lang w:val="fr-CH" w:eastAsia="en-US"/>
        </w:rPr>
        <w:t xml:space="preserve"> partie de la pesée des intérêts et </w:t>
      </w:r>
      <w:r w:rsidR="00A12BF6">
        <w:rPr>
          <w:rFonts w:eastAsiaTheme="minorEastAsia"/>
          <w:lang w:val="fr-CH" w:eastAsia="en-US"/>
        </w:rPr>
        <w:t xml:space="preserve">qu’elle doit parfois s’incliner face à </w:t>
      </w:r>
      <w:r w:rsidR="00D902B6">
        <w:rPr>
          <w:rFonts w:eastAsiaTheme="minorEastAsia"/>
          <w:lang w:val="fr-CH" w:eastAsia="en-US"/>
        </w:rPr>
        <w:t>d’autres intérêts. Les principes et objectifs de l’aménagement du territoire n’entraînent pas une protection absolue des SDA.</w:t>
      </w:r>
    </w:p>
    <w:p w14:paraId="61D2538E" w14:textId="0A838570" w:rsidR="00393AAA" w:rsidRPr="00572D0C" w:rsidRDefault="00D902B6" w:rsidP="147A5F7B">
      <w:pPr>
        <w:rPr>
          <w:u w:val="single"/>
          <w:lang w:val="fr-CH"/>
        </w:rPr>
      </w:pPr>
      <w:r>
        <w:rPr>
          <w:rFonts w:eastAsiaTheme="minorEastAsia"/>
          <w:lang w:val="fr-CH" w:eastAsia="en-US"/>
        </w:rPr>
        <w:t>Lorsque des SDA sont sollicitées</w:t>
      </w:r>
      <w:r w:rsidR="00F66FAA">
        <w:rPr>
          <w:rFonts w:eastAsiaTheme="minorEastAsia"/>
          <w:lang w:val="fr-CH" w:eastAsia="en-US"/>
        </w:rPr>
        <w:t xml:space="preserve">, l’autorité </w:t>
      </w:r>
      <w:r w:rsidR="005E2C7E">
        <w:rPr>
          <w:rFonts w:eastAsiaTheme="minorEastAsia"/>
          <w:lang w:val="fr-CH" w:eastAsia="en-US"/>
        </w:rPr>
        <w:t xml:space="preserve">de planification </w:t>
      </w:r>
      <w:r w:rsidR="00F66FAA">
        <w:rPr>
          <w:rFonts w:eastAsiaTheme="minorEastAsia"/>
          <w:lang w:val="fr-CH" w:eastAsia="en-US"/>
        </w:rPr>
        <w:t>doit examiner les solutions alternatives qui pourraient raisonnablement entrer en ligne de compte. Compte tenu de la grande importance des SDA en tant que bien protégé répondant à un intérêt national, l’implantation de constructions sur des SDA ne peut être choisie que s’il n’existe aucune autre possibilité raisonnable du point de vue de l’aménagement du territoire.</w:t>
      </w:r>
    </w:p>
    <w:p w14:paraId="21E62F65" w14:textId="77777777" w:rsidR="00A74D17" w:rsidRPr="00572D0C" w:rsidRDefault="00A74D17" w:rsidP="004D4949">
      <w:pPr>
        <w:rPr>
          <w:rFonts w:cs="Arial"/>
          <w:b/>
          <w:bCs/>
          <w:kern w:val="32"/>
          <w:sz w:val="32"/>
          <w:szCs w:val="32"/>
          <w:u w:val="single"/>
          <w:lang w:val="fr-CH"/>
        </w:rPr>
      </w:pPr>
      <w:r w:rsidRPr="00572D0C">
        <w:rPr>
          <w:u w:val="single"/>
          <w:lang w:val="fr-CH"/>
        </w:rPr>
        <w:br w:type="page"/>
      </w:r>
    </w:p>
    <w:p w14:paraId="732013B5" w14:textId="2B4B671F" w:rsidR="00EC71A9" w:rsidRPr="00572D0C" w:rsidRDefault="00570E88" w:rsidP="00350832">
      <w:pPr>
        <w:pStyle w:val="berschrift1"/>
        <w:rPr>
          <w:lang w:val="fr-CH"/>
        </w:rPr>
      </w:pPr>
      <w:bookmarkStart w:id="155" w:name="_Toc523813331"/>
      <w:bookmarkStart w:id="156" w:name="_Toc525022630"/>
      <w:bookmarkStart w:id="157" w:name="_Toc526946721"/>
      <w:bookmarkStart w:id="158" w:name="_Toc531193013"/>
      <w:bookmarkStart w:id="159" w:name="_Toc532996298"/>
      <w:r>
        <w:rPr>
          <w:lang w:val="fr-CH"/>
        </w:rPr>
        <w:lastRenderedPageBreak/>
        <w:t>Preuves justificativ</w:t>
      </w:r>
      <w:r w:rsidR="00F32A85" w:rsidRPr="00572D0C">
        <w:rPr>
          <w:lang w:val="fr-CH"/>
        </w:rPr>
        <w:t>e</w:t>
      </w:r>
      <w:bookmarkEnd w:id="155"/>
      <w:bookmarkEnd w:id="156"/>
      <w:bookmarkEnd w:id="157"/>
      <w:r>
        <w:rPr>
          <w:lang w:val="fr-CH"/>
        </w:rPr>
        <w:t>s</w:t>
      </w:r>
      <w:bookmarkEnd w:id="158"/>
      <w:bookmarkEnd w:id="159"/>
    </w:p>
    <w:p w14:paraId="046E4CFA" w14:textId="10ED4003" w:rsidR="00F32A85" w:rsidRPr="00501D1D" w:rsidRDefault="00487910" w:rsidP="00501D1D">
      <w:pPr>
        <w:pStyle w:val="berschrift2"/>
        <w:rPr>
          <w:lang w:val="fr-CH"/>
        </w:rPr>
      </w:pPr>
      <w:bookmarkStart w:id="160" w:name="_Toc523813332"/>
      <w:bookmarkStart w:id="161" w:name="_Toc525022631"/>
      <w:bookmarkStart w:id="162" w:name="_Toc526946722"/>
      <w:bookmarkStart w:id="163" w:name="_Toc531193014"/>
      <w:bookmarkStart w:id="164" w:name="_Toc532996299"/>
      <w:r w:rsidRPr="00501D1D">
        <w:rPr>
          <w:lang w:val="fr-CH"/>
        </w:rPr>
        <w:t>Examen selon les a</w:t>
      </w:r>
      <w:r w:rsidR="00F32A85" w:rsidRPr="00501D1D">
        <w:rPr>
          <w:lang w:val="fr-CH"/>
        </w:rPr>
        <w:t xml:space="preserve">rt. 17 </w:t>
      </w:r>
      <w:r w:rsidRPr="00501D1D">
        <w:rPr>
          <w:lang w:val="fr-CH"/>
        </w:rPr>
        <w:t xml:space="preserve">et </w:t>
      </w:r>
      <w:r w:rsidR="00F32A85" w:rsidRPr="00501D1D">
        <w:rPr>
          <w:lang w:val="fr-CH"/>
        </w:rPr>
        <w:t xml:space="preserve">21 </w:t>
      </w:r>
      <w:bookmarkEnd w:id="160"/>
      <w:bookmarkEnd w:id="161"/>
      <w:bookmarkEnd w:id="162"/>
      <w:bookmarkEnd w:id="163"/>
      <w:r w:rsidR="003E1C06" w:rsidRPr="00501D1D">
        <w:rPr>
          <w:lang w:val="fr-CH"/>
        </w:rPr>
        <w:t>OAT</w:t>
      </w:r>
      <w:bookmarkEnd w:id="164"/>
    </w:p>
    <w:p w14:paraId="2C137FD8" w14:textId="407EE9FF" w:rsidR="00043F53" w:rsidRPr="00572D0C" w:rsidRDefault="0003359F" w:rsidP="00043F53">
      <w:pPr>
        <w:rPr>
          <w:lang w:val="fr-CH"/>
        </w:rPr>
      </w:pPr>
      <w:r>
        <w:rPr>
          <w:lang w:val="fr-CH"/>
        </w:rPr>
        <w:t>L’Office fédéral du développement territorial examine à l’intention du département qui présente la proposition</w:t>
      </w:r>
      <w:r w:rsidR="00043F53" w:rsidRPr="00572D0C">
        <w:rPr>
          <w:lang w:val="fr-CH"/>
        </w:rPr>
        <w:t xml:space="preserve"> </w:t>
      </w:r>
      <w:r>
        <w:rPr>
          <w:lang w:val="fr-CH"/>
        </w:rPr>
        <w:t>si les conditions sont réunies pour que le document puisse être</w:t>
      </w:r>
      <w:r w:rsidR="005A3CAA">
        <w:rPr>
          <w:lang w:val="fr-CH"/>
        </w:rPr>
        <w:t xml:space="preserve"> adopté en tant que P</w:t>
      </w:r>
      <w:r>
        <w:rPr>
          <w:lang w:val="fr-CH"/>
        </w:rPr>
        <w:t>lan sectoriel au sens de l’article</w:t>
      </w:r>
      <w:r w:rsidR="00043F53" w:rsidRPr="00572D0C">
        <w:rPr>
          <w:lang w:val="fr-CH"/>
        </w:rPr>
        <w:t xml:space="preserve"> 13 </w:t>
      </w:r>
      <w:r>
        <w:rPr>
          <w:lang w:val="fr-CH"/>
        </w:rPr>
        <w:t>LAT</w:t>
      </w:r>
      <w:r w:rsidR="00043F53" w:rsidRPr="00572D0C">
        <w:rPr>
          <w:lang w:val="fr-CH"/>
        </w:rPr>
        <w:t xml:space="preserve"> (</w:t>
      </w:r>
      <w:r>
        <w:rPr>
          <w:lang w:val="fr-CH"/>
        </w:rPr>
        <w:t>a</w:t>
      </w:r>
      <w:r w:rsidR="00043F53" w:rsidRPr="00572D0C">
        <w:rPr>
          <w:lang w:val="fr-CH"/>
        </w:rPr>
        <w:t>rt. 17</w:t>
      </w:r>
      <w:r w:rsidR="005E2C7E">
        <w:rPr>
          <w:lang w:val="fr-CH"/>
        </w:rPr>
        <w:t>,</w:t>
      </w:r>
      <w:r w:rsidR="00043F53" w:rsidRPr="00572D0C">
        <w:rPr>
          <w:lang w:val="fr-CH"/>
        </w:rPr>
        <w:t xml:space="preserve"> </w:t>
      </w:r>
      <w:r>
        <w:rPr>
          <w:lang w:val="fr-CH"/>
        </w:rPr>
        <w:t>al</w:t>
      </w:r>
      <w:r w:rsidR="00043F53" w:rsidRPr="00572D0C">
        <w:rPr>
          <w:lang w:val="fr-CH"/>
        </w:rPr>
        <w:t>. 2</w:t>
      </w:r>
      <w:r w:rsidR="005E2C7E">
        <w:rPr>
          <w:lang w:val="fr-CH"/>
        </w:rPr>
        <w:t>,</w:t>
      </w:r>
      <w:r w:rsidR="00043F53" w:rsidRPr="00572D0C">
        <w:rPr>
          <w:lang w:val="fr-CH"/>
        </w:rPr>
        <w:t xml:space="preserve"> </w:t>
      </w:r>
      <w:r>
        <w:rPr>
          <w:lang w:val="fr-CH"/>
        </w:rPr>
        <w:t>OAT</w:t>
      </w:r>
      <w:r w:rsidR="00043F53" w:rsidRPr="00572D0C">
        <w:rPr>
          <w:lang w:val="fr-CH"/>
        </w:rPr>
        <w:t>)</w:t>
      </w:r>
      <w:r w:rsidR="00043F53" w:rsidRPr="00572D0C">
        <w:rPr>
          <w:rStyle w:val="Funotenzeichen"/>
          <w:lang w:val="fr-CH"/>
        </w:rPr>
        <w:footnoteReference w:id="37"/>
      </w:r>
      <w:r w:rsidR="00043F53" w:rsidRPr="00572D0C">
        <w:rPr>
          <w:lang w:val="fr-CH"/>
        </w:rPr>
        <w:t xml:space="preserve">. </w:t>
      </w:r>
      <w:r>
        <w:rPr>
          <w:lang w:val="fr-CH"/>
        </w:rPr>
        <w:t>Il vérifie à la lumière de l’article</w:t>
      </w:r>
      <w:r w:rsidR="00043F53" w:rsidRPr="00572D0C">
        <w:rPr>
          <w:lang w:val="fr-CH"/>
        </w:rPr>
        <w:t xml:space="preserve"> 21</w:t>
      </w:r>
      <w:r w:rsidR="00474F55">
        <w:rPr>
          <w:lang w:val="fr-CH"/>
        </w:rPr>
        <w:t>,</w:t>
      </w:r>
      <w:r w:rsidR="00043F53" w:rsidRPr="00572D0C">
        <w:rPr>
          <w:lang w:val="fr-CH"/>
        </w:rPr>
        <w:t xml:space="preserve"> </w:t>
      </w:r>
      <w:r>
        <w:rPr>
          <w:lang w:val="fr-CH"/>
        </w:rPr>
        <w:t>alinéa</w:t>
      </w:r>
      <w:r w:rsidR="00043F53" w:rsidRPr="00572D0C">
        <w:rPr>
          <w:lang w:val="fr-CH"/>
        </w:rPr>
        <w:t xml:space="preserve"> 2 </w:t>
      </w:r>
      <w:r>
        <w:rPr>
          <w:lang w:val="fr-CH"/>
        </w:rPr>
        <w:t xml:space="preserve">OAT si les exigences de contenu, de procédure et </w:t>
      </w:r>
      <w:r w:rsidR="005E2C7E">
        <w:rPr>
          <w:lang w:val="fr-CH"/>
        </w:rPr>
        <w:t>de forme</w:t>
      </w:r>
      <w:r>
        <w:rPr>
          <w:lang w:val="fr-CH"/>
        </w:rPr>
        <w:t xml:space="preserve"> sont satisfaites</w:t>
      </w:r>
      <w:r w:rsidR="00043F53" w:rsidRPr="00572D0C">
        <w:rPr>
          <w:lang w:val="fr-CH"/>
        </w:rPr>
        <w:t xml:space="preserve">. </w:t>
      </w:r>
    </w:p>
    <w:p w14:paraId="41A837E6" w14:textId="02980886" w:rsidR="00F32A85" w:rsidRPr="00572D0C" w:rsidRDefault="0003359F" w:rsidP="147A5F7B">
      <w:pPr>
        <w:rPr>
          <w:u w:val="single"/>
          <w:lang w:val="fr-CH"/>
        </w:rPr>
      </w:pPr>
      <w:r>
        <w:rPr>
          <w:lang w:val="fr-CH"/>
        </w:rPr>
        <w:t>L’a</w:t>
      </w:r>
      <w:r w:rsidR="147A5F7B" w:rsidRPr="00572D0C">
        <w:rPr>
          <w:lang w:val="fr-CH"/>
        </w:rPr>
        <w:t xml:space="preserve">nalyse </w:t>
      </w:r>
      <w:r>
        <w:rPr>
          <w:lang w:val="fr-CH"/>
        </w:rPr>
        <w:t xml:space="preserve">des indications matérielles du </w:t>
      </w:r>
      <w:r w:rsidR="005A3CAA">
        <w:rPr>
          <w:lang w:val="fr-CH"/>
        </w:rPr>
        <w:t>P</w:t>
      </w:r>
      <w:r>
        <w:rPr>
          <w:lang w:val="fr-CH"/>
        </w:rPr>
        <w:t xml:space="preserve">lan sectoriel et du rapport explicatif présentée ci-après montre que </w:t>
      </w:r>
      <w:r w:rsidR="005E2C7E">
        <w:rPr>
          <w:lang w:val="fr-CH"/>
        </w:rPr>
        <w:t xml:space="preserve">les </w:t>
      </w:r>
      <w:r>
        <w:rPr>
          <w:lang w:val="fr-CH"/>
        </w:rPr>
        <w:t>exigences</w:t>
      </w:r>
      <w:r w:rsidR="005E2C7E">
        <w:rPr>
          <w:lang w:val="fr-CH"/>
        </w:rPr>
        <w:t xml:space="preserve"> de contenu, de procédure et de forme</w:t>
      </w:r>
      <w:r>
        <w:rPr>
          <w:lang w:val="fr-CH"/>
        </w:rPr>
        <w:t xml:space="preserve"> sont satisfaites</w:t>
      </w:r>
      <w:r w:rsidR="147A5F7B" w:rsidRPr="00572D0C">
        <w:rPr>
          <w:lang w:val="fr-CH"/>
        </w:rPr>
        <w:t>.</w:t>
      </w:r>
    </w:p>
    <w:p w14:paraId="48C705F5" w14:textId="61632043" w:rsidR="00F32A85" w:rsidRPr="00572D0C" w:rsidRDefault="00487910" w:rsidP="00043F53">
      <w:pPr>
        <w:pStyle w:val="berschrift3"/>
        <w:rPr>
          <w:lang w:val="fr-CH"/>
        </w:rPr>
      </w:pPr>
      <w:bookmarkStart w:id="165" w:name="_Toc531193015"/>
      <w:bookmarkStart w:id="166" w:name="_Toc532996300"/>
      <w:r>
        <w:rPr>
          <w:lang w:val="fr-CH"/>
        </w:rPr>
        <w:t xml:space="preserve">Exigences </w:t>
      </w:r>
      <w:r w:rsidR="005E2C7E">
        <w:rPr>
          <w:lang w:val="fr-CH"/>
        </w:rPr>
        <w:t>de</w:t>
      </w:r>
      <w:r>
        <w:rPr>
          <w:lang w:val="fr-CH"/>
        </w:rPr>
        <w:t xml:space="preserve"> contenu</w:t>
      </w:r>
      <w:bookmarkEnd w:id="165"/>
      <w:bookmarkEnd w:id="166"/>
    </w:p>
    <w:p w14:paraId="3833ACF2" w14:textId="166F6424" w:rsidR="00AE6B47" w:rsidRPr="00572D0C" w:rsidRDefault="0003359F" w:rsidP="799D40CD">
      <w:pPr>
        <w:rPr>
          <w:lang w:val="fr-CH"/>
        </w:rPr>
      </w:pPr>
      <w:r>
        <w:rPr>
          <w:lang w:val="fr-CH"/>
        </w:rPr>
        <w:t xml:space="preserve">Par le but qu’il vise et les </w:t>
      </w:r>
      <w:r w:rsidR="004B2FB5">
        <w:rPr>
          <w:lang w:val="fr-CH"/>
        </w:rPr>
        <w:t>surfaces</w:t>
      </w:r>
      <w:r w:rsidR="00A82D12">
        <w:rPr>
          <w:lang w:val="fr-CH"/>
        </w:rPr>
        <w:t xml:space="preserve"> d’assolement</w:t>
      </w:r>
      <w:r w:rsidR="004B2FB5">
        <w:rPr>
          <w:lang w:val="fr-CH"/>
        </w:rPr>
        <w:t xml:space="preserve"> à garantir </w:t>
      </w:r>
      <w:r w:rsidR="005A3CAA">
        <w:rPr>
          <w:lang w:val="fr-CH"/>
        </w:rPr>
        <w:t>et principes qu’il fixe, le P</w:t>
      </w:r>
      <w:r>
        <w:rPr>
          <w:lang w:val="fr-CH"/>
        </w:rPr>
        <w:t xml:space="preserve">lan sectoriel </w:t>
      </w:r>
      <w:r w:rsidR="00AE6B47" w:rsidRPr="00572D0C">
        <w:rPr>
          <w:lang w:val="fr-CH"/>
        </w:rPr>
        <w:t>d</w:t>
      </w:r>
      <w:r>
        <w:rPr>
          <w:lang w:val="fr-CH"/>
        </w:rPr>
        <w:t>es SDA apporte une importante contribution à la mise en œuvre de la LAT, notamment de</w:t>
      </w:r>
      <w:r w:rsidR="005E2C7E">
        <w:rPr>
          <w:lang w:val="fr-CH"/>
        </w:rPr>
        <w:t xml:space="preserve"> son</w:t>
      </w:r>
      <w:r>
        <w:rPr>
          <w:lang w:val="fr-CH"/>
        </w:rPr>
        <w:t xml:space="preserve"> l’article 1, alinéa 2, lettre</w:t>
      </w:r>
      <w:r w:rsidR="00AE6B47" w:rsidRPr="00572D0C">
        <w:rPr>
          <w:lang w:val="fr-CH"/>
        </w:rPr>
        <w:t xml:space="preserve"> d</w:t>
      </w:r>
      <w:r w:rsidR="005E2C7E">
        <w:rPr>
          <w:lang w:val="fr-CH"/>
        </w:rPr>
        <w:t>,</w:t>
      </w:r>
      <w:r w:rsidR="00AE6B47" w:rsidRPr="00572D0C">
        <w:rPr>
          <w:lang w:val="fr-CH"/>
        </w:rPr>
        <w:t xml:space="preserve"> </w:t>
      </w:r>
      <w:r>
        <w:rPr>
          <w:lang w:val="fr-CH"/>
        </w:rPr>
        <w:t>LAT</w:t>
      </w:r>
      <w:r w:rsidR="005E2C7E">
        <w:rPr>
          <w:lang w:val="fr-CH"/>
        </w:rPr>
        <w:t>,</w:t>
      </w:r>
      <w:r w:rsidR="00AE6B47" w:rsidRPr="00572D0C">
        <w:rPr>
          <w:lang w:val="fr-CH"/>
        </w:rPr>
        <w:t xml:space="preserve"> </w:t>
      </w:r>
      <w:r w:rsidR="00402CFB">
        <w:rPr>
          <w:lang w:val="fr-CH"/>
        </w:rPr>
        <w:t>qui demande de</w:t>
      </w:r>
      <w:r w:rsidR="009C63AB">
        <w:rPr>
          <w:lang w:val="fr-CH"/>
        </w:rPr>
        <w:t xml:space="preserve"> garantir des sources d’approvisionnement suffisantes dans le pays par des mesures d’aménagement</w:t>
      </w:r>
      <w:r w:rsidR="00402CFB">
        <w:rPr>
          <w:lang w:val="fr-CH"/>
        </w:rPr>
        <w:t>,</w:t>
      </w:r>
      <w:r w:rsidR="00FE0778" w:rsidRPr="00572D0C">
        <w:rPr>
          <w:lang w:val="fr-CH"/>
        </w:rPr>
        <w:t xml:space="preserve"> </w:t>
      </w:r>
      <w:r w:rsidR="009C63AB">
        <w:rPr>
          <w:lang w:val="fr-CH"/>
        </w:rPr>
        <w:t>et de l’article</w:t>
      </w:r>
      <w:r w:rsidR="00AE6B47" w:rsidRPr="00572D0C">
        <w:rPr>
          <w:lang w:val="fr-CH"/>
        </w:rPr>
        <w:t xml:space="preserve"> 3</w:t>
      </w:r>
      <w:r w:rsidR="009C63AB">
        <w:rPr>
          <w:lang w:val="fr-CH"/>
        </w:rPr>
        <w:t>,</w:t>
      </w:r>
      <w:r w:rsidR="00AE6B47" w:rsidRPr="00572D0C">
        <w:rPr>
          <w:lang w:val="fr-CH"/>
        </w:rPr>
        <w:t xml:space="preserve"> </w:t>
      </w:r>
      <w:r w:rsidR="009C63AB">
        <w:rPr>
          <w:lang w:val="fr-CH"/>
        </w:rPr>
        <w:t>alinéa</w:t>
      </w:r>
      <w:r w:rsidR="00AE6B47" w:rsidRPr="00572D0C">
        <w:rPr>
          <w:lang w:val="fr-CH"/>
        </w:rPr>
        <w:t xml:space="preserve"> 2</w:t>
      </w:r>
      <w:r w:rsidR="009C63AB">
        <w:rPr>
          <w:lang w:val="fr-CH"/>
        </w:rPr>
        <w:t>,</w:t>
      </w:r>
      <w:r w:rsidR="00AE6B47" w:rsidRPr="00572D0C">
        <w:rPr>
          <w:lang w:val="fr-CH"/>
        </w:rPr>
        <w:t xml:space="preserve"> </w:t>
      </w:r>
      <w:r w:rsidR="009C63AB">
        <w:rPr>
          <w:lang w:val="fr-CH"/>
        </w:rPr>
        <w:t>lettre</w:t>
      </w:r>
      <w:r w:rsidR="00AE6B47" w:rsidRPr="00572D0C">
        <w:rPr>
          <w:lang w:val="fr-CH"/>
        </w:rPr>
        <w:t xml:space="preserve"> a</w:t>
      </w:r>
      <w:r w:rsidR="00402CFB">
        <w:rPr>
          <w:lang w:val="fr-CH"/>
        </w:rPr>
        <w:t>,</w:t>
      </w:r>
      <w:r w:rsidR="001000BF" w:rsidRPr="00572D0C">
        <w:rPr>
          <w:lang w:val="fr-CH"/>
        </w:rPr>
        <w:t xml:space="preserve"> </w:t>
      </w:r>
      <w:r w:rsidR="00402CFB">
        <w:rPr>
          <w:lang w:val="fr-CH"/>
        </w:rPr>
        <w:t>qui demande</w:t>
      </w:r>
      <w:r w:rsidR="009C63AB">
        <w:rPr>
          <w:lang w:val="fr-CH"/>
        </w:rPr>
        <w:t xml:space="preserve"> de réserver à l’agriculture suffisamment de bonnes terres cultivables, en particulier, les surfaces d’assolement</w:t>
      </w:r>
      <w:r w:rsidR="00FE0778" w:rsidRPr="00572D0C">
        <w:rPr>
          <w:lang w:val="fr-CH"/>
        </w:rPr>
        <w:t>.</w:t>
      </w:r>
      <w:r w:rsidR="00AE6B47" w:rsidRPr="00572D0C">
        <w:rPr>
          <w:lang w:val="fr-CH"/>
        </w:rPr>
        <w:t xml:space="preserve"> </w:t>
      </w:r>
      <w:r w:rsidR="009C63AB">
        <w:rPr>
          <w:lang w:val="fr-CH"/>
        </w:rPr>
        <w:t xml:space="preserve">Par ailleurs, en tant que mesure de </w:t>
      </w:r>
      <w:r w:rsidR="00402CFB">
        <w:rPr>
          <w:lang w:val="fr-CH"/>
        </w:rPr>
        <w:t xml:space="preserve">précaution </w:t>
      </w:r>
      <w:r w:rsidR="009C63AB">
        <w:rPr>
          <w:lang w:val="fr-CH"/>
        </w:rPr>
        <w:t>visant à garantir l’approvisionnement de la Suisse en denrées alimentaires en cas de grave pénurie, il participe de manière déterminante à la réalisation des objectifs de l’approvisionnement économique du pays</w:t>
      </w:r>
      <w:r w:rsidR="00AE6B47" w:rsidRPr="00572D0C">
        <w:rPr>
          <w:lang w:val="fr-CH"/>
        </w:rPr>
        <w:t>.</w:t>
      </w:r>
    </w:p>
    <w:p w14:paraId="7E439383" w14:textId="11D96770" w:rsidR="00AE6B47" w:rsidRPr="00572D0C" w:rsidRDefault="005D5435" w:rsidP="799D40CD">
      <w:pPr>
        <w:rPr>
          <w:lang w:val="fr-CH"/>
        </w:rPr>
      </w:pPr>
      <w:r>
        <w:rPr>
          <w:lang w:val="fr-CH"/>
        </w:rPr>
        <w:t>Grâce à la collaboration de tous les cantons,</w:t>
      </w:r>
      <w:r w:rsidR="009C63AB">
        <w:rPr>
          <w:lang w:val="fr-CH"/>
        </w:rPr>
        <w:t xml:space="preserve"> </w:t>
      </w:r>
      <w:r w:rsidR="005A3CAA">
        <w:rPr>
          <w:lang w:val="fr-CH"/>
        </w:rPr>
        <w:t>le P</w:t>
      </w:r>
      <w:r>
        <w:rPr>
          <w:lang w:val="fr-CH"/>
        </w:rPr>
        <w:t xml:space="preserve">lan sectoriel des SDA préserve de toute construction </w:t>
      </w:r>
      <w:r w:rsidR="009C63AB">
        <w:rPr>
          <w:lang w:val="fr-CH"/>
        </w:rPr>
        <w:t>la surface minimale d’assolement</w:t>
      </w:r>
      <w:r w:rsidR="00FE0778" w:rsidRPr="00572D0C">
        <w:rPr>
          <w:lang w:val="fr-CH"/>
        </w:rPr>
        <w:t xml:space="preserve"> </w:t>
      </w:r>
      <w:r>
        <w:rPr>
          <w:lang w:val="fr-CH"/>
        </w:rPr>
        <w:t>et met un frein au mitage du territoire : il a par conséquent des incidences territoriales considérables. Du fait que les SDA contribuent souvent également au maintien de paysages ouverts</w:t>
      </w:r>
      <w:r w:rsidR="00402CFB">
        <w:rPr>
          <w:lang w:val="fr-CH"/>
        </w:rPr>
        <w:t xml:space="preserve"> et</w:t>
      </w:r>
      <w:r>
        <w:rPr>
          <w:lang w:val="fr-CH"/>
        </w:rPr>
        <w:t xml:space="preserve"> à la préservation de la biodiversité et des surfaces de compensation écologique, leur</w:t>
      </w:r>
      <w:r w:rsidR="00183C91">
        <w:rPr>
          <w:lang w:val="fr-CH"/>
        </w:rPr>
        <w:t xml:space="preserve"> dégrad</w:t>
      </w:r>
      <w:r>
        <w:rPr>
          <w:lang w:val="fr-CH"/>
        </w:rPr>
        <w:t xml:space="preserve">ation peut avoir des conséquences sur d’autres aspects que la production de denrées </w:t>
      </w:r>
      <w:r w:rsidR="005A3CAA">
        <w:rPr>
          <w:lang w:val="fr-CH"/>
        </w:rPr>
        <w:t>alimentaires. Les principes du P</w:t>
      </w:r>
      <w:r>
        <w:rPr>
          <w:lang w:val="fr-CH"/>
        </w:rPr>
        <w:t>lan sectoriel montrent comment assurer la garantie des SDA et comment la coordination des différents principes a été assurée.</w:t>
      </w:r>
    </w:p>
    <w:p w14:paraId="44961289" w14:textId="4C589150" w:rsidR="00FE0778" w:rsidRPr="00572D0C" w:rsidRDefault="005D5435" w:rsidP="00971E6D">
      <w:pPr>
        <w:rPr>
          <w:lang w:val="fr-CH"/>
        </w:rPr>
      </w:pPr>
      <w:r>
        <w:rPr>
          <w:lang w:val="fr-CH"/>
        </w:rPr>
        <w:t>Les chapitres</w:t>
      </w:r>
      <w:r w:rsidR="00FE0778" w:rsidRPr="00572D0C">
        <w:rPr>
          <w:lang w:val="fr-CH"/>
        </w:rPr>
        <w:t xml:space="preserve"> </w:t>
      </w:r>
      <w:r w:rsidR="00FE0778" w:rsidRPr="00572D0C">
        <w:rPr>
          <w:lang w:val="fr-CH"/>
        </w:rPr>
        <w:fldChar w:fldCharType="begin"/>
      </w:r>
      <w:r w:rsidR="00FE0778" w:rsidRPr="00572D0C">
        <w:rPr>
          <w:lang w:val="fr-CH"/>
        </w:rPr>
        <w:instrText xml:space="preserve"> REF _Ref520731090 \r \h </w:instrText>
      </w:r>
      <w:r w:rsidR="00AE6B47" w:rsidRPr="00572D0C">
        <w:rPr>
          <w:lang w:val="fr-CH"/>
        </w:rPr>
        <w:instrText xml:space="preserve"> \* MERGEFORMAT </w:instrText>
      </w:r>
      <w:r w:rsidR="00FE0778" w:rsidRPr="00572D0C">
        <w:rPr>
          <w:lang w:val="fr-CH"/>
        </w:rPr>
      </w:r>
      <w:r w:rsidR="00FE0778" w:rsidRPr="00572D0C">
        <w:rPr>
          <w:lang w:val="fr-CH"/>
        </w:rPr>
        <w:fldChar w:fldCharType="separate"/>
      </w:r>
      <w:r w:rsidR="00A65A9C">
        <w:rPr>
          <w:lang w:val="fr-CH"/>
        </w:rPr>
        <w:t>6.1.2</w:t>
      </w:r>
      <w:r w:rsidR="00FE0778" w:rsidRPr="00572D0C">
        <w:rPr>
          <w:lang w:val="fr-CH"/>
        </w:rPr>
        <w:fldChar w:fldCharType="end"/>
      </w:r>
      <w:r w:rsidR="00FE0778" w:rsidRPr="00572D0C">
        <w:rPr>
          <w:lang w:val="fr-CH"/>
        </w:rPr>
        <w:t xml:space="preserve"> </w:t>
      </w:r>
      <w:r>
        <w:rPr>
          <w:lang w:val="fr-CH"/>
        </w:rPr>
        <w:t>et</w:t>
      </w:r>
      <w:r w:rsidR="00FE0778" w:rsidRPr="00572D0C">
        <w:rPr>
          <w:lang w:val="fr-CH"/>
        </w:rPr>
        <w:t xml:space="preserve"> </w:t>
      </w:r>
      <w:r w:rsidR="00FE0778" w:rsidRPr="00572D0C">
        <w:rPr>
          <w:lang w:val="fr-CH"/>
        </w:rPr>
        <w:fldChar w:fldCharType="begin"/>
      </w:r>
      <w:r w:rsidR="00FE0778" w:rsidRPr="00572D0C">
        <w:rPr>
          <w:lang w:val="fr-CH"/>
        </w:rPr>
        <w:instrText xml:space="preserve"> REF _Ref520731097 \r \h </w:instrText>
      </w:r>
      <w:r w:rsidR="00AE6B47" w:rsidRPr="00572D0C">
        <w:rPr>
          <w:lang w:val="fr-CH"/>
        </w:rPr>
        <w:instrText xml:space="preserve"> \* MERGEFORMAT </w:instrText>
      </w:r>
      <w:r w:rsidR="00FE0778" w:rsidRPr="00572D0C">
        <w:rPr>
          <w:lang w:val="fr-CH"/>
        </w:rPr>
      </w:r>
      <w:r w:rsidR="00FE0778" w:rsidRPr="00572D0C">
        <w:rPr>
          <w:lang w:val="fr-CH"/>
        </w:rPr>
        <w:fldChar w:fldCharType="separate"/>
      </w:r>
      <w:r w:rsidR="00A65A9C">
        <w:rPr>
          <w:lang w:val="fr-CH"/>
        </w:rPr>
        <w:t>6.1.3</w:t>
      </w:r>
      <w:r w:rsidR="00FE0778" w:rsidRPr="00572D0C">
        <w:rPr>
          <w:lang w:val="fr-CH"/>
        </w:rPr>
        <w:fldChar w:fldCharType="end"/>
      </w:r>
      <w:r w:rsidR="00FE0778" w:rsidRPr="00572D0C">
        <w:rPr>
          <w:lang w:val="fr-CH"/>
        </w:rPr>
        <w:t xml:space="preserve"> </w:t>
      </w:r>
      <w:r>
        <w:rPr>
          <w:lang w:val="fr-CH"/>
        </w:rPr>
        <w:t xml:space="preserve">ci-après </w:t>
      </w:r>
      <w:r w:rsidR="00402CFB">
        <w:rPr>
          <w:lang w:val="fr-CH"/>
        </w:rPr>
        <w:t xml:space="preserve">montrent </w:t>
      </w:r>
      <w:r>
        <w:rPr>
          <w:lang w:val="fr-CH"/>
        </w:rPr>
        <w:t xml:space="preserve">la compatibilité du </w:t>
      </w:r>
      <w:r w:rsidR="005A3CAA">
        <w:rPr>
          <w:lang w:val="fr-CH"/>
        </w:rPr>
        <w:t>P</w:t>
      </w:r>
      <w:r>
        <w:rPr>
          <w:lang w:val="fr-CH"/>
        </w:rPr>
        <w:t>lan sectoriel avec les planifications et prescriptions existantes</w:t>
      </w:r>
      <w:r w:rsidR="00FE0778" w:rsidRPr="00572D0C">
        <w:rPr>
          <w:lang w:val="fr-CH"/>
        </w:rPr>
        <w:t xml:space="preserve"> (</w:t>
      </w:r>
      <w:r>
        <w:rPr>
          <w:lang w:val="fr-CH"/>
        </w:rPr>
        <w:t>a</w:t>
      </w:r>
      <w:r w:rsidR="00FE0778" w:rsidRPr="00572D0C">
        <w:rPr>
          <w:lang w:val="fr-CH"/>
        </w:rPr>
        <w:t>rt. 2</w:t>
      </w:r>
      <w:r>
        <w:rPr>
          <w:lang w:val="fr-CH"/>
        </w:rPr>
        <w:t>, al</w:t>
      </w:r>
      <w:r w:rsidR="00FE0778" w:rsidRPr="00572D0C">
        <w:rPr>
          <w:lang w:val="fr-CH"/>
        </w:rPr>
        <w:t>. 1</w:t>
      </w:r>
      <w:r>
        <w:rPr>
          <w:lang w:val="fr-CH"/>
        </w:rPr>
        <w:t>, let</w:t>
      </w:r>
      <w:r w:rsidR="00FE0778" w:rsidRPr="00572D0C">
        <w:rPr>
          <w:lang w:val="fr-CH"/>
        </w:rPr>
        <w:t>. e</w:t>
      </w:r>
      <w:r w:rsidR="00402CFB">
        <w:rPr>
          <w:lang w:val="fr-CH"/>
        </w:rPr>
        <w:t>,</w:t>
      </w:r>
      <w:r w:rsidR="00FE0778" w:rsidRPr="00572D0C">
        <w:rPr>
          <w:lang w:val="fr-CH"/>
        </w:rPr>
        <w:t xml:space="preserve"> </w:t>
      </w:r>
      <w:r>
        <w:rPr>
          <w:lang w:val="fr-CH"/>
        </w:rPr>
        <w:t xml:space="preserve">OAT </w:t>
      </w:r>
      <w:r w:rsidR="00FE0778" w:rsidRPr="00572D0C">
        <w:rPr>
          <w:lang w:val="fr-CH"/>
        </w:rPr>
        <w:t xml:space="preserve">; </w:t>
      </w:r>
      <w:r>
        <w:rPr>
          <w:lang w:val="fr-CH"/>
        </w:rPr>
        <w:t>a</w:t>
      </w:r>
      <w:r w:rsidR="00FE0778" w:rsidRPr="00572D0C">
        <w:rPr>
          <w:lang w:val="fr-CH"/>
        </w:rPr>
        <w:t>rt. 21</w:t>
      </w:r>
      <w:r>
        <w:rPr>
          <w:lang w:val="fr-CH"/>
        </w:rPr>
        <w:t>,</w:t>
      </w:r>
      <w:r w:rsidR="00FE0778" w:rsidRPr="00572D0C">
        <w:rPr>
          <w:lang w:val="fr-CH"/>
        </w:rPr>
        <w:t xml:space="preserve"> </w:t>
      </w:r>
      <w:r>
        <w:rPr>
          <w:lang w:val="fr-CH"/>
        </w:rPr>
        <w:t>al</w:t>
      </w:r>
      <w:r w:rsidR="00FE0778" w:rsidRPr="00572D0C">
        <w:rPr>
          <w:lang w:val="fr-CH"/>
        </w:rPr>
        <w:t>. 2</w:t>
      </w:r>
      <w:r>
        <w:rPr>
          <w:lang w:val="fr-CH"/>
        </w:rPr>
        <w:t>, let</w:t>
      </w:r>
      <w:r w:rsidR="00FE0778" w:rsidRPr="00572D0C">
        <w:rPr>
          <w:lang w:val="fr-CH"/>
        </w:rPr>
        <w:t>. b</w:t>
      </w:r>
      <w:r w:rsidR="00402CFB">
        <w:rPr>
          <w:lang w:val="fr-CH"/>
        </w:rPr>
        <w:t>,</w:t>
      </w:r>
      <w:r w:rsidR="00FE0778" w:rsidRPr="00572D0C">
        <w:rPr>
          <w:lang w:val="fr-CH"/>
        </w:rPr>
        <w:t xml:space="preserve"> </w:t>
      </w:r>
      <w:r>
        <w:rPr>
          <w:lang w:val="fr-CH"/>
        </w:rPr>
        <w:t>OAT</w:t>
      </w:r>
      <w:r w:rsidR="00FE0778" w:rsidRPr="00572D0C">
        <w:rPr>
          <w:lang w:val="fr-CH"/>
        </w:rPr>
        <w:t>)</w:t>
      </w:r>
      <w:r w:rsidR="00316F63" w:rsidRPr="00572D0C">
        <w:rPr>
          <w:lang w:val="fr-CH"/>
        </w:rPr>
        <w:t>.</w:t>
      </w:r>
      <w:r w:rsidR="00A64D91" w:rsidRPr="00572D0C">
        <w:rPr>
          <w:lang w:val="fr-CH"/>
        </w:rPr>
        <w:t xml:space="preserve"> </w:t>
      </w:r>
      <w:r>
        <w:rPr>
          <w:lang w:val="fr-CH"/>
        </w:rPr>
        <w:t>Les exigences de contenu de l’article</w:t>
      </w:r>
      <w:r w:rsidR="00183C91">
        <w:rPr>
          <w:lang w:val="fr-CH"/>
        </w:rPr>
        <w:t xml:space="preserve"> </w:t>
      </w:r>
      <w:r w:rsidR="00FE0778" w:rsidRPr="00572D0C">
        <w:rPr>
          <w:lang w:val="fr-CH"/>
        </w:rPr>
        <w:t xml:space="preserve">14 </w:t>
      </w:r>
      <w:r>
        <w:rPr>
          <w:lang w:val="fr-CH"/>
        </w:rPr>
        <w:t>OAT sont donc satisfai</w:t>
      </w:r>
      <w:r w:rsidR="00FE0778" w:rsidRPr="00572D0C">
        <w:rPr>
          <w:lang w:val="fr-CH"/>
        </w:rPr>
        <w:t>t</w:t>
      </w:r>
      <w:r>
        <w:rPr>
          <w:lang w:val="fr-CH"/>
        </w:rPr>
        <w:t>es</w:t>
      </w:r>
      <w:r w:rsidR="00FE0778" w:rsidRPr="00572D0C">
        <w:rPr>
          <w:lang w:val="fr-CH"/>
        </w:rPr>
        <w:t>.</w:t>
      </w:r>
    </w:p>
    <w:p w14:paraId="64FC5E58" w14:textId="02132BBE" w:rsidR="00F32A85" w:rsidRPr="00572D0C" w:rsidRDefault="00487910" w:rsidP="00043F53">
      <w:pPr>
        <w:pStyle w:val="berschrift3"/>
        <w:rPr>
          <w:lang w:val="fr-CH"/>
        </w:rPr>
      </w:pPr>
      <w:bookmarkStart w:id="167" w:name="_Ref520731090"/>
      <w:bookmarkStart w:id="168" w:name="_Toc523813334"/>
      <w:bookmarkStart w:id="169" w:name="_Toc525022633"/>
      <w:bookmarkStart w:id="170" w:name="_Toc526946724"/>
      <w:bookmarkStart w:id="171" w:name="_Toc531193016"/>
      <w:bookmarkStart w:id="172" w:name="_Toc532996301"/>
      <w:r>
        <w:rPr>
          <w:lang w:val="fr-CH"/>
        </w:rPr>
        <w:t>Compatibilité avec d’autres planifications de la Confédération et des</w:t>
      </w:r>
      <w:r w:rsidR="00F32A85" w:rsidRPr="00572D0C">
        <w:rPr>
          <w:lang w:val="fr-CH"/>
        </w:rPr>
        <w:t xml:space="preserve"> </w:t>
      </w:r>
      <w:r>
        <w:rPr>
          <w:lang w:val="fr-CH"/>
        </w:rPr>
        <w:t>c</w:t>
      </w:r>
      <w:r w:rsidR="00F32A85" w:rsidRPr="00572D0C">
        <w:rPr>
          <w:lang w:val="fr-CH"/>
        </w:rPr>
        <w:t>anton</w:t>
      </w:r>
      <w:bookmarkEnd w:id="167"/>
      <w:bookmarkEnd w:id="168"/>
      <w:bookmarkEnd w:id="169"/>
      <w:bookmarkEnd w:id="170"/>
      <w:r>
        <w:rPr>
          <w:lang w:val="fr-CH"/>
        </w:rPr>
        <w:t>s</w:t>
      </w:r>
      <w:bookmarkEnd w:id="171"/>
      <w:bookmarkEnd w:id="172"/>
      <w:r>
        <w:rPr>
          <w:lang w:val="fr-CH"/>
        </w:rPr>
        <w:t xml:space="preserve"> </w:t>
      </w:r>
    </w:p>
    <w:p w14:paraId="0CEE575A" w14:textId="6F0CE282" w:rsidR="00C32B79" w:rsidRPr="00572D0C" w:rsidRDefault="00487910" w:rsidP="799D40CD">
      <w:pPr>
        <w:rPr>
          <w:b/>
          <w:i/>
          <w:lang w:val="fr-CH"/>
        </w:rPr>
      </w:pPr>
      <w:r>
        <w:rPr>
          <w:b/>
          <w:bCs/>
          <w:i/>
          <w:iCs/>
          <w:lang w:val="fr-CH"/>
        </w:rPr>
        <w:t>Plans sectori</w:t>
      </w:r>
      <w:r w:rsidR="147A5F7B" w:rsidRPr="00572D0C">
        <w:rPr>
          <w:b/>
          <w:bCs/>
          <w:i/>
          <w:iCs/>
          <w:lang w:val="fr-CH"/>
        </w:rPr>
        <w:t>e</w:t>
      </w:r>
      <w:r>
        <w:rPr>
          <w:b/>
          <w:bCs/>
          <w:i/>
          <w:iCs/>
          <w:lang w:val="fr-CH"/>
        </w:rPr>
        <w:t>ls</w:t>
      </w:r>
    </w:p>
    <w:p w14:paraId="3E25DC1C" w14:textId="3EB4DACE" w:rsidR="009A7815" w:rsidRPr="00572D0C" w:rsidRDefault="005A3CAA" w:rsidP="00F32A85">
      <w:pPr>
        <w:rPr>
          <w:lang w:val="fr-CH"/>
        </w:rPr>
      </w:pPr>
      <w:r>
        <w:rPr>
          <w:lang w:val="fr-CH"/>
        </w:rPr>
        <w:t>Comme le P</w:t>
      </w:r>
      <w:r w:rsidR="00D17062">
        <w:rPr>
          <w:lang w:val="fr-CH"/>
        </w:rPr>
        <w:t>lan sectoriel des SDA ne contient pas d’in</w:t>
      </w:r>
      <w:r w:rsidR="00136F84">
        <w:rPr>
          <w:lang w:val="fr-CH"/>
        </w:rPr>
        <w:t xml:space="preserve">dications géographiques concrètes, </w:t>
      </w:r>
      <w:r w:rsidR="00183C91">
        <w:rPr>
          <w:lang w:val="fr-CH"/>
        </w:rPr>
        <w:t xml:space="preserve">il n’est pas possible de détecter des </w:t>
      </w:r>
      <w:r w:rsidR="00136F84">
        <w:rPr>
          <w:lang w:val="fr-CH"/>
        </w:rPr>
        <w:t>conflit</w:t>
      </w:r>
      <w:r w:rsidR="00183C91">
        <w:rPr>
          <w:lang w:val="fr-CH"/>
        </w:rPr>
        <w:t>s ou</w:t>
      </w:r>
      <w:r w:rsidR="00136F84">
        <w:rPr>
          <w:lang w:val="fr-CH"/>
        </w:rPr>
        <w:t xml:space="preserve"> incompatibilité</w:t>
      </w:r>
      <w:r w:rsidR="00183C91">
        <w:rPr>
          <w:lang w:val="fr-CH"/>
        </w:rPr>
        <w:t>s</w:t>
      </w:r>
      <w:r w:rsidR="00136F84">
        <w:rPr>
          <w:lang w:val="fr-CH"/>
        </w:rPr>
        <w:t xml:space="preserve"> </w:t>
      </w:r>
      <w:r w:rsidR="00183C91">
        <w:rPr>
          <w:lang w:val="fr-CH"/>
        </w:rPr>
        <w:t xml:space="preserve">tangibles </w:t>
      </w:r>
      <w:r w:rsidR="00136F84">
        <w:rPr>
          <w:lang w:val="fr-CH"/>
        </w:rPr>
        <w:t xml:space="preserve">avec les plans sectoriels existants. La gestion des projets fédéraux </w:t>
      </w:r>
      <w:r w:rsidR="00183C91">
        <w:rPr>
          <w:lang w:val="fr-CH"/>
        </w:rPr>
        <w:t>en lien avec le</w:t>
      </w:r>
      <w:r>
        <w:rPr>
          <w:lang w:val="fr-CH"/>
        </w:rPr>
        <w:t xml:space="preserve"> P</w:t>
      </w:r>
      <w:r w:rsidR="00136F84">
        <w:rPr>
          <w:lang w:val="fr-CH"/>
        </w:rPr>
        <w:t xml:space="preserve">lan sectoriel des SDA est abordée dans les principes et </w:t>
      </w:r>
      <w:r w:rsidR="00402CFB">
        <w:rPr>
          <w:lang w:val="fr-CH"/>
        </w:rPr>
        <w:t>les explications y relatives</w:t>
      </w:r>
      <w:r w:rsidR="00316F63" w:rsidRPr="00572D0C">
        <w:rPr>
          <w:lang w:val="fr-CH"/>
        </w:rPr>
        <w:t>.</w:t>
      </w:r>
    </w:p>
    <w:p w14:paraId="389C10B4" w14:textId="78A00F69" w:rsidR="00F32A85" w:rsidRPr="00572D0C" w:rsidRDefault="00487910" w:rsidP="799D40CD">
      <w:pPr>
        <w:rPr>
          <w:b/>
          <w:i/>
          <w:lang w:val="fr-CH"/>
        </w:rPr>
      </w:pPr>
      <w:r>
        <w:rPr>
          <w:b/>
          <w:bCs/>
          <w:i/>
          <w:iCs/>
          <w:lang w:val="fr-CH"/>
        </w:rPr>
        <w:t>Conceptions</w:t>
      </w:r>
    </w:p>
    <w:p w14:paraId="6AA2FD70" w14:textId="2D5D6856" w:rsidR="009A7815" w:rsidRDefault="00136F84" w:rsidP="00F32A85">
      <w:pPr>
        <w:rPr>
          <w:lang w:val="fr-CH"/>
        </w:rPr>
      </w:pPr>
      <w:r>
        <w:rPr>
          <w:lang w:val="fr-CH"/>
        </w:rPr>
        <w:t xml:space="preserve">Aucun conflit n’est observé entre les conceptions existantes de la Confédération et le </w:t>
      </w:r>
      <w:r w:rsidR="005A3CAA">
        <w:rPr>
          <w:lang w:val="fr-CH"/>
        </w:rPr>
        <w:t>P</w:t>
      </w:r>
      <w:r>
        <w:rPr>
          <w:lang w:val="fr-CH"/>
        </w:rPr>
        <w:t>lan sectoriel des SDA</w:t>
      </w:r>
      <w:r w:rsidR="147A5F7B" w:rsidRPr="00572D0C">
        <w:rPr>
          <w:lang w:val="fr-CH"/>
        </w:rPr>
        <w:t xml:space="preserve">. </w:t>
      </w:r>
    </w:p>
    <w:p w14:paraId="73787C3D" w14:textId="3323A0DE" w:rsidR="00200775" w:rsidRDefault="00200775" w:rsidP="00F32A85">
      <w:pPr>
        <w:rPr>
          <w:lang w:val="fr-CH"/>
        </w:rPr>
      </w:pPr>
    </w:p>
    <w:p w14:paraId="78DF2F46" w14:textId="77777777" w:rsidR="00200775" w:rsidRPr="00572D0C" w:rsidRDefault="00200775" w:rsidP="00F32A85">
      <w:pPr>
        <w:rPr>
          <w:lang w:val="fr-CH"/>
        </w:rPr>
      </w:pPr>
    </w:p>
    <w:p w14:paraId="0C93933A" w14:textId="59E3118E" w:rsidR="00C32B79" w:rsidRPr="00572D0C" w:rsidRDefault="00487910" w:rsidP="799D40CD">
      <w:pPr>
        <w:rPr>
          <w:b/>
          <w:i/>
          <w:lang w:val="fr-CH"/>
        </w:rPr>
      </w:pPr>
      <w:r>
        <w:rPr>
          <w:b/>
          <w:bCs/>
          <w:i/>
          <w:iCs/>
          <w:lang w:val="fr-CH"/>
        </w:rPr>
        <w:lastRenderedPageBreak/>
        <w:t>Autres planifications de la Confédération et plans directeurs cantonaux</w:t>
      </w:r>
    </w:p>
    <w:p w14:paraId="1A528A07" w14:textId="61851719" w:rsidR="009E4EF2" w:rsidRPr="00572D0C" w:rsidRDefault="00136F84" w:rsidP="00C32B79">
      <w:pPr>
        <w:rPr>
          <w:b/>
          <w:i/>
          <w:lang w:val="fr-CH"/>
        </w:rPr>
      </w:pPr>
      <w:r>
        <w:rPr>
          <w:lang w:val="fr-CH"/>
        </w:rPr>
        <w:t>Du fait que le plan sectoriel des SDA ne contient pas d’indications géographiques concrètes qui justifierai</w:t>
      </w:r>
      <w:r w:rsidR="0048743C">
        <w:rPr>
          <w:lang w:val="fr-CH"/>
        </w:rPr>
        <w:t>en</w:t>
      </w:r>
      <w:r>
        <w:rPr>
          <w:lang w:val="fr-CH"/>
        </w:rPr>
        <w:t>t un besoin tangible de coordination, on a renoncé à procéder à une analyse systématique de sa cohérence avec d’autres planifications de la Confédération ou avec les plans directeurs cantonaux</w:t>
      </w:r>
      <w:r w:rsidR="147A5F7B" w:rsidRPr="00572D0C">
        <w:rPr>
          <w:lang w:val="fr-CH"/>
        </w:rPr>
        <w:t>.</w:t>
      </w:r>
      <w:r w:rsidR="00316F63" w:rsidRPr="00572D0C">
        <w:rPr>
          <w:lang w:val="fr-CH"/>
        </w:rPr>
        <w:t xml:space="preserve"> </w:t>
      </w:r>
      <w:r w:rsidR="00EF31B5">
        <w:rPr>
          <w:lang w:val="fr-CH"/>
        </w:rPr>
        <w:t xml:space="preserve">Les divers liens entre la planification directrice des cantons et le plan sectoriel des SDA sont abordés dans les principes et </w:t>
      </w:r>
      <w:r w:rsidR="006D668B">
        <w:rPr>
          <w:lang w:val="fr-CH"/>
        </w:rPr>
        <w:t>les explications y relatives</w:t>
      </w:r>
      <w:r w:rsidR="00EF31B5">
        <w:rPr>
          <w:lang w:val="fr-CH"/>
        </w:rPr>
        <w:t xml:space="preserve">. </w:t>
      </w:r>
    </w:p>
    <w:p w14:paraId="514CE1C8" w14:textId="4D499C3B" w:rsidR="00F32A85" w:rsidRPr="00572D0C" w:rsidRDefault="00487910" w:rsidP="00FE34CE">
      <w:pPr>
        <w:pStyle w:val="berschrift3"/>
        <w:rPr>
          <w:lang w:val="fr-CH"/>
        </w:rPr>
      </w:pPr>
      <w:bookmarkStart w:id="173" w:name="_Toc531193017"/>
      <w:bookmarkStart w:id="174" w:name="_Ref520731097"/>
      <w:bookmarkStart w:id="175" w:name="_Toc523813335"/>
      <w:bookmarkStart w:id="176" w:name="_Toc525022634"/>
      <w:bookmarkStart w:id="177" w:name="_Toc526946725"/>
      <w:bookmarkStart w:id="178" w:name="_Toc532996302"/>
      <w:r>
        <w:rPr>
          <w:lang w:val="fr-CH"/>
        </w:rPr>
        <w:t>Compatibilité avec le Projet de territoire Suisse</w:t>
      </w:r>
      <w:bookmarkEnd w:id="173"/>
      <w:bookmarkEnd w:id="178"/>
      <w:r w:rsidR="00F32A85" w:rsidRPr="00572D0C">
        <w:rPr>
          <w:lang w:val="fr-CH"/>
        </w:rPr>
        <w:t xml:space="preserve"> </w:t>
      </w:r>
      <w:bookmarkEnd w:id="174"/>
      <w:bookmarkEnd w:id="175"/>
      <w:bookmarkEnd w:id="176"/>
      <w:bookmarkEnd w:id="177"/>
    </w:p>
    <w:p w14:paraId="0DDFF374" w14:textId="28A62650" w:rsidR="00DE4178" w:rsidRPr="00572D0C" w:rsidRDefault="00EF31B5" w:rsidP="00DE4178">
      <w:pPr>
        <w:rPr>
          <w:lang w:val="fr-CH"/>
        </w:rPr>
      </w:pPr>
      <w:r>
        <w:rPr>
          <w:lang w:val="fr-CH"/>
        </w:rPr>
        <w:t>Son but étant de préserver les meilleures terres agricoles de Suisse tant en qualité qu’en quantité, le plan sectoriel des SDA contribue à la réalisation de plusieurs objectifs essentiels du Projet de territoire Suisse, notamment l’objectif</w:t>
      </w:r>
      <w:r w:rsidR="147A5F7B" w:rsidRPr="00572D0C">
        <w:rPr>
          <w:lang w:val="fr-CH"/>
        </w:rPr>
        <w:t xml:space="preserve"> 2</w:t>
      </w:r>
      <w:r>
        <w:rPr>
          <w:lang w:val="fr-CH"/>
        </w:rPr>
        <w:t xml:space="preserve"> : </w:t>
      </w:r>
      <w:r w:rsidR="147A5F7B" w:rsidRPr="00572D0C">
        <w:rPr>
          <w:lang w:val="fr-CH"/>
        </w:rPr>
        <w:t>«</w:t>
      </w:r>
      <w:r>
        <w:rPr>
          <w:lang w:val="fr-CH"/>
        </w:rPr>
        <w:t xml:space="preserve"> ménager les ressources naturelles </w:t>
      </w:r>
      <w:r w:rsidR="147A5F7B" w:rsidRPr="00572D0C">
        <w:rPr>
          <w:lang w:val="fr-CH"/>
        </w:rPr>
        <w:t xml:space="preserve">» </w:t>
      </w:r>
      <w:r>
        <w:rPr>
          <w:lang w:val="fr-CH"/>
        </w:rPr>
        <w:t>et la stratégie</w:t>
      </w:r>
      <w:r w:rsidR="147A5F7B" w:rsidRPr="00572D0C">
        <w:rPr>
          <w:lang w:val="fr-CH"/>
        </w:rPr>
        <w:t xml:space="preserve"> 2 «</w:t>
      </w:r>
      <w:r>
        <w:rPr>
          <w:lang w:val="fr-CH"/>
        </w:rPr>
        <w:t xml:space="preserve"> mettre en valeur le milieu bâti et les paysages </w:t>
      </w:r>
      <w:r w:rsidR="147A5F7B" w:rsidRPr="00572D0C">
        <w:rPr>
          <w:lang w:val="fr-CH"/>
        </w:rPr>
        <w:t>».</w:t>
      </w:r>
    </w:p>
    <w:p w14:paraId="22DB5BDC" w14:textId="361F6BF7" w:rsidR="00EC3804" w:rsidRPr="00572D0C" w:rsidRDefault="00EF31B5" w:rsidP="00EC3804">
      <w:pPr>
        <w:rPr>
          <w:lang w:val="fr-CH"/>
        </w:rPr>
      </w:pPr>
      <w:r>
        <w:rPr>
          <w:lang w:val="fr-CH"/>
        </w:rPr>
        <w:t>La garantie des surfaces d’assolement con</w:t>
      </w:r>
      <w:r w:rsidR="147A5F7B" w:rsidRPr="00572D0C">
        <w:rPr>
          <w:lang w:val="fr-CH"/>
        </w:rPr>
        <w:t>t</w:t>
      </w:r>
      <w:r>
        <w:rPr>
          <w:lang w:val="fr-CH"/>
        </w:rPr>
        <w:t xml:space="preserve">ribue </w:t>
      </w:r>
      <w:r w:rsidR="00020830">
        <w:rPr>
          <w:lang w:val="fr-CH"/>
        </w:rPr>
        <w:t xml:space="preserve">de manière importante </w:t>
      </w:r>
      <w:r>
        <w:rPr>
          <w:lang w:val="fr-CH"/>
        </w:rPr>
        <w:t xml:space="preserve">à minimiser la perte de surfaces agricoles utiles </w:t>
      </w:r>
      <w:r w:rsidR="00020830">
        <w:rPr>
          <w:lang w:val="fr-CH"/>
        </w:rPr>
        <w:t>et, ainsi, à</w:t>
      </w:r>
      <w:r>
        <w:rPr>
          <w:lang w:val="fr-CH"/>
        </w:rPr>
        <w:t xml:space="preserve"> maintenir durablement un degré élevé d’</w:t>
      </w:r>
      <w:r w:rsidR="00020830">
        <w:rPr>
          <w:lang w:val="fr-CH"/>
        </w:rPr>
        <w:t>autosuffisance</w:t>
      </w:r>
      <w:r>
        <w:rPr>
          <w:lang w:val="fr-CH"/>
        </w:rPr>
        <w:t xml:space="preserve"> et, indirectement, </w:t>
      </w:r>
      <w:r w:rsidR="00020830">
        <w:rPr>
          <w:lang w:val="fr-CH"/>
        </w:rPr>
        <w:t xml:space="preserve">à </w:t>
      </w:r>
      <w:r>
        <w:rPr>
          <w:lang w:val="fr-CH"/>
        </w:rPr>
        <w:t xml:space="preserve">limiter le mitage du territoire. Le plan sectoriel contribue par conséquent également au renforcement de l’agriculture. Il </w:t>
      </w:r>
      <w:r w:rsidR="00E4765F">
        <w:rPr>
          <w:lang w:val="fr-CH"/>
        </w:rPr>
        <w:t>participe indirectement également à la préservation des bases naturelles de la vie, des surfaces de compensation écologique, de la diversité des paysages proches de l’état naturel, de la diversité des espèces et des espaces de détente</w:t>
      </w:r>
      <w:r w:rsidR="147A5F7B" w:rsidRPr="00572D0C">
        <w:rPr>
          <w:lang w:val="fr-CH"/>
        </w:rPr>
        <w:t>.</w:t>
      </w:r>
    </w:p>
    <w:p w14:paraId="791D7EA3" w14:textId="08861B38" w:rsidR="00DE4178" w:rsidRPr="00572D0C" w:rsidRDefault="00020830" w:rsidP="00DE4178">
      <w:pPr>
        <w:rPr>
          <w:lang w:val="fr-CH"/>
        </w:rPr>
      </w:pPr>
      <w:r>
        <w:rPr>
          <w:lang w:val="fr-CH"/>
        </w:rPr>
        <w:t>Les références du</w:t>
      </w:r>
      <w:r w:rsidR="00E4765F">
        <w:rPr>
          <w:lang w:val="fr-CH"/>
        </w:rPr>
        <w:t xml:space="preserve"> Projet de territoire Suisse </w:t>
      </w:r>
      <w:r>
        <w:rPr>
          <w:lang w:val="fr-CH"/>
        </w:rPr>
        <w:t xml:space="preserve">aux </w:t>
      </w:r>
      <w:r w:rsidR="00E4765F">
        <w:rPr>
          <w:lang w:val="fr-CH"/>
        </w:rPr>
        <w:t>SDA</w:t>
      </w:r>
      <w:r>
        <w:rPr>
          <w:lang w:val="fr-CH"/>
        </w:rPr>
        <w:t xml:space="preserve"> sont les suivantes</w:t>
      </w:r>
      <w:r w:rsidR="00E4765F">
        <w:rPr>
          <w:lang w:val="fr-CH"/>
        </w:rPr>
        <w:t xml:space="preserve"> </w:t>
      </w:r>
      <w:r w:rsidR="147A5F7B" w:rsidRPr="00572D0C">
        <w:rPr>
          <w:lang w:val="fr-CH"/>
        </w:rPr>
        <w:t>:</w:t>
      </w:r>
    </w:p>
    <w:p w14:paraId="70FB456E" w14:textId="6F179AC1" w:rsidR="00DE4178" w:rsidRPr="00572D0C" w:rsidRDefault="000F1826">
      <w:pPr>
        <w:rPr>
          <w:rFonts w:eastAsiaTheme="minorEastAsia"/>
          <w:lang w:val="fr-CH" w:eastAsia="en-US"/>
        </w:rPr>
      </w:pPr>
      <w:r w:rsidRPr="00572D0C">
        <w:rPr>
          <w:rFonts w:eastAsiaTheme="minorEastAsia"/>
          <w:lang w:val="fr-CH" w:eastAsia="en-US"/>
        </w:rPr>
        <w:t xml:space="preserve"> «</w:t>
      </w:r>
      <w:r w:rsidR="00E7240F">
        <w:rPr>
          <w:rFonts w:eastAsiaTheme="minorEastAsia"/>
          <w:lang w:val="fr-CH" w:eastAsia="en-US"/>
        </w:rPr>
        <w:t xml:space="preserve"> Les surfaces agricoles doivent être préservées de l’urbanisation et de l’étalement urbain afin d’assurer une base d’approvisionnement suffisante pour le pays. Il convient de conserver à long terme de vastes surfaces agricoles d’un seul tenant, à usage multifonctionnel, et en priorité les surfaces d’assolement et les terres cultivables de qualité supérieure. Une collaboration étroite est primordiale entre l’agriculture, la sylviculture, le tourisme, la protection de la nature et du paysage et la politique régionale </w:t>
      </w:r>
      <w:r w:rsidRPr="00572D0C">
        <w:rPr>
          <w:rFonts w:eastAsiaTheme="minorEastAsia"/>
          <w:lang w:val="fr-CH" w:eastAsia="en-US"/>
        </w:rPr>
        <w:t>»</w:t>
      </w:r>
      <w:r w:rsidR="00CF1B95">
        <w:rPr>
          <w:rStyle w:val="Funotenzeichen"/>
          <w:rFonts w:eastAsiaTheme="minorEastAsia"/>
          <w:lang w:val="fr-CH" w:eastAsia="en-US"/>
        </w:rPr>
        <w:footnoteReference w:id="38"/>
      </w:r>
      <w:r w:rsidR="00885CCD">
        <w:rPr>
          <w:rFonts w:eastAsiaTheme="minorEastAsia"/>
          <w:lang w:val="fr-CH" w:eastAsia="en-US"/>
        </w:rPr>
        <w:t>.</w:t>
      </w:r>
      <w:r w:rsidRPr="00572D0C">
        <w:rPr>
          <w:rFonts w:eastAsiaTheme="minorEastAsia"/>
          <w:lang w:val="fr-CH" w:eastAsia="en-US"/>
        </w:rPr>
        <w:t xml:space="preserve"> </w:t>
      </w:r>
    </w:p>
    <w:p w14:paraId="424CE405" w14:textId="64FD7C20" w:rsidR="00DE4178" w:rsidRPr="00572D0C" w:rsidRDefault="000F1826">
      <w:pPr>
        <w:rPr>
          <w:rFonts w:eastAsiaTheme="minorEastAsia"/>
          <w:lang w:val="fr-CH"/>
        </w:rPr>
      </w:pPr>
      <w:r w:rsidRPr="00572D0C">
        <w:rPr>
          <w:rFonts w:cs="Arial"/>
          <w:lang w:val="fr-CH"/>
        </w:rPr>
        <w:t>«</w:t>
      </w:r>
      <w:r w:rsidR="00E7240F">
        <w:rPr>
          <w:rFonts w:cs="Arial"/>
          <w:lang w:val="fr-CH"/>
        </w:rPr>
        <w:t xml:space="preserve"> La Confédération garantit une protection durable des terres cultivables, notamment des surfaces d’assolement</w:t>
      </w:r>
      <w:r w:rsidR="147A5F7B" w:rsidRPr="00572D0C">
        <w:rPr>
          <w:rFonts w:eastAsiaTheme="minorEastAsia"/>
          <w:lang w:val="fr-CH"/>
        </w:rPr>
        <w:t xml:space="preserve">. </w:t>
      </w:r>
      <w:r w:rsidR="00E7240F">
        <w:rPr>
          <w:rFonts w:eastAsiaTheme="minorEastAsia"/>
          <w:lang w:val="fr-CH"/>
        </w:rPr>
        <w:t xml:space="preserve">Les cantons créent les conditions territoriales nécessaires au maintien de l’agriculture et assurent le maintien de grandes zones agricoles et cultivables d’un seul tenant, notamment des surfaces d’assolement </w:t>
      </w:r>
      <w:r w:rsidRPr="00572D0C">
        <w:rPr>
          <w:rFonts w:eastAsiaTheme="minorEastAsia"/>
          <w:lang w:val="fr-CH"/>
        </w:rPr>
        <w:t>»</w:t>
      </w:r>
      <w:r w:rsidR="00CF1B95">
        <w:rPr>
          <w:rStyle w:val="Funotenzeichen"/>
          <w:rFonts w:eastAsiaTheme="minorEastAsia"/>
          <w:lang w:val="fr-CH"/>
        </w:rPr>
        <w:footnoteReference w:id="39"/>
      </w:r>
      <w:r w:rsidR="00885CCD">
        <w:rPr>
          <w:rFonts w:eastAsiaTheme="minorEastAsia"/>
          <w:lang w:val="fr-CH"/>
        </w:rPr>
        <w:t>.</w:t>
      </w:r>
      <w:r w:rsidRPr="00572D0C">
        <w:rPr>
          <w:rFonts w:eastAsiaTheme="minorEastAsia"/>
          <w:lang w:val="fr-CH"/>
        </w:rPr>
        <w:t xml:space="preserve"> </w:t>
      </w:r>
    </w:p>
    <w:p w14:paraId="4D7FE03C" w14:textId="0CBA6E01" w:rsidR="0042258B" w:rsidRPr="00572D0C" w:rsidRDefault="00E4765F" w:rsidP="0042258B">
      <w:pPr>
        <w:rPr>
          <w:lang w:val="fr-CH"/>
        </w:rPr>
      </w:pPr>
      <w:r>
        <w:rPr>
          <w:rFonts w:eastAsiaTheme="minorEastAsia"/>
          <w:lang w:val="fr-CH"/>
        </w:rPr>
        <w:t xml:space="preserve">Le plan sectoriel des SDA </w:t>
      </w:r>
      <w:r w:rsidR="00885CCD">
        <w:rPr>
          <w:rFonts w:eastAsiaTheme="minorEastAsia"/>
          <w:lang w:val="fr-CH"/>
        </w:rPr>
        <w:t xml:space="preserve">apporte </w:t>
      </w:r>
      <w:r>
        <w:rPr>
          <w:rFonts w:eastAsiaTheme="minorEastAsia"/>
          <w:lang w:val="fr-CH"/>
        </w:rPr>
        <w:t xml:space="preserve">une contribution </w:t>
      </w:r>
      <w:r w:rsidR="00885CCD">
        <w:rPr>
          <w:rFonts w:eastAsiaTheme="minorEastAsia"/>
          <w:lang w:val="fr-CH"/>
        </w:rPr>
        <w:t xml:space="preserve">importante </w:t>
      </w:r>
      <w:r>
        <w:rPr>
          <w:rFonts w:eastAsiaTheme="minorEastAsia"/>
          <w:lang w:val="fr-CH"/>
        </w:rPr>
        <w:t>à la réalisation de ces objectifs</w:t>
      </w:r>
      <w:r w:rsidR="000F1826" w:rsidRPr="00572D0C">
        <w:rPr>
          <w:rFonts w:eastAsiaTheme="minorEastAsia"/>
          <w:lang w:val="fr-CH"/>
        </w:rPr>
        <w:t>.</w:t>
      </w:r>
    </w:p>
    <w:p w14:paraId="4B07BBEC" w14:textId="0BBCEFB9" w:rsidR="00F32A85" w:rsidRPr="00572D0C" w:rsidRDefault="00487910" w:rsidP="00FE34CE">
      <w:pPr>
        <w:pStyle w:val="berschrift3"/>
        <w:rPr>
          <w:lang w:val="fr-CH"/>
        </w:rPr>
      </w:pPr>
      <w:bookmarkStart w:id="179" w:name="_Toc523813336"/>
      <w:bookmarkStart w:id="180" w:name="_Toc525022635"/>
      <w:bookmarkStart w:id="181" w:name="_Toc526946726"/>
      <w:bookmarkStart w:id="182" w:name="_Toc531193018"/>
      <w:bookmarkStart w:id="183" w:name="_Toc532996303"/>
      <w:r>
        <w:rPr>
          <w:lang w:val="fr-CH"/>
        </w:rPr>
        <w:t xml:space="preserve">Exigences </w:t>
      </w:r>
      <w:r w:rsidR="00885CCD">
        <w:rPr>
          <w:lang w:val="fr-CH"/>
        </w:rPr>
        <w:t>de</w:t>
      </w:r>
      <w:r>
        <w:rPr>
          <w:lang w:val="fr-CH"/>
        </w:rPr>
        <w:t xml:space="preserve"> procédure</w:t>
      </w:r>
      <w:bookmarkEnd w:id="179"/>
      <w:bookmarkEnd w:id="180"/>
      <w:bookmarkEnd w:id="181"/>
      <w:bookmarkEnd w:id="182"/>
      <w:bookmarkEnd w:id="183"/>
    </w:p>
    <w:p w14:paraId="4D879864" w14:textId="1CD6FBD1" w:rsidR="00321314" w:rsidRPr="00572D0C" w:rsidRDefault="00B651CD" w:rsidP="0042258B">
      <w:pPr>
        <w:rPr>
          <w:lang w:val="fr-CH"/>
        </w:rPr>
      </w:pPr>
      <w:r>
        <w:rPr>
          <w:lang w:val="fr-CH"/>
        </w:rPr>
        <w:t>Le plan sectoriel des SDA est le fruit d’</w:t>
      </w:r>
      <w:r w:rsidR="00EB4265">
        <w:rPr>
          <w:lang w:val="fr-CH"/>
        </w:rPr>
        <w:t>une étroite</w:t>
      </w:r>
      <w:r>
        <w:rPr>
          <w:lang w:val="fr-CH"/>
        </w:rPr>
        <w:t xml:space="preserve"> collaboration </w:t>
      </w:r>
      <w:r w:rsidR="00885CCD">
        <w:rPr>
          <w:lang w:val="fr-CH"/>
        </w:rPr>
        <w:t>en</w:t>
      </w:r>
      <w:r w:rsidR="00EB4265">
        <w:rPr>
          <w:lang w:val="fr-CH"/>
        </w:rPr>
        <w:t xml:space="preserve"> partenariat </w:t>
      </w:r>
      <w:r>
        <w:rPr>
          <w:lang w:val="fr-CH"/>
        </w:rPr>
        <w:t xml:space="preserve">entre les </w:t>
      </w:r>
      <w:r w:rsidR="00885CCD">
        <w:rPr>
          <w:lang w:val="fr-CH"/>
        </w:rPr>
        <w:t xml:space="preserve">services </w:t>
      </w:r>
      <w:r>
        <w:rPr>
          <w:lang w:val="fr-CH"/>
        </w:rPr>
        <w:t>fédéraux concernés</w:t>
      </w:r>
      <w:r w:rsidR="00885CCD">
        <w:rPr>
          <w:lang w:val="fr-CH"/>
        </w:rPr>
        <w:t xml:space="preserve"> dès le début des travaux</w:t>
      </w:r>
      <w:r w:rsidR="147A5F7B" w:rsidRPr="00572D0C">
        <w:rPr>
          <w:lang w:val="fr-CH"/>
        </w:rPr>
        <w:t>.</w:t>
      </w:r>
      <w:r w:rsidR="00885CCD">
        <w:rPr>
          <w:lang w:val="fr-CH"/>
        </w:rPr>
        <w:t xml:space="preserve"> Il a été élaboré conjointement par</w:t>
      </w:r>
      <w:r w:rsidR="147A5F7B" w:rsidRPr="00572D0C">
        <w:rPr>
          <w:lang w:val="fr-CH"/>
        </w:rPr>
        <w:t xml:space="preserve"> </w:t>
      </w:r>
      <w:r w:rsidR="00885CCD">
        <w:rPr>
          <w:lang w:val="fr-CH"/>
        </w:rPr>
        <w:t>l’ARE</w:t>
      </w:r>
      <w:r w:rsidR="00EB4265">
        <w:rPr>
          <w:lang w:val="fr-CH"/>
        </w:rPr>
        <w:t>, l’OFAG et l’OFEV</w:t>
      </w:r>
      <w:r w:rsidR="00885CCD">
        <w:rPr>
          <w:lang w:val="fr-CH"/>
        </w:rPr>
        <w:t>, avec une implication particulièrement forte de l’OFAE</w:t>
      </w:r>
      <w:r w:rsidR="147A5F7B" w:rsidRPr="00572D0C">
        <w:rPr>
          <w:lang w:val="fr-CH"/>
        </w:rPr>
        <w:t xml:space="preserve">. </w:t>
      </w:r>
      <w:r w:rsidR="00EB4265">
        <w:rPr>
          <w:lang w:val="fr-CH"/>
        </w:rPr>
        <w:t xml:space="preserve">D’autres </w:t>
      </w:r>
      <w:r w:rsidR="00885CCD">
        <w:rPr>
          <w:lang w:val="fr-CH"/>
        </w:rPr>
        <w:t xml:space="preserve">services </w:t>
      </w:r>
      <w:r w:rsidR="00EB4265">
        <w:rPr>
          <w:lang w:val="fr-CH"/>
        </w:rPr>
        <w:t xml:space="preserve">fédéraux et représentations cantonales ont été associés </w:t>
      </w:r>
      <w:r w:rsidR="00885CCD">
        <w:rPr>
          <w:lang w:val="fr-CH"/>
        </w:rPr>
        <w:t>à plusieurs reprises</w:t>
      </w:r>
      <w:r w:rsidR="00EB4265">
        <w:rPr>
          <w:lang w:val="fr-CH"/>
        </w:rPr>
        <w:t xml:space="preserve"> à </w:t>
      </w:r>
      <w:r w:rsidR="00885CCD">
        <w:rPr>
          <w:lang w:val="fr-CH"/>
        </w:rPr>
        <w:t>cette étape à l’occasion</w:t>
      </w:r>
      <w:r w:rsidR="00EB4265">
        <w:rPr>
          <w:lang w:val="fr-CH"/>
        </w:rPr>
        <w:t xml:space="preserve"> d’ateliers. </w:t>
      </w:r>
    </w:p>
    <w:p w14:paraId="6AD0CBF4" w14:textId="35F75EDE" w:rsidR="0042258B" w:rsidRPr="005500D2" w:rsidRDefault="00EB4265" w:rsidP="0042258B">
      <w:pPr>
        <w:rPr>
          <w:i/>
          <w:lang w:val="fr-CH"/>
        </w:rPr>
      </w:pPr>
      <w:r w:rsidRPr="005500D2">
        <w:rPr>
          <w:i/>
          <w:lang w:val="fr-CH"/>
        </w:rPr>
        <w:t xml:space="preserve">Par </w:t>
      </w:r>
      <w:r w:rsidR="00885CCD" w:rsidRPr="005500D2">
        <w:rPr>
          <w:i/>
          <w:lang w:val="fr-CH"/>
        </w:rPr>
        <w:t xml:space="preserve">courrier </w:t>
      </w:r>
      <w:r w:rsidRPr="005500D2">
        <w:rPr>
          <w:i/>
          <w:lang w:val="fr-CH"/>
        </w:rPr>
        <w:t>du</w:t>
      </w:r>
      <w:r w:rsidR="147A5F7B" w:rsidRPr="005500D2">
        <w:rPr>
          <w:i/>
          <w:lang w:val="fr-CH"/>
        </w:rPr>
        <w:t xml:space="preserve"> </w:t>
      </w:r>
      <w:r w:rsidR="00CB6836" w:rsidRPr="005500D2">
        <w:rPr>
          <w:i/>
          <w:lang w:val="fr-CH"/>
        </w:rPr>
        <w:t>20 décembre 2018</w:t>
      </w:r>
      <w:r w:rsidR="005500D2" w:rsidRPr="005500D2">
        <w:rPr>
          <w:i/>
          <w:lang w:val="fr-CH"/>
        </w:rPr>
        <w:t xml:space="preserve"> </w:t>
      </w:r>
      <w:r w:rsidRPr="005500D2">
        <w:rPr>
          <w:i/>
          <w:lang w:val="fr-CH"/>
        </w:rPr>
        <w:t>et par une communication dans la Feuille fédérale</w:t>
      </w:r>
      <w:r w:rsidR="147A5F7B" w:rsidRPr="005500D2">
        <w:rPr>
          <w:i/>
          <w:lang w:val="fr-CH"/>
        </w:rPr>
        <w:t xml:space="preserve"> (</w:t>
      </w:r>
      <w:r w:rsidRPr="005500D2">
        <w:rPr>
          <w:i/>
          <w:lang w:val="fr-CH"/>
        </w:rPr>
        <w:t>F</w:t>
      </w:r>
      <w:r w:rsidR="00CB6836" w:rsidRPr="005500D2">
        <w:rPr>
          <w:i/>
          <w:lang w:val="fr-CH"/>
        </w:rPr>
        <w:t>F 2018 7827</w:t>
      </w:r>
      <w:r w:rsidR="147A5F7B" w:rsidRPr="005500D2">
        <w:rPr>
          <w:i/>
          <w:lang w:val="fr-CH"/>
        </w:rPr>
        <w:t>)</w:t>
      </w:r>
      <w:r w:rsidRPr="005500D2">
        <w:rPr>
          <w:i/>
          <w:lang w:val="fr-CH"/>
        </w:rPr>
        <w:t>,</w:t>
      </w:r>
      <w:r w:rsidR="00791303" w:rsidRPr="005500D2">
        <w:rPr>
          <w:i/>
          <w:lang w:val="fr-CH"/>
        </w:rPr>
        <w:t xml:space="preserve"> la consultation </w:t>
      </w:r>
      <w:r w:rsidRPr="005500D2">
        <w:rPr>
          <w:i/>
          <w:lang w:val="fr-CH"/>
        </w:rPr>
        <w:t>des cantons a été ouverte et la population intéressée</w:t>
      </w:r>
      <w:r w:rsidR="0048743C" w:rsidRPr="005500D2">
        <w:rPr>
          <w:i/>
          <w:lang w:val="fr-CH"/>
        </w:rPr>
        <w:t xml:space="preserve"> ainsi que les organisations faîtières et les associations ont été invitées à se prononcer sur le projet de plan sectoriel</w:t>
      </w:r>
      <w:r w:rsidR="147A5F7B" w:rsidRPr="005500D2">
        <w:rPr>
          <w:i/>
          <w:lang w:val="fr-CH"/>
        </w:rPr>
        <w:t xml:space="preserve">. </w:t>
      </w:r>
      <w:r w:rsidR="0048743C" w:rsidRPr="005500D2">
        <w:rPr>
          <w:i/>
          <w:lang w:val="fr-CH"/>
        </w:rPr>
        <w:t>Les résultats de</w:t>
      </w:r>
      <w:r w:rsidR="00791303" w:rsidRPr="005500D2">
        <w:rPr>
          <w:i/>
          <w:lang w:val="fr-CH"/>
        </w:rPr>
        <w:t xml:space="preserve"> la consultation des cantons</w:t>
      </w:r>
      <w:r w:rsidR="0048743C" w:rsidRPr="005500D2">
        <w:rPr>
          <w:i/>
          <w:lang w:val="fr-CH"/>
        </w:rPr>
        <w:t xml:space="preserve"> et de la consultation publique</w:t>
      </w:r>
      <w:r w:rsidR="147A5F7B" w:rsidRPr="005500D2">
        <w:rPr>
          <w:i/>
          <w:lang w:val="fr-CH"/>
        </w:rPr>
        <w:t xml:space="preserve"> (</w:t>
      </w:r>
      <w:r w:rsidR="0048743C" w:rsidRPr="005500D2">
        <w:rPr>
          <w:i/>
          <w:lang w:val="fr-CH"/>
        </w:rPr>
        <w:t>cf. document séparé</w:t>
      </w:r>
      <w:r w:rsidR="147A5F7B" w:rsidRPr="005500D2">
        <w:rPr>
          <w:i/>
          <w:lang w:val="fr-CH"/>
        </w:rPr>
        <w:t xml:space="preserve">) </w:t>
      </w:r>
      <w:r w:rsidR="0048743C" w:rsidRPr="005500D2">
        <w:rPr>
          <w:i/>
          <w:lang w:val="fr-CH"/>
        </w:rPr>
        <w:t>et de</w:t>
      </w:r>
      <w:r w:rsidR="00090DBB" w:rsidRPr="005500D2">
        <w:rPr>
          <w:i/>
          <w:lang w:val="fr-CH"/>
        </w:rPr>
        <w:t>s</w:t>
      </w:r>
      <w:r w:rsidR="0048743C" w:rsidRPr="005500D2">
        <w:rPr>
          <w:i/>
          <w:lang w:val="fr-CH"/>
        </w:rPr>
        <w:t xml:space="preserve"> prises de positio</w:t>
      </w:r>
      <w:r w:rsidR="147A5F7B" w:rsidRPr="005500D2">
        <w:rPr>
          <w:i/>
          <w:lang w:val="fr-CH"/>
        </w:rPr>
        <w:t>n</w:t>
      </w:r>
      <w:r w:rsidR="0048743C" w:rsidRPr="005500D2">
        <w:rPr>
          <w:i/>
          <w:lang w:val="fr-CH"/>
        </w:rPr>
        <w:t xml:space="preserve"> des cantons dans le cadre de l’article</w:t>
      </w:r>
      <w:r w:rsidR="147A5F7B" w:rsidRPr="005500D2">
        <w:rPr>
          <w:i/>
          <w:lang w:val="fr-CH"/>
        </w:rPr>
        <w:t xml:space="preserve"> 20 </w:t>
      </w:r>
      <w:r w:rsidR="0048743C" w:rsidRPr="005500D2">
        <w:rPr>
          <w:i/>
          <w:lang w:val="fr-CH"/>
        </w:rPr>
        <w:t>OAT</w:t>
      </w:r>
      <w:r w:rsidR="147A5F7B" w:rsidRPr="005500D2">
        <w:rPr>
          <w:i/>
          <w:lang w:val="fr-CH"/>
        </w:rPr>
        <w:t xml:space="preserve"> </w:t>
      </w:r>
      <w:r w:rsidR="0048743C" w:rsidRPr="005500D2">
        <w:rPr>
          <w:i/>
          <w:lang w:val="fr-CH"/>
        </w:rPr>
        <w:t xml:space="preserve">ont été intégrés au remaniement du plan sectoriel. Les exigences des articles </w:t>
      </w:r>
      <w:r w:rsidR="147A5F7B" w:rsidRPr="005500D2">
        <w:rPr>
          <w:i/>
          <w:lang w:val="fr-CH"/>
        </w:rPr>
        <w:t xml:space="preserve">17 </w:t>
      </w:r>
      <w:r w:rsidR="0048743C" w:rsidRPr="005500D2">
        <w:rPr>
          <w:i/>
          <w:lang w:val="fr-CH"/>
        </w:rPr>
        <w:t>à</w:t>
      </w:r>
      <w:r w:rsidR="147A5F7B" w:rsidRPr="005500D2">
        <w:rPr>
          <w:i/>
          <w:lang w:val="fr-CH"/>
        </w:rPr>
        <w:t xml:space="preserve"> 20 </w:t>
      </w:r>
      <w:r w:rsidR="0048743C" w:rsidRPr="005500D2">
        <w:rPr>
          <w:i/>
          <w:lang w:val="fr-CH"/>
        </w:rPr>
        <w:t>OAT sont satisfaites</w:t>
      </w:r>
      <w:r w:rsidR="147A5F7B" w:rsidRPr="005500D2">
        <w:rPr>
          <w:i/>
          <w:lang w:val="fr-CH"/>
        </w:rPr>
        <w:t>.</w:t>
      </w:r>
    </w:p>
    <w:p w14:paraId="1C234D09" w14:textId="4D6AF555" w:rsidR="00F32A85" w:rsidRPr="00572D0C" w:rsidRDefault="00487910" w:rsidP="00FE34CE">
      <w:pPr>
        <w:pStyle w:val="berschrift3"/>
        <w:rPr>
          <w:lang w:val="fr-CH"/>
        </w:rPr>
      </w:pPr>
      <w:bookmarkStart w:id="184" w:name="_Toc523813337"/>
      <w:bookmarkStart w:id="185" w:name="_Toc525022636"/>
      <w:bookmarkStart w:id="186" w:name="_Toc526946727"/>
      <w:bookmarkStart w:id="187" w:name="_Toc531193019"/>
      <w:bookmarkStart w:id="188" w:name="_Toc532996304"/>
      <w:r>
        <w:rPr>
          <w:lang w:val="fr-CH"/>
        </w:rPr>
        <w:lastRenderedPageBreak/>
        <w:t xml:space="preserve">Exigences </w:t>
      </w:r>
      <w:r w:rsidR="00507D99">
        <w:rPr>
          <w:lang w:val="fr-CH"/>
        </w:rPr>
        <w:t>de</w:t>
      </w:r>
      <w:r>
        <w:rPr>
          <w:lang w:val="fr-CH"/>
        </w:rPr>
        <w:t xml:space="preserve"> forme</w:t>
      </w:r>
      <w:bookmarkEnd w:id="184"/>
      <w:bookmarkEnd w:id="185"/>
      <w:bookmarkEnd w:id="186"/>
      <w:bookmarkEnd w:id="187"/>
      <w:bookmarkEnd w:id="188"/>
    </w:p>
    <w:p w14:paraId="1167978F" w14:textId="2D5B647E" w:rsidR="00C93F6A" w:rsidRPr="00572D0C" w:rsidRDefault="00D6035C" w:rsidP="00C93F6A">
      <w:pPr>
        <w:rPr>
          <w:lang w:val="fr-CH"/>
        </w:rPr>
      </w:pPr>
      <w:r>
        <w:rPr>
          <w:lang w:val="fr-CH"/>
        </w:rPr>
        <w:t>Les chapitres</w:t>
      </w:r>
      <w:r w:rsidR="147A5F7B" w:rsidRPr="00572D0C">
        <w:rPr>
          <w:lang w:val="fr-CH"/>
        </w:rPr>
        <w:t xml:space="preserve"> 3 </w:t>
      </w:r>
      <w:r>
        <w:rPr>
          <w:lang w:val="fr-CH"/>
        </w:rPr>
        <w:t>et</w:t>
      </w:r>
      <w:r w:rsidR="147A5F7B" w:rsidRPr="00572D0C">
        <w:rPr>
          <w:lang w:val="fr-CH"/>
        </w:rPr>
        <w:t xml:space="preserve"> 4 </w:t>
      </w:r>
      <w:r>
        <w:rPr>
          <w:lang w:val="fr-CH"/>
        </w:rPr>
        <w:t xml:space="preserve">du plan sectoriel précisent les objectifs, les </w:t>
      </w:r>
      <w:r w:rsidR="004B2FB5">
        <w:rPr>
          <w:lang w:val="fr-CH"/>
        </w:rPr>
        <w:t xml:space="preserve">surfaces </w:t>
      </w:r>
      <w:r w:rsidR="00A82D12">
        <w:rPr>
          <w:lang w:val="fr-CH"/>
        </w:rPr>
        <w:t xml:space="preserve">d’assolement </w:t>
      </w:r>
      <w:r w:rsidR="004B2FB5">
        <w:rPr>
          <w:lang w:val="fr-CH"/>
        </w:rPr>
        <w:t xml:space="preserve">à garantir </w:t>
      </w:r>
      <w:r>
        <w:rPr>
          <w:lang w:val="fr-CH"/>
        </w:rPr>
        <w:t xml:space="preserve">et les principes </w:t>
      </w:r>
      <w:r w:rsidR="00507D99">
        <w:rPr>
          <w:lang w:val="fr-CH"/>
        </w:rPr>
        <w:t>contraignants pour</w:t>
      </w:r>
      <w:r>
        <w:rPr>
          <w:lang w:val="fr-CH"/>
        </w:rPr>
        <w:t xml:space="preserve"> les autorités</w:t>
      </w:r>
      <w:r w:rsidR="00507D99">
        <w:rPr>
          <w:lang w:val="fr-CH"/>
        </w:rPr>
        <w:t>, tandis que</w:t>
      </w:r>
      <w:r>
        <w:rPr>
          <w:lang w:val="fr-CH"/>
        </w:rPr>
        <w:t xml:space="preserve"> le premier chapitre </w:t>
      </w:r>
      <w:r w:rsidR="00507D99">
        <w:rPr>
          <w:lang w:val="fr-CH"/>
        </w:rPr>
        <w:t>expose l’état de la situation</w:t>
      </w:r>
      <w:r>
        <w:rPr>
          <w:lang w:val="fr-CH"/>
        </w:rPr>
        <w:t xml:space="preserve">. </w:t>
      </w:r>
      <w:r w:rsidR="00507D99">
        <w:rPr>
          <w:rFonts w:cs="Arial"/>
          <w:lang w:val="fr-CH"/>
        </w:rPr>
        <w:t>À</w:t>
      </w:r>
      <w:r w:rsidR="00F67293">
        <w:rPr>
          <w:lang w:val="fr-CH"/>
        </w:rPr>
        <w:t xml:space="preserve"> la différence </w:t>
      </w:r>
      <w:r w:rsidR="00507D99">
        <w:rPr>
          <w:lang w:val="fr-CH"/>
        </w:rPr>
        <w:t xml:space="preserve">des autres </w:t>
      </w:r>
      <w:r>
        <w:rPr>
          <w:lang w:val="fr-CH"/>
        </w:rPr>
        <w:t xml:space="preserve">plans sectoriels de la Confédération, </w:t>
      </w:r>
      <w:r w:rsidR="00507D99">
        <w:rPr>
          <w:lang w:val="fr-CH"/>
        </w:rPr>
        <w:t>aucun projet n’y est planifié</w:t>
      </w:r>
      <w:r>
        <w:rPr>
          <w:lang w:val="fr-CH"/>
        </w:rPr>
        <w:t>. Il indique en revanche la surface totale minimale d’assolement à garantir</w:t>
      </w:r>
      <w:r w:rsidR="00507D99">
        <w:rPr>
          <w:lang w:val="fr-CH"/>
        </w:rPr>
        <w:t xml:space="preserve"> à l’échelle de la Suisse</w:t>
      </w:r>
      <w:r>
        <w:rPr>
          <w:lang w:val="fr-CH"/>
        </w:rPr>
        <w:t xml:space="preserve"> et sa répartition entre les cantons </w:t>
      </w:r>
      <w:r w:rsidR="147A5F7B" w:rsidRPr="00572D0C">
        <w:rPr>
          <w:lang w:val="fr-CH"/>
        </w:rPr>
        <w:t>(</w:t>
      </w:r>
      <w:r w:rsidR="007D24C1">
        <w:rPr>
          <w:lang w:val="fr-CH"/>
        </w:rPr>
        <w:t>surfaces</w:t>
      </w:r>
      <w:r w:rsidR="00A82D12">
        <w:rPr>
          <w:lang w:val="fr-CH"/>
        </w:rPr>
        <w:t xml:space="preserve"> d’assolement</w:t>
      </w:r>
      <w:r w:rsidR="007D24C1">
        <w:rPr>
          <w:lang w:val="fr-CH"/>
        </w:rPr>
        <w:t xml:space="preserve"> à garantir</w:t>
      </w:r>
      <w:r w:rsidR="147A5F7B" w:rsidRPr="00572D0C">
        <w:rPr>
          <w:lang w:val="fr-CH"/>
        </w:rPr>
        <w:t xml:space="preserve"> 1</w:t>
      </w:r>
      <w:r w:rsidR="007D24C1">
        <w:rPr>
          <w:lang w:val="fr-CH"/>
        </w:rPr>
        <w:t xml:space="preserve"> </w:t>
      </w:r>
      <w:r>
        <w:rPr>
          <w:lang w:val="fr-CH"/>
        </w:rPr>
        <w:t>et</w:t>
      </w:r>
      <w:r w:rsidR="147A5F7B" w:rsidRPr="00572D0C">
        <w:rPr>
          <w:lang w:val="fr-CH"/>
        </w:rPr>
        <w:t xml:space="preserve"> 2). </w:t>
      </w:r>
      <w:r w:rsidR="0013053E">
        <w:rPr>
          <w:lang w:val="fr-CH"/>
        </w:rPr>
        <w:t>La</w:t>
      </w:r>
      <w:r>
        <w:rPr>
          <w:lang w:val="fr-CH"/>
        </w:rPr>
        <w:t xml:space="preserve"> répartition </w:t>
      </w:r>
      <w:r w:rsidR="0013053E">
        <w:rPr>
          <w:lang w:val="fr-CH"/>
        </w:rPr>
        <w:t xml:space="preserve">géographique des inventaires cantonaux de SDA pourra être consultée sur le géoportail de la Confédération en principe </w:t>
      </w:r>
      <w:r w:rsidR="00DC021A">
        <w:rPr>
          <w:lang w:val="fr-CH"/>
        </w:rPr>
        <w:t>à partir de</w:t>
      </w:r>
      <w:r w:rsidR="0013053E">
        <w:rPr>
          <w:lang w:val="fr-CH"/>
        </w:rPr>
        <w:t xml:space="preserve"> </w:t>
      </w:r>
      <w:r w:rsidR="147A5F7B" w:rsidRPr="00572D0C">
        <w:rPr>
          <w:lang w:val="fr-CH"/>
        </w:rPr>
        <w:t xml:space="preserve">2021. </w:t>
      </w:r>
    </w:p>
    <w:p w14:paraId="2EF77237" w14:textId="6EC7D40A" w:rsidR="00142D1B" w:rsidRPr="00572D0C" w:rsidRDefault="00791303" w:rsidP="00C93F6A">
      <w:pPr>
        <w:rPr>
          <w:lang w:val="fr-CH"/>
        </w:rPr>
      </w:pPr>
      <w:r>
        <w:rPr>
          <w:lang w:val="fr-CH"/>
        </w:rPr>
        <w:t>Dans les chapitres 1.1 et 1.2, l</w:t>
      </w:r>
      <w:r w:rsidR="0013053E">
        <w:rPr>
          <w:lang w:val="fr-CH"/>
        </w:rPr>
        <w:t>e rapport explicatif</w:t>
      </w:r>
      <w:r w:rsidR="147A5F7B" w:rsidRPr="00572D0C">
        <w:rPr>
          <w:lang w:val="fr-CH"/>
        </w:rPr>
        <w:t xml:space="preserve"> </w:t>
      </w:r>
      <w:r>
        <w:rPr>
          <w:lang w:val="fr-CH"/>
        </w:rPr>
        <w:t>décrit le contexte, le déroulement et la collaboration mise en place pour l’élaboration du plan sectoriel</w:t>
      </w:r>
      <w:r w:rsidR="147A5F7B" w:rsidRPr="00572D0C">
        <w:rPr>
          <w:lang w:val="fr-CH"/>
        </w:rPr>
        <w:t xml:space="preserve">. </w:t>
      </w:r>
      <w:r>
        <w:rPr>
          <w:lang w:val="fr-CH"/>
        </w:rPr>
        <w:t xml:space="preserve">La prise en considération des divers intérêts en présence </w:t>
      </w:r>
      <w:r w:rsidR="00254D9E">
        <w:rPr>
          <w:lang w:val="fr-CH"/>
        </w:rPr>
        <w:t>apparaît</w:t>
      </w:r>
      <w:r>
        <w:rPr>
          <w:lang w:val="fr-CH"/>
        </w:rPr>
        <w:t xml:space="preserve"> aussi bien dans les principes que dans les explications y relatives. </w:t>
      </w:r>
    </w:p>
    <w:p w14:paraId="07515D2C" w14:textId="1164DD75" w:rsidR="00C93F6A" w:rsidRPr="005500D2" w:rsidRDefault="00791303" w:rsidP="00C93F6A">
      <w:pPr>
        <w:rPr>
          <w:i/>
          <w:lang w:val="fr-CH"/>
        </w:rPr>
      </w:pPr>
      <w:r w:rsidRPr="005500D2">
        <w:rPr>
          <w:i/>
          <w:lang w:val="fr-CH"/>
        </w:rPr>
        <w:t xml:space="preserve">Un document séparé donne des informations sur les résultats des procédures de consultation et de participation. Les exigences de l’article </w:t>
      </w:r>
      <w:r w:rsidR="147A5F7B" w:rsidRPr="005500D2">
        <w:rPr>
          <w:i/>
          <w:lang w:val="fr-CH"/>
        </w:rPr>
        <w:t>15</w:t>
      </w:r>
      <w:r w:rsidRPr="005500D2">
        <w:rPr>
          <w:i/>
          <w:lang w:val="fr-CH"/>
        </w:rPr>
        <w:t xml:space="preserve">, alinéa </w:t>
      </w:r>
      <w:r w:rsidR="147A5F7B" w:rsidRPr="005500D2">
        <w:rPr>
          <w:i/>
          <w:lang w:val="fr-CH"/>
        </w:rPr>
        <w:t xml:space="preserve">2 </w:t>
      </w:r>
      <w:r w:rsidRPr="005500D2">
        <w:rPr>
          <w:i/>
          <w:lang w:val="fr-CH"/>
        </w:rPr>
        <w:t>et</w:t>
      </w:r>
      <w:r w:rsidR="147A5F7B" w:rsidRPr="005500D2">
        <w:rPr>
          <w:i/>
          <w:lang w:val="fr-CH"/>
        </w:rPr>
        <w:t xml:space="preserve"> </w:t>
      </w:r>
      <w:r w:rsidRPr="005500D2">
        <w:rPr>
          <w:i/>
          <w:lang w:val="fr-CH"/>
        </w:rPr>
        <w:t xml:space="preserve">de l’article </w:t>
      </w:r>
      <w:r w:rsidR="147A5F7B" w:rsidRPr="005500D2">
        <w:rPr>
          <w:i/>
          <w:lang w:val="fr-CH"/>
        </w:rPr>
        <w:t xml:space="preserve">16 </w:t>
      </w:r>
      <w:r w:rsidRPr="005500D2">
        <w:rPr>
          <w:i/>
          <w:lang w:val="fr-CH"/>
        </w:rPr>
        <w:t>OAT sont donc satisfaites</w:t>
      </w:r>
      <w:r w:rsidR="147A5F7B" w:rsidRPr="005500D2">
        <w:rPr>
          <w:i/>
          <w:lang w:val="fr-CH"/>
        </w:rPr>
        <w:t xml:space="preserve">. </w:t>
      </w:r>
    </w:p>
    <w:p w14:paraId="04238A55" w14:textId="3FD53581" w:rsidR="00FE34CE" w:rsidRPr="005500D2" w:rsidRDefault="002B41C3" w:rsidP="00C93F6A">
      <w:pPr>
        <w:rPr>
          <w:i/>
          <w:lang w:val="fr-CH"/>
        </w:rPr>
      </w:pPr>
      <w:r w:rsidRPr="005500D2">
        <w:rPr>
          <w:i/>
          <w:lang w:val="fr-CH"/>
        </w:rPr>
        <w:t xml:space="preserve">Le plan sectoriel adopté par le Conseil fédéral et le rapport explicatif sont </w:t>
      </w:r>
      <w:r w:rsidR="00254D9E" w:rsidRPr="005500D2">
        <w:rPr>
          <w:i/>
          <w:lang w:val="fr-CH"/>
        </w:rPr>
        <w:t xml:space="preserve">accessibles au </w:t>
      </w:r>
      <w:r w:rsidRPr="005500D2">
        <w:rPr>
          <w:i/>
          <w:lang w:val="fr-CH"/>
        </w:rPr>
        <w:t xml:space="preserve">public et </w:t>
      </w:r>
      <w:r w:rsidR="00254D9E" w:rsidRPr="005500D2">
        <w:rPr>
          <w:i/>
          <w:lang w:val="fr-CH"/>
        </w:rPr>
        <w:t>publiés</w:t>
      </w:r>
      <w:r w:rsidRPr="005500D2">
        <w:rPr>
          <w:i/>
          <w:lang w:val="fr-CH"/>
        </w:rPr>
        <w:t xml:space="preserve"> sur le site </w:t>
      </w:r>
      <w:r w:rsidR="147A5F7B" w:rsidRPr="005500D2">
        <w:rPr>
          <w:i/>
          <w:lang w:val="fr-CH"/>
        </w:rPr>
        <w:t>Internet.</w:t>
      </w:r>
    </w:p>
    <w:p w14:paraId="4C020D00" w14:textId="3572679B" w:rsidR="00F32A85" w:rsidRPr="005500D2" w:rsidRDefault="00487910" w:rsidP="00501D1D">
      <w:pPr>
        <w:pStyle w:val="berschrift2"/>
        <w:rPr>
          <w:lang w:val="fr-CH"/>
        </w:rPr>
      </w:pPr>
      <w:bookmarkStart w:id="189" w:name="a17"/>
      <w:bookmarkStart w:id="190" w:name="_Toc523813338"/>
      <w:bookmarkStart w:id="191" w:name="_Toc525022637"/>
      <w:bookmarkStart w:id="192" w:name="_Toc526946728"/>
      <w:bookmarkStart w:id="193" w:name="_Toc531193020"/>
      <w:bookmarkStart w:id="194" w:name="_Toc532996305"/>
      <w:bookmarkEnd w:id="189"/>
      <w:r w:rsidRPr="005500D2">
        <w:rPr>
          <w:lang w:val="fr-CH"/>
        </w:rPr>
        <w:t>Compatibilité avec la</w:t>
      </w:r>
      <w:r w:rsidR="00F32A85" w:rsidRPr="005500D2">
        <w:rPr>
          <w:lang w:val="fr-CH"/>
        </w:rPr>
        <w:t xml:space="preserve"> Strat</w:t>
      </w:r>
      <w:r w:rsidR="00C6088C" w:rsidRPr="005500D2">
        <w:rPr>
          <w:lang w:val="fr-CH"/>
        </w:rPr>
        <w:t>é</w:t>
      </w:r>
      <w:r w:rsidR="00F32A85" w:rsidRPr="005500D2">
        <w:rPr>
          <w:lang w:val="fr-CH"/>
        </w:rPr>
        <w:t xml:space="preserve">gie </w:t>
      </w:r>
      <w:r w:rsidR="00C6088C" w:rsidRPr="005500D2">
        <w:rPr>
          <w:lang w:val="fr-CH"/>
        </w:rPr>
        <w:t>pour le développement durable</w:t>
      </w:r>
      <w:r w:rsidR="00F32A85" w:rsidRPr="005500D2">
        <w:rPr>
          <w:lang w:val="fr-CH"/>
        </w:rPr>
        <w:t xml:space="preserve"> de</w:t>
      </w:r>
      <w:bookmarkEnd w:id="190"/>
      <w:bookmarkEnd w:id="191"/>
      <w:bookmarkEnd w:id="192"/>
      <w:r w:rsidRPr="005500D2">
        <w:rPr>
          <w:lang w:val="fr-CH"/>
        </w:rPr>
        <w:t xml:space="preserve"> la Confédération</w:t>
      </w:r>
      <w:bookmarkEnd w:id="193"/>
      <w:bookmarkEnd w:id="194"/>
    </w:p>
    <w:p w14:paraId="2DFC81AA" w14:textId="761EA899" w:rsidR="00FB3E22" w:rsidRPr="00572D0C" w:rsidRDefault="002B41C3" w:rsidP="00CE2965">
      <w:pPr>
        <w:rPr>
          <w:lang w:val="fr-CH"/>
        </w:rPr>
      </w:pPr>
      <w:r>
        <w:rPr>
          <w:lang w:val="fr-CH"/>
        </w:rPr>
        <w:t xml:space="preserve">Le sol est une ressource limitée qui </w:t>
      </w:r>
      <w:r w:rsidR="00254D9E">
        <w:rPr>
          <w:lang w:val="fr-CH"/>
        </w:rPr>
        <w:t xml:space="preserve">ne peut </w:t>
      </w:r>
      <w:r>
        <w:rPr>
          <w:lang w:val="fr-CH"/>
        </w:rPr>
        <w:t xml:space="preserve">être préservée pour les générations futures </w:t>
      </w:r>
      <w:r w:rsidR="00254D9E">
        <w:rPr>
          <w:lang w:val="fr-CH"/>
        </w:rPr>
        <w:t xml:space="preserve">que </w:t>
      </w:r>
      <w:r>
        <w:rPr>
          <w:lang w:val="fr-CH"/>
        </w:rPr>
        <w:t>s’il est utilisé de manière durable. La Stratégie pour le développement durable</w:t>
      </w:r>
      <w:r w:rsidR="00254D9E">
        <w:rPr>
          <w:lang w:val="fr-CH"/>
        </w:rPr>
        <w:t xml:space="preserve"> (SDD)</w:t>
      </w:r>
      <w:r>
        <w:rPr>
          <w:lang w:val="fr-CH"/>
        </w:rPr>
        <w:t xml:space="preserve"> </w:t>
      </w:r>
      <w:r w:rsidR="001B605A" w:rsidRPr="00572D0C">
        <w:rPr>
          <w:lang w:val="fr-CH"/>
        </w:rPr>
        <w:t>2016 – 2019</w:t>
      </w:r>
      <w:r w:rsidRPr="002B41C3">
        <w:rPr>
          <w:lang w:val="fr-CH"/>
        </w:rPr>
        <w:t xml:space="preserve"> </w:t>
      </w:r>
      <w:r>
        <w:rPr>
          <w:lang w:val="fr-CH"/>
        </w:rPr>
        <w:t xml:space="preserve">de la Confédération accorde un rôle important au sol et aux surfaces d’assolement, notamment </w:t>
      </w:r>
      <w:r w:rsidR="00C6088C">
        <w:rPr>
          <w:lang w:val="fr-CH"/>
        </w:rPr>
        <w:t>dans le champ d’action</w:t>
      </w:r>
      <w:r w:rsidR="00CE106F" w:rsidRPr="00572D0C">
        <w:rPr>
          <w:lang w:val="fr-CH"/>
        </w:rPr>
        <w:t xml:space="preserve"> 2 </w:t>
      </w:r>
      <w:r w:rsidR="00254D9E">
        <w:rPr>
          <w:lang w:val="fr-CH"/>
        </w:rPr>
        <w:t>« </w:t>
      </w:r>
      <w:r w:rsidR="00570E88">
        <w:rPr>
          <w:lang w:val="fr-CH"/>
        </w:rPr>
        <w:t>Développement urbain, mobilité et infrastructures »</w:t>
      </w:r>
      <w:r w:rsidR="00A859CF" w:rsidRPr="00572D0C">
        <w:rPr>
          <w:rStyle w:val="Funotenzeichen"/>
          <w:lang w:val="fr-CH"/>
        </w:rPr>
        <w:footnoteReference w:id="40"/>
      </w:r>
      <w:r w:rsidR="00CE106F" w:rsidRPr="00572D0C">
        <w:rPr>
          <w:lang w:val="fr-CH"/>
        </w:rPr>
        <w:t xml:space="preserve"> </w:t>
      </w:r>
      <w:r w:rsidR="00570E88">
        <w:rPr>
          <w:lang w:val="fr-CH"/>
        </w:rPr>
        <w:t>et le champ d’action</w:t>
      </w:r>
      <w:r w:rsidR="00CE106F" w:rsidRPr="00572D0C">
        <w:rPr>
          <w:lang w:val="fr-CH"/>
        </w:rPr>
        <w:t xml:space="preserve"> 4 «</w:t>
      </w:r>
      <w:r w:rsidR="00570E88">
        <w:rPr>
          <w:lang w:val="fr-CH"/>
        </w:rPr>
        <w:t xml:space="preserve"> </w:t>
      </w:r>
      <w:r w:rsidR="00254D9E">
        <w:rPr>
          <w:lang w:val="fr-CH"/>
        </w:rPr>
        <w:t>R</w:t>
      </w:r>
      <w:r w:rsidR="00254D9E" w:rsidRPr="00572D0C">
        <w:rPr>
          <w:lang w:val="fr-CH"/>
        </w:rPr>
        <w:t>essource</w:t>
      </w:r>
      <w:r w:rsidR="00254D9E">
        <w:rPr>
          <w:lang w:val="fr-CH"/>
        </w:rPr>
        <w:t xml:space="preserve">s </w:t>
      </w:r>
      <w:r w:rsidR="00570E88">
        <w:rPr>
          <w:lang w:val="fr-CH"/>
        </w:rPr>
        <w:t>naturelles</w:t>
      </w:r>
      <w:r w:rsidR="00254D9E">
        <w:rPr>
          <w:lang w:val="fr-CH"/>
        </w:rPr>
        <w:t> »</w:t>
      </w:r>
      <w:r w:rsidR="00A859CF" w:rsidRPr="00572D0C">
        <w:rPr>
          <w:rStyle w:val="Funotenzeichen"/>
          <w:lang w:val="fr-CH"/>
        </w:rPr>
        <w:footnoteReference w:id="41"/>
      </w:r>
      <w:r w:rsidR="00CE106F" w:rsidRPr="00572D0C">
        <w:rPr>
          <w:lang w:val="fr-CH"/>
        </w:rPr>
        <w:t>.</w:t>
      </w:r>
      <w:r w:rsidR="00553B32" w:rsidRPr="00572D0C">
        <w:rPr>
          <w:lang w:val="fr-CH"/>
        </w:rPr>
        <w:t xml:space="preserve"> </w:t>
      </w:r>
      <w:r w:rsidR="00254D9E">
        <w:rPr>
          <w:lang w:val="fr-CH"/>
        </w:rPr>
        <w:t xml:space="preserve">Dans </w:t>
      </w:r>
      <w:r>
        <w:rPr>
          <w:lang w:val="fr-CH"/>
        </w:rPr>
        <w:t xml:space="preserve">ces champs d’action, le plan sectoriel des SDA est </w:t>
      </w:r>
      <w:r w:rsidR="00254D9E">
        <w:rPr>
          <w:lang w:val="fr-CH"/>
        </w:rPr>
        <w:t xml:space="preserve">présenté </w:t>
      </w:r>
      <w:r>
        <w:rPr>
          <w:lang w:val="fr-CH"/>
        </w:rPr>
        <w:t xml:space="preserve">comme un élément </w:t>
      </w:r>
      <w:r w:rsidR="00254D9E">
        <w:rPr>
          <w:lang w:val="fr-CH"/>
        </w:rPr>
        <w:t xml:space="preserve">important </w:t>
      </w:r>
      <w:r>
        <w:rPr>
          <w:lang w:val="fr-CH"/>
        </w:rPr>
        <w:t>de la garantie à long terme des fonctions du sol. La garantie de la surface totale minimale d’assolement exigée par le plan sectoriel des surfaces d’assolement est à l’heure actuelle le seul instrument de protection qualitative explicite d’une partie des terres agricoles au niveau fédéral</w:t>
      </w:r>
      <w:r w:rsidR="00A859CF" w:rsidRPr="00572D0C">
        <w:rPr>
          <w:lang w:val="fr-CH"/>
        </w:rPr>
        <w:t>.</w:t>
      </w:r>
    </w:p>
    <w:p w14:paraId="06AFFB56" w14:textId="3D7873F5" w:rsidR="00C02A64" w:rsidRPr="00572D0C" w:rsidRDefault="00C02A64">
      <w:pPr>
        <w:spacing w:after="160" w:line="259" w:lineRule="auto"/>
        <w:rPr>
          <w:rFonts w:cs="Arial"/>
          <w:b/>
          <w:sz w:val="32"/>
          <w:szCs w:val="32"/>
          <w:lang w:val="fr-CH"/>
        </w:rPr>
      </w:pPr>
      <w:r w:rsidRPr="00572D0C">
        <w:rPr>
          <w:lang w:val="fr-CH"/>
        </w:rPr>
        <w:br w:type="page"/>
      </w:r>
    </w:p>
    <w:p w14:paraId="3A7B391E" w14:textId="018BE9EF" w:rsidR="007C4B7E" w:rsidRPr="00572D0C" w:rsidRDefault="00570E88" w:rsidP="00CD5732">
      <w:pPr>
        <w:pStyle w:val="berschrift1"/>
        <w:rPr>
          <w:rFonts w:eastAsiaTheme="minorEastAsia"/>
          <w:lang w:val="fr-CH"/>
        </w:rPr>
      </w:pPr>
      <w:bookmarkStart w:id="195" w:name="_Toc523813341"/>
      <w:bookmarkStart w:id="196" w:name="_Toc525022640"/>
      <w:bookmarkStart w:id="197" w:name="_Toc526946729"/>
      <w:bookmarkStart w:id="198" w:name="_Toc531193021"/>
      <w:bookmarkStart w:id="199" w:name="_Toc532996306"/>
      <w:r>
        <w:rPr>
          <w:lang w:val="fr-CH"/>
        </w:rPr>
        <w:lastRenderedPageBreak/>
        <w:t xml:space="preserve">Bases </w:t>
      </w:r>
      <w:r w:rsidR="002624F0">
        <w:rPr>
          <w:lang w:val="fr-CH"/>
        </w:rPr>
        <w:t>légales</w:t>
      </w:r>
      <w:r w:rsidR="002624F0" w:rsidRPr="00572D0C">
        <w:rPr>
          <w:lang w:val="fr-CH"/>
        </w:rPr>
        <w:t xml:space="preserve"> </w:t>
      </w:r>
      <w:r w:rsidR="00510E18" w:rsidRPr="00572D0C">
        <w:rPr>
          <w:lang w:val="fr-CH"/>
        </w:rPr>
        <w:t>a</w:t>
      </w:r>
      <w:bookmarkEnd w:id="195"/>
      <w:bookmarkEnd w:id="196"/>
      <w:bookmarkEnd w:id="197"/>
      <w:r>
        <w:rPr>
          <w:lang w:val="fr-CH"/>
        </w:rPr>
        <w:t>u niveau fédéral</w:t>
      </w:r>
      <w:bookmarkEnd w:id="198"/>
      <w:bookmarkEnd w:id="199"/>
    </w:p>
    <w:p w14:paraId="2C20C358" w14:textId="48E5999A" w:rsidR="00CD5732" w:rsidRPr="00572D0C" w:rsidRDefault="00237DDB">
      <w:pPr>
        <w:rPr>
          <w:rFonts w:eastAsiaTheme="minorEastAsia"/>
          <w:lang w:val="fr-CH"/>
        </w:rPr>
      </w:pPr>
      <w:r>
        <w:rPr>
          <w:rFonts w:eastAsiaTheme="minorEastAsia"/>
          <w:lang w:val="fr-CH"/>
        </w:rPr>
        <w:t>Constitution fédérale du</w:t>
      </w:r>
      <w:r w:rsidR="147A5F7B" w:rsidRPr="00572D0C">
        <w:rPr>
          <w:rFonts w:eastAsiaTheme="minorEastAsia"/>
          <w:lang w:val="fr-CH"/>
        </w:rPr>
        <w:t xml:space="preserve"> 18</w:t>
      </w:r>
      <w:r>
        <w:rPr>
          <w:rFonts w:eastAsiaTheme="minorEastAsia"/>
          <w:lang w:val="fr-CH"/>
        </w:rPr>
        <w:t xml:space="preserve"> avril </w:t>
      </w:r>
      <w:r w:rsidR="147A5F7B" w:rsidRPr="00572D0C">
        <w:rPr>
          <w:rFonts w:eastAsiaTheme="minorEastAsia"/>
          <w:lang w:val="fr-CH"/>
        </w:rPr>
        <w:t>1999</w:t>
      </w:r>
      <w:r>
        <w:rPr>
          <w:rFonts w:eastAsiaTheme="minorEastAsia"/>
          <w:lang w:val="fr-CH"/>
        </w:rPr>
        <w:t xml:space="preserve"> de la Confédération suisse</w:t>
      </w:r>
      <w:r w:rsidR="147A5F7B" w:rsidRPr="00572D0C">
        <w:rPr>
          <w:rFonts w:eastAsiaTheme="minorEastAsia"/>
          <w:lang w:val="fr-CH"/>
        </w:rPr>
        <w:t xml:space="preserve"> (</w:t>
      </w:r>
      <w:r>
        <w:rPr>
          <w:rFonts w:eastAsiaTheme="minorEastAsia"/>
          <w:lang w:val="fr-CH"/>
        </w:rPr>
        <w:t xml:space="preserve">Cst </w:t>
      </w:r>
      <w:r w:rsidR="147A5F7B" w:rsidRPr="00572D0C">
        <w:rPr>
          <w:rFonts w:eastAsiaTheme="minorEastAsia"/>
          <w:lang w:val="fr-CH"/>
        </w:rPr>
        <w:t xml:space="preserve">; </w:t>
      </w:r>
      <w:r>
        <w:rPr>
          <w:rFonts w:eastAsiaTheme="minorEastAsia"/>
          <w:lang w:val="fr-CH"/>
        </w:rPr>
        <w:t>RS</w:t>
      </w:r>
      <w:r w:rsidR="147A5F7B" w:rsidRPr="00572D0C">
        <w:rPr>
          <w:rFonts w:eastAsiaTheme="minorEastAsia"/>
          <w:lang w:val="fr-CH"/>
        </w:rPr>
        <w:t xml:space="preserve"> 101) </w:t>
      </w:r>
    </w:p>
    <w:p w14:paraId="73476AD2" w14:textId="3FC2792B" w:rsidR="00690931" w:rsidRPr="00572D0C" w:rsidRDefault="00237DDB" w:rsidP="147A5F7B">
      <w:pPr>
        <w:spacing w:before="240"/>
        <w:rPr>
          <w:b/>
          <w:bCs/>
          <w:lang w:val="fr-CH"/>
        </w:rPr>
      </w:pPr>
      <w:r>
        <w:rPr>
          <w:b/>
          <w:bCs/>
          <w:lang w:val="fr-CH"/>
        </w:rPr>
        <w:t>Protection du sol</w:t>
      </w:r>
    </w:p>
    <w:p w14:paraId="15D9DE79" w14:textId="3ED71B28" w:rsidR="00690931" w:rsidRPr="00572D0C" w:rsidRDefault="00237DDB" w:rsidP="147A5F7B">
      <w:pPr>
        <w:rPr>
          <w:lang w:val="fr-CH" w:eastAsia="en-US"/>
        </w:rPr>
      </w:pPr>
      <w:r>
        <w:rPr>
          <w:rFonts w:cs="Arial"/>
          <w:sz w:val="19"/>
          <w:szCs w:val="19"/>
          <w:lang w:val="fr-CH"/>
        </w:rPr>
        <w:t>Ordonnance du</w:t>
      </w:r>
      <w:r w:rsidRPr="00F0226F">
        <w:rPr>
          <w:rFonts w:cs="Arial"/>
          <w:sz w:val="19"/>
          <w:szCs w:val="19"/>
          <w:lang w:val="fr-CH"/>
        </w:rPr>
        <w:t xml:space="preserve"> 1</w:t>
      </w:r>
      <w:r w:rsidRPr="005500D2">
        <w:rPr>
          <w:rFonts w:cs="Arial"/>
          <w:sz w:val="19"/>
          <w:szCs w:val="19"/>
          <w:vertAlign w:val="superscript"/>
          <w:lang w:val="fr-CH"/>
        </w:rPr>
        <w:t>er</w:t>
      </w:r>
      <w:r>
        <w:rPr>
          <w:rFonts w:cs="Arial"/>
          <w:sz w:val="19"/>
          <w:szCs w:val="19"/>
          <w:lang w:val="fr-CH"/>
        </w:rPr>
        <w:t xml:space="preserve"> juillet </w:t>
      </w:r>
      <w:r w:rsidRPr="00F0226F">
        <w:rPr>
          <w:rFonts w:cs="Arial"/>
          <w:sz w:val="19"/>
          <w:szCs w:val="19"/>
          <w:lang w:val="fr-CH"/>
        </w:rPr>
        <w:t>1998</w:t>
      </w:r>
      <w:r>
        <w:rPr>
          <w:rFonts w:cs="Arial"/>
          <w:sz w:val="19"/>
          <w:szCs w:val="19"/>
          <w:lang w:val="fr-CH"/>
        </w:rPr>
        <w:t xml:space="preserve"> sur les atteintes portées aux sols </w:t>
      </w:r>
      <w:r w:rsidR="147A5F7B" w:rsidRPr="00572D0C">
        <w:rPr>
          <w:lang w:val="fr-CH" w:eastAsia="en-US"/>
        </w:rPr>
        <w:t>(</w:t>
      </w:r>
      <w:r>
        <w:rPr>
          <w:lang w:val="fr-CH" w:eastAsia="en-US"/>
        </w:rPr>
        <w:t xml:space="preserve">OSol </w:t>
      </w:r>
      <w:r w:rsidR="147A5F7B" w:rsidRPr="00572D0C">
        <w:rPr>
          <w:lang w:val="fr-CH" w:eastAsia="en-US"/>
        </w:rPr>
        <w:t xml:space="preserve">; </w:t>
      </w:r>
      <w:r>
        <w:rPr>
          <w:lang w:val="fr-CH" w:eastAsia="en-US"/>
        </w:rPr>
        <w:t>RS</w:t>
      </w:r>
      <w:r w:rsidR="147A5F7B" w:rsidRPr="00572D0C">
        <w:rPr>
          <w:lang w:val="fr-CH" w:eastAsia="en-US"/>
        </w:rPr>
        <w:t xml:space="preserve"> 814.12)</w:t>
      </w:r>
    </w:p>
    <w:p w14:paraId="623875E3" w14:textId="1BA1706E" w:rsidR="00690931" w:rsidRPr="00572D0C" w:rsidRDefault="00237DDB" w:rsidP="147A5F7B">
      <w:pPr>
        <w:rPr>
          <w:lang w:val="fr-CH" w:eastAsia="en-US"/>
        </w:rPr>
      </w:pPr>
      <w:r>
        <w:rPr>
          <w:rFonts w:cs="Arial"/>
          <w:sz w:val="19"/>
          <w:szCs w:val="19"/>
          <w:lang w:val="fr-CH"/>
        </w:rPr>
        <w:t>Ordonnance du</w:t>
      </w:r>
      <w:r w:rsidRPr="00F0226F">
        <w:rPr>
          <w:rFonts w:cs="Arial"/>
          <w:sz w:val="19"/>
          <w:szCs w:val="19"/>
          <w:lang w:val="fr-CH"/>
        </w:rPr>
        <w:t xml:space="preserve"> 4</w:t>
      </w:r>
      <w:r>
        <w:rPr>
          <w:rFonts w:cs="Arial"/>
          <w:sz w:val="19"/>
          <w:szCs w:val="19"/>
          <w:lang w:val="fr-CH"/>
        </w:rPr>
        <w:t xml:space="preserve"> décembre</w:t>
      </w:r>
      <w:r w:rsidRPr="00F0226F">
        <w:rPr>
          <w:rFonts w:cs="Arial"/>
          <w:sz w:val="19"/>
          <w:szCs w:val="19"/>
          <w:lang w:val="fr-CH"/>
        </w:rPr>
        <w:t xml:space="preserve"> 2015</w:t>
      </w:r>
      <w:r>
        <w:rPr>
          <w:rFonts w:cs="Arial"/>
          <w:sz w:val="19"/>
          <w:szCs w:val="19"/>
          <w:lang w:val="fr-CH"/>
        </w:rPr>
        <w:t xml:space="preserve"> sur la limitation et l’élimination des déchets</w:t>
      </w:r>
      <w:r w:rsidR="147A5F7B" w:rsidRPr="00572D0C">
        <w:rPr>
          <w:lang w:val="fr-CH" w:eastAsia="en-US"/>
        </w:rPr>
        <w:t xml:space="preserve"> (</w:t>
      </w:r>
      <w:r>
        <w:rPr>
          <w:lang w:val="fr-CH" w:eastAsia="en-US"/>
        </w:rPr>
        <w:t>OLED ;</w:t>
      </w:r>
      <w:r w:rsidR="147A5F7B" w:rsidRPr="00572D0C">
        <w:rPr>
          <w:lang w:val="fr-CH" w:eastAsia="en-US"/>
        </w:rPr>
        <w:t xml:space="preserve"> </w:t>
      </w:r>
      <w:r>
        <w:rPr>
          <w:lang w:val="fr-CH" w:eastAsia="en-US"/>
        </w:rPr>
        <w:t>RS</w:t>
      </w:r>
      <w:r w:rsidR="147A5F7B" w:rsidRPr="00572D0C">
        <w:rPr>
          <w:lang w:val="fr-CH" w:eastAsia="en-US"/>
        </w:rPr>
        <w:t xml:space="preserve"> 814.600)</w:t>
      </w:r>
    </w:p>
    <w:p w14:paraId="5D8466D5" w14:textId="7F1B5089" w:rsidR="00690931" w:rsidRPr="00572D0C" w:rsidRDefault="147A5F7B" w:rsidP="147A5F7B">
      <w:pPr>
        <w:spacing w:before="240"/>
        <w:rPr>
          <w:b/>
          <w:bCs/>
          <w:lang w:val="fr-CH"/>
        </w:rPr>
      </w:pPr>
      <w:r w:rsidRPr="00572D0C">
        <w:rPr>
          <w:b/>
          <w:bCs/>
          <w:lang w:val="fr-CH"/>
        </w:rPr>
        <w:t>E</w:t>
      </w:r>
      <w:r w:rsidR="00105CD2">
        <w:rPr>
          <w:b/>
          <w:bCs/>
          <w:lang w:val="fr-CH"/>
        </w:rPr>
        <w:t>xpropriation</w:t>
      </w:r>
    </w:p>
    <w:p w14:paraId="4DDDBCDC" w14:textId="7D2AC3F6" w:rsidR="00690931" w:rsidRPr="00572D0C" w:rsidRDefault="00105CD2" w:rsidP="00690931">
      <w:pPr>
        <w:rPr>
          <w:lang w:val="fr-CH"/>
        </w:rPr>
      </w:pPr>
      <w:r>
        <w:rPr>
          <w:lang w:val="fr-CH"/>
        </w:rPr>
        <w:t xml:space="preserve">Loi fédérale du </w:t>
      </w:r>
      <w:r w:rsidR="147A5F7B" w:rsidRPr="00572D0C">
        <w:rPr>
          <w:lang w:val="fr-CH"/>
        </w:rPr>
        <w:t>20</w:t>
      </w:r>
      <w:r>
        <w:rPr>
          <w:lang w:val="fr-CH"/>
        </w:rPr>
        <w:t xml:space="preserve"> juin</w:t>
      </w:r>
      <w:r w:rsidR="147A5F7B" w:rsidRPr="00572D0C">
        <w:rPr>
          <w:lang w:val="fr-CH"/>
        </w:rPr>
        <w:t xml:space="preserve"> 1930 </w:t>
      </w:r>
      <w:r>
        <w:rPr>
          <w:lang w:val="fr-CH"/>
        </w:rPr>
        <w:t xml:space="preserve">sur l’expropriation </w:t>
      </w:r>
      <w:r w:rsidR="147A5F7B" w:rsidRPr="00572D0C">
        <w:rPr>
          <w:lang w:val="fr-CH"/>
        </w:rPr>
        <w:t>(</w:t>
      </w:r>
      <w:r>
        <w:rPr>
          <w:lang w:val="fr-CH"/>
        </w:rPr>
        <w:t>LEx</w:t>
      </w:r>
      <w:r w:rsidR="147A5F7B" w:rsidRPr="00572D0C">
        <w:rPr>
          <w:lang w:val="fr-CH"/>
        </w:rPr>
        <w:t xml:space="preserve">; </w:t>
      </w:r>
      <w:r>
        <w:rPr>
          <w:lang w:val="fr-CH"/>
        </w:rPr>
        <w:t>RS</w:t>
      </w:r>
      <w:r w:rsidR="147A5F7B" w:rsidRPr="00572D0C">
        <w:rPr>
          <w:lang w:val="fr-CH"/>
        </w:rPr>
        <w:t xml:space="preserve"> 711)</w:t>
      </w:r>
    </w:p>
    <w:p w14:paraId="75896AEE" w14:textId="4666E0E8" w:rsidR="00690931" w:rsidRPr="00572D0C" w:rsidRDefault="147A5F7B" w:rsidP="147A5F7B">
      <w:pPr>
        <w:spacing w:before="240"/>
        <w:rPr>
          <w:b/>
          <w:bCs/>
          <w:lang w:val="fr-CH"/>
        </w:rPr>
      </w:pPr>
      <w:r w:rsidRPr="00572D0C">
        <w:rPr>
          <w:b/>
          <w:bCs/>
          <w:lang w:val="fr-CH"/>
        </w:rPr>
        <w:t>G</w:t>
      </w:r>
      <w:r w:rsidR="00237DDB">
        <w:rPr>
          <w:b/>
          <w:bCs/>
          <w:lang w:val="fr-CH"/>
        </w:rPr>
        <w:t>é</w:t>
      </w:r>
      <w:r w:rsidRPr="00572D0C">
        <w:rPr>
          <w:b/>
          <w:bCs/>
          <w:lang w:val="fr-CH"/>
        </w:rPr>
        <w:t>oinformation</w:t>
      </w:r>
    </w:p>
    <w:p w14:paraId="33D830EF" w14:textId="1F5FBB9A" w:rsidR="00690931" w:rsidRDefault="00237DDB" w:rsidP="00690931">
      <w:pPr>
        <w:rPr>
          <w:lang w:val="fr-CH"/>
        </w:rPr>
      </w:pPr>
      <w:r>
        <w:rPr>
          <w:lang w:val="fr-CH"/>
        </w:rPr>
        <w:t>Loi fédérale du</w:t>
      </w:r>
      <w:r w:rsidR="147A5F7B" w:rsidRPr="00572D0C">
        <w:rPr>
          <w:lang w:val="fr-CH"/>
        </w:rPr>
        <w:t xml:space="preserve"> 5</w:t>
      </w:r>
      <w:r>
        <w:rPr>
          <w:lang w:val="fr-CH"/>
        </w:rPr>
        <w:t xml:space="preserve"> octobre</w:t>
      </w:r>
      <w:r w:rsidR="147A5F7B" w:rsidRPr="00572D0C">
        <w:rPr>
          <w:lang w:val="fr-CH"/>
        </w:rPr>
        <w:t xml:space="preserve"> 2007</w:t>
      </w:r>
      <w:r>
        <w:rPr>
          <w:lang w:val="fr-CH"/>
        </w:rPr>
        <w:t xml:space="preserve"> sur la géoinformation</w:t>
      </w:r>
      <w:r w:rsidR="147A5F7B" w:rsidRPr="00572D0C">
        <w:rPr>
          <w:lang w:val="fr-CH"/>
        </w:rPr>
        <w:t xml:space="preserve"> (</w:t>
      </w:r>
      <w:r>
        <w:rPr>
          <w:lang w:val="fr-CH"/>
        </w:rPr>
        <w:t xml:space="preserve">LGéo </w:t>
      </w:r>
      <w:r w:rsidR="147A5F7B" w:rsidRPr="00572D0C">
        <w:rPr>
          <w:lang w:val="fr-CH"/>
        </w:rPr>
        <w:t xml:space="preserve">; </w:t>
      </w:r>
      <w:r>
        <w:rPr>
          <w:lang w:val="fr-CH"/>
        </w:rPr>
        <w:t>RS</w:t>
      </w:r>
      <w:r w:rsidR="147A5F7B" w:rsidRPr="00572D0C">
        <w:rPr>
          <w:lang w:val="fr-CH"/>
        </w:rPr>
        <w:t xml:space="preserve"> 510.62)</w:t>
      </w:r>
    </w:p>
    <w:p w14:paraId="36ACC4BC" w14:textId="7A7094BF" w:rsidR="00F67293" w:rsidRPr="00572D0C" w:rsidRDefault="00F67293" w:rsidP="00690931">
      <w:pPr>
        <w:rPr>
          <w:lang w:val="fr-CH"/>
        </w:rPr>
      </w:pPr>
      <w:r>
        <w:rPr>
          <w:lang w:val="fr-CH"/>
        </w:rPr>
        <w:t>Ordonnance du 21 mai 2008 sur la géoinformation (OGéo ; RS 510.620)</w:t>
      </w:r>
    </w:p>
    <w:p w14:paraId="5AA5ABF0" w14:textId="355429BE" w:rsidR="00CD5732" w:rsidRPr="00572D0C" w:rsidRDefault="00237DDB" w:rsidP="147A5F7B">
      <w:pPr>
        <w:spacing w:before="240"/>
        <w:rPr>
          <w:b/>
          <w:bCs/>
          <w:lang w:val="fr-CH"/>
        </w:rPr>
      </w:pPr>
      <w:r>
        <w:rPr>
          <w:b/>
          <w:bCs/>
          <w:lang w:val="fr-CH"/>
        </w:rPr>
        <w:t>Approvisionnement du pays</w:t>
      </w:r>
    </w:p>
    <w:p w14:paraId="22F6BB4A" w14:textId="74427B24" w:rsidR="00CD5732" w:rsidRPr="00572D0C" w:rsidRDefault="00237DDB" w:rsidP="00CD5732">
      <w:pPr>
        <w:rPr>
          <w:lang w:val="fr-CH"/>
        </w:rPr>
      </w:pPr>
      <w:r>
        <w:rPr>
          <w:rFonts w:cs="Arial"/>
          <w:sz w:val="19"/>
          <w:szCs w:val="19"/>
          <w:lang w:val="fr-CH"/>
        </w:rPr>
        <w:t>Loi fédérale du</w:t>
      </w:r>
      <w:r w:rsidRPr="00F0226F">
        <w:rPr>
          <w:rFonts w:cs="Arial"/>
          <w:sz w:val="19"/>
          <w:szCs w:val="19"/>
          <w:lang w:val="fr-CH"/>
        </w:rPr>
        <w:t xml:space="preserve"> </w:t>
      </w:r>
      <w:r w:rsidR="00F67293">
        <w:rPr>
          <w:rFonts w:cs="Arial"/>
          <w:sz w:val="19"/>
          <w:szCs w:val="19"/>
          <w:lang w:val="fr-CH"/>
        </w:rPr>
        <w:t>17 juin 2016</w:t>
      </w:r>
      <w:r>
        <w:rPr>
          <w:rFonts w:cs="Arial"/>
          <w:sz w:val="19"/>
          <w:szCs w:val="19"/>
          <w:lang w:val="fr-CH"/>
        </w:rPr>
        <w:t xml:space="preserve"> sur l’approvisionnement économique du pays</w:t>
      </w:r>
      <w:r w:rsidR="147A5F7B" w:rsidRPr="00572D0C">
        <w:rPr>
          <w:rFonts w:cs="Arial"/>
          <w:lang w:val="fr-CH"/>
        </w:rPr>
        <w:t xml:space="preserve"> (L</w:t>
      </w:r>
      <w:r>
        <w:rPr>
          <w:rFonts w:cs="Arial"/>
          <w:lang w:val="fr-CH"/>
        </w:rPr>
        <w:t xml:space="preserve">AP </w:t>
      </w:r>
      <w:r w:rsidR="147A5F7B" w:rsidRPr="00572D0C">
        <w:rPr>
          <w:rFonts w:cs="Arial"/>
          <w:lang w:val="fr-CH"/>
        </w:rPr>
        <w:t xml:space="preserve">; </w:t>
      </w:r>
      <w:r>
        <w:rPr>
          <w:rFonts w:cs="Arial"/>
          <w:lang w:val="fr-CH"/>
        </w:rPr>
        <w:t>RS</w:t>
      </w:r>
      <w:r w:rsidR="147A5F7B" w:rsidRPr="00572D0C">
        <w:rPr>
          <w:rFonts w:cs="Arial"/>
          <w:lang w:val="fr-CH"/>
        </w:rPr>
        <w:t xml:space="preserve"> 531)</w:t>
      </w:r>
    </w:p>
    <w:p w14:paraId="302A7AD4" w14:textId="3698997A" w:rsidR="0054178C" w:rsidRPr="00572D0C" w:rsidRDefault="00105CD2" w:rsidP="799D40CD">
      <w:pPr>
        <w:spacing w:before="240"/>
        <w:rPr>
          <w:b/>
          <w:i/>
          <w:lang w:val="fr-CH"/>
        </w:rPr>
      </w:pPr>
      <w:r>
        <w:rPr>
          <w:b/>
          <w:bCs/>
          <w:lang w:val="fr-CH" w:eastAsia="en-US"/>
        </w:rPr>
        <w:t>Agriculture</w:t>
      </w:r>
    </w:p>
    <w:p w14:paraId="70531646" w14:textId="2747198F" w:rsidR="00CD5732" w:rsidRPr="00572D0C" w:rsidRDefault="00237DDB" w:rsidP="00F04224">
      <w:pPr>
        <w:rPr>
          <w:lang w:val="fr-CH"/>
        </w:rPr>
      </w:pPr>
      <w:r>
        <w:rPr>
          <w:rFonts w:cs="Arial"/>
          <w:sz w:val="19"/>
          <w:szCs w:val="19"/>
          <w:lang w:val="fr-CH"/>
        </w:rPr>
        <w:t>Ordonnance du</w:t>
      </w:r>
      <w:r w:rsidRPr="00F0226F">
        <w:rPr>
          <w:rFonts w:cs="Arial"/>
          <w:sz w:val="19"/>
          <w:szCs w:val="19"/>
          <w:lang w:val="fr-CH"/>
        </w:rPr>
        <w:t xml:space="preserve"> 23</w:t>
      </w:r>
      <w:r>
        <w:rPr>
          <w:rFonts w:cs="Arial"/>
          <w:sz w:val="19"/>
          <w:szCs w:val="19"/>
          <w:lang w:val="fr-CH"/>
        </w:rPr>
        <w:t xml:space="preserve"> octobre</w:t>
      </w:r>
      <w:r w:rsidRPr="00F0226F">
        <w:rPr>
          <w:rFonts w:cs="Arial"/>
          <w:sz w:val="19"/>
          <w:szCs w:val="19"/>
          <w:lang w:val="fr-CH"/>
        </w:rPr>
        <w:t xml:space="preserve"> 2013</w:t>
      </w:r>
      <w:r>
        <w:rPr>
          <w:rFonts w:cs="Arial"/>
          <w:sz w:val="19"/>
          <w:szCs w:val="19"/>
          <w:lang w:val="fr-CH"/>
        </w:rPr>
        <w:t xml:space="preserve"> sur les paiements directs versés dans l’agriculture</w:t>
      </w:r>
      <w:r w:rsidR="147A5F7B" w:rsidRPr="00572D0C">
        <w:rPr>
          <w:lang w:val="fr-CH"/>
        </w:rPr>
        <w:t xml:space="preserve"> (</w:t>
      </w:r>
      <w:r>
        <w:rPr>
          <w:lang w:val="fr-CH"/>
        </w:rPr>
        <w:t xml:space="preserve">OPD </w:t>
      </w:r>
      <w:r w:rsidR="147A5F7B" w:rsidRPr="00572D0C">
        <w:rPr>
          <w:lang w:val="fr-CH"/>
        </w:rPr>
        <w:t xml:space="preserve">; </w:t>
      </w:r>
      <w:r>
        <w:rPr>
          <w:lang w:val="fr-CH"/>
        </w:rPr>
        <w:t>RS</w:t>
      </w:r>
      <w:r w:rsidR="147A5F7B" w:rsidRPr="00572D0C">
        <w:rPr>
          <w:lang w:val="fr-CH"/>
        </w:rPr>
        <w:t xml:space="preserve"> 910.13)</w:t>
      </w:r>
    </w:p>
    <w:p w14:paraId="37EE2402" w14:textId="3E5B2491" w:rsidR="00DE38D2" w:rsidRPr="00572D0C" w:rsidRDefault="00105CD2" w:rsidP="00F04224">
      <w:pPr>
        <w:rPr>
          <w:lang w:val="fr-CH"/>
        </w:rPr>
      </w:pPr>
      <w:r>
        <w:rPr>
          <w:lang w:val="fr-CH"/>
        </w:rPr>
        <w:t>Loi fédérale du</w:t>
      </w:r>
      <w:r w:rsidR="147A5F7B" w:rsidRPr="00572D0C">
        <w:rPr>
          <w:lang w:val="fr-CH"/>
        </w:rPr>
        <w:t xml:space="preserve"> 4</w:t>
      </w:r>
      <w:r>
        <w:rPr>
          <w:lang w:val="fr-CH"/>
        </w:rPr>
        <w:t xml:space="preserve"> octobre </w:t>
      </w:r>
      <w:r w:rsidR="147A5F7B" w:rsidRPr="00572D0C">
        <w:rPr>
          <w:lang w:val="fr-CH"/>
        </w:rPr>
        <w:t>1991</w:t>
      </w:r>
      <w:r>
        <w:rPr>
          <w:lang w:val="fr-CH"/>
        </w:rPr>
        <w:t xml:space="preserve"> sur le droit foncier rural</w:t>
      </w:r>
      <w:r w:rsidR="147A5F7B" w:rsidRPr="00572D0C">
        <w:rPr>
          <w:lang w:val="fr-CH"/>
        </w:rPr>
        <w:t xml:space="preserve"> (</w:t>
      </w:r>
      <w:r>
        <w:rPr>
          <w:lang w:val="fr-CH"/>
        </w:rPr>
        <w:t xml:space="preserve">LDFR </w:t>
      </w:r>
      <w:r w:rsidR="147A5F7B" w:rsidRPr="00572D0C">
        <w:rPr>
          <w:lang w:val="fr-CH"/>
        </w:rPr>
        <w:t xml:space="preserve">; </w:t>
      </w:r>
      <w:r>
        <w:rPr>
          <w:lang w:val="fr-CH"/>
        </w:rPr>
        <w:t>RS</w:t>
      </w:r>
      <w:r w:rsidR="147A5F7B" w:rsidRPr="00572D0C">
        <w:rPr>
          <w:lang w:val="fr-CH"/>
        </w:rPr>
        <w:t xml:space="preserve"> 211.412.11)</w:t>
      </w:r>
    </w:p>
    <w:p w14:paraId="46D37038" w14:textId="127F72D9" w:rsidR="00EF04B6" w:rsidRPr="00572D0C" w:rsidRDefault="00105CD2" w:rsidP="00EF04B6">
      <w:pPr>
        <w:rPr>
          <w:lang w:val="fr-CH"/>
        </w:rPr>
      </w:pPr>
      <w:r>
        <w:rPr>
          <w:rFonts w:cs="Arial"/>
          <w:lang w:val="fr-CH"/>
        </w:rPr>
        <w:t xml:space="preserve">Ordonnance du </w:t>
      </w:r>
      <w:r w:rsidRPr="00F0226F">
        <w:rPr>
          <w:rFonts w:cs="Arial"/>
          <w:lang w:val="fr-CH"/>
        </w:rPr>
        <w:t>7</w:t>
      </w:r>
      <w:r>
        <w:rPr>
          <w:rFonts w:cs="Arial"/>
          <w:lang w:val="fr-CH"/>
        </w:rPr>
        <w:t xml:space="preserve"> décembre</w:t>
      </w:r>
      <w:r w:rsidRPr="00F0226F">
        <w:rPr>
          <w:rFonts w:cs="Arial"/>
          <w:lang w:val="fr-CH"/>
        </w:rPr>
        <w:t xml:space="preserve"> 1998</w:t>
      </w:r>
      <w:r>
        <w:rPr>
          <w:rFonts w:cs="Arial"/>
          <w:lang w:val="fr-CH"/>
        </w:rPr>
        <w:t xml:space="preserve"> sur la terminologie agricole et la reconnaissance des formes d’exploitation</w:t>
      </w:r>
      <w:r w:rsidRPr="00572D0C">
        <w:rPr>
          <w:rFonts w:cs="Arial"/>
          <w:lang w:val="fr-CH"/>
        </w:rPr>
        <w:t xml:space="preserve"> </w:t>
      </w:r>
      <w:r w:rsidR="147A5F7B" w:rsidRPr="00572D0C">
        <w:rPr>
          <w:rFonts w:cs="Arial"/>
          <w:lang w:val="fr-CH"/>
        </w:rPr>
        <w:t>(</w:t>
      </w:r>
      <w:r>
        <w:rPr>
          <w:rFonts w:cs="Arial"/>
          <w:lang w:val="fr-CH"/>
        </w:rPr>
        <w:t xml:space="preserve">OTerm </w:t>
      </w:r>
      <w:r w:rsidR="147A5F7B" w:rsidRPr="00572D0C">
        <w:rPr>
          <w:rFonts w:cs="Arial"/>
          <w:lang w:val="fr-CH"/>
        </w:rPr>
        <w:t xml:space="preserve">; </w:t>
      </w:r>
      <w:r>
        <w:rPr>
          <w:rFonts w:cs="Arial"/>
          <w:lang w:val="fr-CH"/>
        </w:rPr>
        <w:t>RS</w:t>
      </w:r>
      <w:r w:rsidR="147A5F7B" w:rsidRPr="00572D0C">
        <w:rPr>
          <w:rFonts w:cs="Arial"/>
          <w:lang w:val="fr-CH"/>
        </w:rPr>
        <w:t xml:space="preserve"> 910.91)</w:t>
      </w:r>
      <w:r w:rsidR="147A5F7B" w:rsidRPr="00572D0C">
        <w:rPr>
          <w:lang w:val="fr-CH"/>
        </w:rPr>
        <w:t xml:space="preserve"> </w:t>
      </w:r>
    </w:p>
    <w:p w14:paraId="082F6BDD" w14:textId="019324A8" w:rsidR="00EF04B6" w:rsidRPr="00572D0C" w:rsidRDefault="00105CD2" w:rsidP="00F04224">
      <w:pPr>
        <w:rPr>
          <w:lang w:val="fr-CH"/>
        </w:rPr>
      </w:pPr>
      <w:r>
        <w:rPr>
          <w:lang w:val="fr-CH"/>
        </w:rPr>
        <w:t>Loi fédérale du</w:t>
      </w:r>
      <w:r w:rsidR="147A5F7B" w:rsidRPr="00572D0C">
        <w:rPr>
          <w:lang w:val="fr-CH"/>
        </w:rPr>
        <w:t xml:space="preserve"> 29</w:t>
      </w:r>
      <w:r>
        <w:rPr>
          <w:lang w:val="fr-CH"/>
        </w:rPr>
        <w:t xml:space="preserve"> avril </w:t>
      </w:r>
      <w:r w:rsidR="147A5F7B" w:rsidRPr="00572D0C">
        <w:rPr>
          <w:lang w:val="fr-CH"/>
        </w:rPr>
        <w:t>1998</w:t>
      </w:r>
      <w:r>
        <w:rPr>
          <w:lang w:val="fr-CH"/>
        </w:rPr>
        <w:t xml:space="preserve"> sur l’agriculture</w:t>
      </w:r>
      <w:r w:rsidR="147A5F7B" w:rsidRPr="00572D0C">
        <w:rPr>
          <w:lang w:val="fr-CH"/>
        </w:rPr>
        <w:t xml:space="preserve"> (L</w:t>
      </w:r>
      <w:r>
        <w:rPr>
          <w:lang w:val="fr-CH"/>
        </w:rPr>
        <w:t xml:space="preserve">Agr </w:t>
      </w:r>
      <w:r w:rsidR="147A5F7B" w:rsidRPr="00572D0C">
        <w:rPr>
          <w:lang w:val="fr-CH"/>
        </w:rPr>
        <w:t xml:space="preserve">; </w:t>
      </w:r>
      <w:r>
        <w:rPr>
          <w:lang w:val="fr-CH"/>
        </w:rPr>
        <w:t>RS</w:t>
      </w:r>
      <w:r w:rsidR="147A5F7B" w:rsidRPr="00572D0C">
        <w:rPr>
          <w:lang w:val="fr-CH"/>
        </w:rPr>
        <w:t xml:space="preserve"> 910.1)</w:t>
      </w:r>
    </w:p>
    <w:p w14:paraId="2A4BBDC7" w14:textId="68C4503E" w:rsidR="00690931" w:rsidRPr="00572D0C" w:rsidRDefault="00105CD2" w:rsidP="147A5F7B">
      <w:pPr>
        <w:spacing w:before="240"/>
        <w:rPr>
          <w:b/>
          <w:bCs/>
          <w:lang w:val="fr-CH"/>
        </w:rPr>
      </w:pPr>
      <w:r>
        <w:rPr>
          <w:b/>
          <w:bCs/>
          <w:lang w:val="fr-CH"/>
        </w:rPr>
        <w:t>Aména</w:t>
      </w:r>
      <w:r w:rsidR="147A5F7B" w:rsidRPr="00572D0C">
        <w:rPr>
          <w:b/>
          <w:bCs/>
          <w:lang w:val="fr-CH"/>
        </w:rPr>
        <w:t>g</w:t>
      </w:r>
      <w:r>
        <w:rPr>
          <w:b/>
          <w:bCs/>
          <w:lang w:val="fr-CH"/>
        </w:rPr>
        <w:t>ement du territoire</w:t>
      </w:r>
    </w:p>
    <w:p w14:paraId="36BC3FA1" w14:textId="49969841" w:rsidR="00690931" w:rsidRPr="00572D0C" w:rsidRDefault="00105CD2" w:rsidP="00A64D91">
      <w:pPr>
        <w:spacing w:after="60"/>
        <w:rPr>
          <w:rFonts w:eastAsiaTheme="minorEastAsia" w:cs="Arial"/>
          <w:lang w:val="fr-CH" w:eastAsia="en-US"/>
        </w:rPr>
      </w:pPr>
      <w:r>
        <w:rPr>
          <w:lang w:val="fr-CH"/>
        </w:rPr>
        <w:t xml:space="preserve">Loi fédérale du </w:t>
      </w:r>
      <w:r w:rsidR="147A5F7B" w:rsidRPr="00572D0C">
        <w:rPr>
          <w:lang w:val="fr-CH"/>
        </w:rPr>
        <w:t>22</w:t>
      </w:r>
      <w:r>
        <w:rPr>
          <w:lang w:val="fr-CH"/>
        </w:rPr>
        <w:t xml:space="preserve"> juin</w:t>
      </w:r>
      <w:r w:rsidR="147A5F7B" w:rsidRPr="00572D0C">
        <w:rPr>
          <w:lang w:val="fr-CH"/>
        </w:rPr>
        <w:t xml:space="preserve"> 1979 </w:t>
      </w:r>
      <w:r>
        <w:rPr>
          <w:lang w:val="fr-CH"/>
        </w:rPr>
        <w:t>sur l’aménagement du territoire</w:t>
      </w:r>
      <w:r w:rsidR="147A5F7B" w:rsidRPr="00572D0C">
        <w:rPr>
          <w:lang w:val="fr-CH"/>
        </w:rPr>
        <w:t xml:space="preserve"> (</w:t>
      </w:r>
      <w:r>
        <w:rPr>
          <w:lang w:val="fr-CH"/>
        </w:rPr>
        <w:t xml:space="preserve">LAT </w:t>
      </w:r>
      <w:r w:rsidR="147A5F7B" w:rsidRPr="00572D0C">
        <w:rPr>
          <w:lang w:val="fr-CH"/>
        </w:rPr>
        <w:t xml:space="preserve">; </w:t>
      </w:r>
      <w:r>
        <w:rPr>
          <w:lang w:val="fr-CH"/>
        </w:rPr>
        <w:t>RS</w:t>
      </w:r>
      <w:r w:rsidR="147A5F7B" w:rsidRPr="00572D0C">
        <w:rPr>
          <w:lang w:val="fr-CH"/>
        </w:rPr>
        <w:t xml:space="preserve"> 700) </w:t>
      </w:r>
    </w:p>
    <w:p w14:paraId="6EE1D023" w14:textId="043D14E1" w:rsidR="00690931" w:rsidRPr="00572D0C" w:rsidRDefault="00105CD2">
      <w:pPr>
        <w:rPr>
          <w:rFonts w:eastAsiaTheme="minorEastAsia" w:cs="Arial"/>
          <w:lang w:val="fr-CH" w:eastAsia="en-US"/>
        </w:rPr>
      </w:pPr>
      <w:r>
        <w:rPr>
          <w:lang w:val="fr-CH"/>
        </w:rPr>
        <w:t>Ordonnance du</w:t>
      </w:r>
      <w:r w:rsidR="147A5F7B" w:rsidRPr="00572D0C">
        <w:rPr>
          <w:lang w:val="fr-CH"/>
        </w:rPr>
        <w:t xml:space="preserve"> 28</w:t>
      </w:r>
      <w:r>
        <w:rPr>
          <w:lang w:val="fr-CH"/>
        </w:rPr>
        <w:t xml:space="preserve"> juin </w:t>
      </w:r>
      <w:r w:rsidR="147A5F7B" w:rsidRPr="00572D0C">
        <w:rPr>
          <w:lang w:val="fr-CH"/>
        </w:rPr>
        <w:t xml:space="preserve">2000 </w:t>
      </w:r>
      <w:r>
        <w:rPr>
          <w:lang w:val="fr-CH"/>
        </w:rPr>
        <w:t xml:space="preserve">sur l’aménagement du territoire </w:t>
      </w:r>
      <w:r w:rsidR="147A5F7B" w:rsidRPr="00572D0C">
        <w:rPr>
          <w:lang w:val="fr-CH"/>
        </w:rPr>
        <w:t>(</w:t>
      </w:r>
      <w:r>
        <w:rPr>
          <w:lang w:val="fr-CH"/>
        </w:rPr>
        <w:t xml:space="preserve">OAT </w:t>
      </w:r>
      <w:r w:rsidR="147A5F7B" w:rsidRPr="00572D0C">
        <w:rPr>
          <w:lang w:val="fr-CH"/>
        </w:rPr>
        <w:t xml:space="preserve">; </w:t>
      </w:r>
      <w:r>
        <w:rPr>
          <w:lang w:val="fr-CH"/>
        </w:rPr>
        <w:t>RS</w:t>
      </w:r>
      <w:r w:rsidR="147A5F7B" w:rsidRPr="00572D0C">
        <w:rPr>
          <w:lang w:val="fr-CH"/>
        </w:rPr>
        <w:t xml:space="preserve"> 700.1) </w:t>
      </w:r>
    </w:p>
    <w:p w14:paraId="502DC4F8" w14:textId="34211616" w:rsidR="003F5863" w:rsidRPr="00572D0C" w:rsidRDefault="147A5F7B" w:rsidP="147A5F7B">
      <w:pPr>
        <w:spacing w:before="240"/>
        <w:rPr>
          <w:b/>
          <w:bCs/>
          <w:lang w:val="fr-CH"/>
        </w:rPr>
      </w:pPr>
      <w:r w:rsidRPr="00572D0C">
        <w:rPr>
          <w:b/>
          <w:bCs/>
          <w:lang w:val="fr-CH"/>
        </w:rPr>
        <w:t>Statis</w:t>
      </w:r>
      <w:r w:rsidR="002B41C3">
        <w:rPr>
          <w:b/>
          <w:bCs/>
          <w:lang w:val="fr-CH"/>
        </w:rPr>
        <w:t>tique</w:t>
      </w:r>
    </w:p>
    <w:p w14:paraId="2B16B7A7" w14:textId="43DD19C4" w:rsidR="0039690E" w:rsidRPr="00572D0C" w:rsidRDefault="002B41C3" w:rsidP="00F04224">
      <w:pPr>
        <w:rPr>
          <w:lang w:val="fr-CH"/>
        </w:rPr>
      </w:pPr>
      <w:r>
        <w:rPr>
          <w:lang w:val="fr-CH"/>
        </w:rPr>
        <w:t xml:space="preserve">Ordonnance </w:t>
      </w:r>
      <w:r w:rsidR="00E834C0" w:rsidRPr="00501D1D">
        <w:rPr>
          <w:lang w:val="fr-CH"/>
        </w:rPr>
        <w:t>du 30 juin 1993</w:t>
      </w:r>
      <w:r w:rsidR="00E834C0">
        <w:rPr>
          <w:lang w:val="fr-CH"/>
        </w:rPr>
        <w:t xml:space="preserve"> concernant l’exécution des relevés statistiques fédéraux</w:t>
      </w:r>
      <w:r w:rsidR="147A5F7B" w:rsidRPr="00572D0C">
        <w:rPr>
          <w:lang w:val="fr-CH"/>
        </w:rPr>
        <w:t xml:space="preserve"> (</w:t>
      </w:r>
      <w:r w:rsidR="00E834C0">
        <w:rPr>
          <w:lang w:val="fr-CH"/>
        </w:rPr>
        <w:t>ordonnance sur les relevés statistiques</w:t>
      </w:r>
      <w:r w:rsidR="147A5F7B" w:rsidRPr="00572D0C">
        <w:rPr>
          <w:lang w:val="fr-CH"/>
        </w:rPr>
        <w:t xml:space="preserve">, </w:t>
      </w:r>
      <w:r>
        <w:rPr>
          <w:lang w:val="fr-CH"/>
        </w:rPr>
        <w:t>RS</w:t>
      </w:r>
      <w:r w:rsidR="147A5F7B" w:rsidRPr="00572D0C">
        <w:rPr>
          <w:lang w:val="fr-CH"/>
        </w:rPr>
        <w:t xml:space="preserve"> 431.012.1)</w:t>
      </w:r>
    </w:p>
    <w:p w14:paraId="01C15A49" w14:textId="41849A84" w:rsidR="00CD5732" w:rsidRPr="00572D0C" w:rsidRDefault="00E529D2" w:rsidP="147A5F7B">
      <w:pPr>
        <w:spacing w:before="240"/>
        <w:rPr>
          <w:b/>
          <w:bCs/>
          <w:lang w:val="fr-CH"/>
        </w:rPr>
      </w:pPr>
      <w:r>
        <w:rPr>
          <w:b/>
          <w:bCs/>
          <w:lang w:val="fr-CH"/>
        </w:rPr>
        <w:t>Environnemen</w:t>
      </w:r>
      <w:r w:rsidR="147A5F7B" w:rsidRPr="00572D0C">
        <w:rPr>
          <w:b/>
          <w:bCs/>
          <w:lang w:val="fr-CH"/>
        </w:rPr>
        <w:t>t</w:t>
      </w:r>
    </w:p>
    <w:p w14:paraId="78BE7C99" w14:textId="4CB4FB41" w:rsidR="00474F55" w:rsidRDefault="00474F55" w:rsidP="147A5F7B">
      <w:pPr>
        <w:pStyle w:val="StandardWeb"/>
        <w:rPr>
          <w:rFonts w:ascii="Arial" w:hAnsi="Arial" w:cs="Arial"/>
          <w:sz w:val="20"/>
          <w:szCs w:val="20"/>
          <w:lang w:val="fr-CH"/>
        </w:rPr>
      </w:pPr>
      <w:r>
        <w:rPr>
          <w:rFonts w:ascii="Arial" w:hAnsi="Arial" w:cs="Arial"/>
          <w:sz w:val="20"/>
          <w:szCs w:val="20"/>
          <w:lang w:val="fr-CH"/>
        </w:rPr>
        <w:t>Loi fédérale du 24 janvier 1991 sur la protection des eaux (LEaux ; RS 814.20)</w:t>
      </w:r>
    </w:p>
    <w:p w14:paraId="3DEB14CB" w14:textId="127DA20D" w:rsidR="009A0BA0" w:rsidRPr="00572D0C" w:rsidRDefault="00E529D2" w:rsidP="147A5F7B">
      <w:pPr>
        <w:pStyle w:val="StandardWeb"/>
        <w:rPr>
          <w:rFonts w:ascii="Arial" w:hAnsi="Arial" w:cs="Arial"/>
          <w:sz w:val="20"/>
          <w:szCs w:val="20"/>
          <w:lang w:val="fr-CH"/>
        </w:rPr>
      </w:pPr>
      <w:r w:rsidRPr="00E529D2">
        <w:rPr>
          <w:rFonts w:ascii="Arial" w:hAnsi="Arial" w:cs="Arial"/>
          <w:sz w:val="20"/>
          <w:szCs w:val="20"/>
          <w:lang w:val="fr-CH"/>
        </w:rPr>
        <w:t>Ordonnance du 28 octobre1998 sur la protection des eaux</w:t>
      </w:r>
      <w:r w:rsidR="147A5F7B" w:rsidRPr="00572D0C">
        <w:rPr>
          <w:rFonts w:ascii="Arial" w:hAnsi="Arial" w:cs="Arial"/>
          <w:sz w:val="20"/>
          <w:szCs w:val="20"/>
          <w:lang w:val="fr-CH"/>
        </w:rPr>
        <w:t xml:space="preserve"> (</w:t>
      </w:r>
      <w:r>
        <w:rPr>
          <w:rFonts w:ascii="Arial" w:hAnsi="Arial" w:cs="Arial"/>
          <w:sz w:val="20"/>
          <w:szCs w:val="20"/>
          <w:lang w:val="fr-CH"/>
        </w:rPr>
        <w:t xml:space="preserve">OEaux </w:t>
      </w:r>
      <w:r w:rsidR="147A5F7B" w:rsidRPr="00572D0C">
        <w:rPr>
          <w:rFonts w:ascii="Arial" w:hAnsi="Arial" w:cs="Arial"/>
          <w:sz w:val="20"/>
          <w:szCs w:val="20"/>
          <w:lang w:val="fr-CH"/>
        </w:rPr>
        <w:t xml:space="preserve">; </w:t>
      </w:r>
      <w:r>
        <w:rPr>
          <w:rFonts w:ascii="Arial" w:hAnsi="Arial" w:cs="Arial"/>
          <w:sz w:val="20"/>
          <w:szCs w:val="20"/>
          <w:lang w:val="fr-CH"/>
        </w:rPr>
        <w:t>RS</w:t>
      </w:r>
      <w:r w:rsidR="147A5F7B" w:rsidRPr="00572D0C">
        <w:rPr>
          <w:rFonts w:ascii="Arial" w:hAnsi="Arial" w:cs="Arial"/>
          <w:sz w:val="20"/>
          <w:szCs w:val="20"/>
          <w:lang w:val="fr-CH"/>
        </w:rPr>
        <w:t xml:space="preserve"> 814.201) </w:t>
      </w:r>
    </w:p>
    <w:p w14:paraId="7A6004F0" w14:textId="50B8D5B3" w:rsidR="00CF6EC7" w:rsidRPr="00572D0C" w:rsidRDefault="00237DDB" w:rsidP="147A5F7B">
      <w:pPr>
        <w:pStyle w:val="StandardWeb"/>
        <w:spacing w:before="240"/>
        <w:rPr>
          <w:rFonts w:ascii="Arial" w:hAnsi="Arial" w:cs="Arial"/>
          <w:b/>
          <w:bCs/>
          <w:sz w:val="20"/>
          <w:szCs w:val="20"/>
          <w:lang w:val="fr-CH"/>
        </w:rPr>
      </w:pPr>
      <w:r>
        <w:rPr>
          <w:rFonts w:ascii="Arial" w:hAnsi="Arial" w:cs="Arial"/>
          <w:b/>
          <w:bCs/>
          <w:sz w:val="20"/>
          <w:szCs w:val="20"/>
          <w:lang w:val="fr-CH"/>
        </w:rPr>
        <w:t>Forêt</w:t>
      </w:r>
    </w:p>
    <w:p w14:paraId="39149733" w14:textId="5617C46E" w:rsidR="00CF6EC7" w:rsidRDefault="00237DDB" w:rsidP="147A5F7B">
      <w:pPr>
        <w:pStyle w:val="StandardWeb"/>
        <w:rPr>
          <w:rFonts w:ascii="Arial" w:hAnsi="Arial" w:cs="Arial"/>
          <w:sz w:val="20"/>
          <w:szCs w:val="20"/>
          <w:lang w:val="fr-CH"/>
        </w:rPr>
      </w:pPr>
      <w:r>
        <w:rPr>
          <w:rFonts w:ascii="Arial" w:hAnsi="Arial" w:cs="Arial"/>
          <w:sz w:val="20"/>
          <w:szCs w:val="20"/>
          <w:lang w:val="fr-CH"/>
        </w:rPr>
        <w:t>Loi fédérale du 4 octobre 1991 sur les forêts</w:t>
      </w:r>
      <w:r w:rsidR="147A5F7B" w:rsidRPr="00572D0C">
        <w:rPr>
          <w:rFonts w:ascii="Arial" w:hAnsi="Arial" w:cs="Arial"/>
          <w:sz w:val="20"/>
          <w:szCs w:val="20"/>
          <w:lang w:val="fr-CH"/>
        </w:rPr>
        <w:t xml:space="preserve"> (</w:t>
      </w:r>
      <w:r>
        <w:rPr>
          <w:rFonts w:ascii="Arial" w:hAnsi="Arial" w:cs="Arial"/>
          <w:sz w:val="20"/>
          <w:szCs w:val="20"/>
          <w:lang w:val="fr-CH"/>
        </w:rPr>
        <w:t xml:space="preserve">LFo </w:t>
      </w:r>
      <w:r w:rsidR="147A5F7B" w:rsidRPr="00572D0C">
        <w:rPr>
          <w:rFonts w:ascii="Arial" w:hAnsi="Arial" w:cs="Arial"/>
          <w:sz w:val="20"/>
          <w:szCs w:val="20"/>
          <w:lang w:val="fr-CH"/>
        </w:rPr>
        <w:t xml:space="preserve">; </w:t>
      </w:r>
      <w:r>
        <w:rPr>
          <w:rFonts w:ascii="Arial" w:hAnsi="Arial" w:cs="Arial"/>
          <w:sz w:val="20"/>
          <w:szCs w:val="20"/>
          <w:lang w:val="fr-CH"/>
        </w:rPr>
        <w:t>RS</w:t>
      </w:r>
      <w:r w:rsidR="147A5F7B" w:rsidRPr="00572D0C">
        <w:rPr>
          <w:rFonts w:ascii="Arial" w:hAnsi="Arial" w:cs="Arial"/>
          <w:sz w:val="20"/>
          <w:szCs w:val="20"/>
          <w:lang w:val="fr-CH"/>
        </w:rPr>
        <w:t xml:space="preserve"> 921.0)</w:t>
      </w:r>
    </w:p>
    <w:p w14:paraId="68D7854D" w14:textId="66E699F8" w:rsidR="00474F55" w:rsidRPr="005500D2" w:rsidRDefault="00474F55" w:rsidP="147A5F7B">
      <w:pPr>
        <w:pStyle w:val="StandardWeb"/>
        <w:rPr>
          <w:rFonts w:ascii="Arial" w:hAnsi="Arial" w:cs="Arial"/>
          <w:bCs/>
          <w:sz w:val="20"/>
          <w:szCs w:val="20"/>
          <w:lang w:val="fr-CH"/>
        </w:rPr>
      </w:pPr>
      <w:r w:rsidRPr="005500D2">
        <w:rPr>
          <w:rFonts w:ascii="Arial" w:hAnsi="Arial" w:cs="Arial"/>
          <w:bCs/>
          <w:sz w:val="20"/>
          <w:szCs w:val="20"/>
          <w:lang w:val="fr-CH"/>
        </w:rPr>
        <w:t>Ordonnance du 30 novembre 1992 sur les forêts (OFo ; RS 921.01)</w:t>
      </w:r>
    </w:p>
    <w:p w14:paraId="6B8B9790" w14:textId="4734594A" w:rsidR="0039690E" w:rsidRPr="00572D0C" w:rsidRDefault="0039690E" w:rsidP="0039690E">
      <w:pPr>
        <w:spacing w:after="0"/>
        <w:rPr>
          <w:b/>
          <w:lang w:val="fr-CH"/>
        </w:rPr>
      </w:pPr>
    </w:p>
    <w:p w14:paraId="16F1F89F" w14:textId="77777777" w:rsidR="00690931" w:rsidRPr="00572D0C" w:rsidRDefault="00690931">
      <w:pPr>
        <w:rPr>
          <w:lang w:val="fr-CH"/>
        </w:rPr>
      </w:pPr>
    </w:p>
    <w:sectPr w:rsidR="00690931" w:rsidRPr="00572D0C" w:rsidSect="00341BC3">
      <w:footerReference w:type="even" r:id="rId13"/>
      <w:footerReference w:type="default" r:id="rId14"/>
      <w:pgSz w:w="11907" w:h="16839" w:code="9"/>
      <w:pgMar w:top="1531" w:right="1191" w:bottom="1304" w:left="1191" w:header="680" w:footer="32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7FF8F" w14:textId="77777777" w:rsidR="0050043A" w:rsidRDefault="0050043A" w:rsidP="005B17D7">
      <w:pPr>
        <w:spacing w:line="240" w:lineRule="auto"/>
      </w:pPr>
      <w:r>
        <w:separator/>
      </w:r>
    </w:p>
  </w:endnote>
  <w:endnote w:type="continuationSeparator" w:id="0">
    <w:p w14:paraId="3EC68C02" w14:textId="77777777" w:rsidR="0050043A" w:rsidRDefault="0050043A" w:rsidP="005B17D7">
      <w:pPr>
        <w:spacing w:line="240" w:lineRule="auto"/>
      </w:pPr>
      <w:r>
        <w:continuationSeparator/>
      </w:r>
    </w:p>
  </w:endnote>
  <w:endnote w:type="continuationNotice" w:id="1">
    <w:p w14:paraId="379931A8" w14:textId="77777777" w:rsidR="0050043A" w:rsidRDefault="005004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color w:val="808080" w:themeColor="background1" w:themeShade="80"/>
      </w:rPr>
      <w:id w:val="-407848409"/>
      <w:docPartObj>
        <w:docPartGallery w:val="Page Numbers (Bottom of Page)"/>
        <w:docPartUnique/>
      </w:docPartObj>
    </w:sdtPr>
    <w:sdtContent>
      <w:p w14:paraId="1B7C51EB" w14:textId="4218FDB9" w:rsidR="00DA731C" w:rsidRPr="00E24210" w:rsidRDefault="00DA731C" w:rsidP="00FD773C">
        <w:pPr>
          <w:pStyle w:val="Fuzeile"/>
          <w:tabs>
            <w:tab w:val="right" w:pos="20979"/>
          </w:tabs>
          <w:rPr>
            <w:b/>
            <w:noProof w:val="0"/>
            <w:color w:val="808080" w:themeColor="background1" w:themeShade="80"/>
            <w:sz w:val="20"/>
            <w:szCs w:val="20"/>
          </w:rPr>
        </w:pPr>
        <w:r>
          <w:rPr>
            <w:b/>
            <w:color w:val="808080" w:themeColor="background1" w:themeShade="80"/>
            <w:sz w:val="16"/>
            <w:szCs w:val="16"/>
          </w:rPr>
          <w:t xml:space="preserve">Sachplan FFF – </w:t>
        </w:r>
        <w:r>
          <w:rPr>
            <w:b/>
            <w:color w:val="808080" w:themeColor="background1" w:themeShade="80"/>
            <w:sz w:val="16"/>
            <w:szCs w:val="16"/>
          </w:rPr>
          <w:fldChar w:fldCharType="begin"/>
        </w:r>
        <w:r>
          <w:rPr>
            <w:b/>
            <w:color w:val="808080" w:themeColor="background1" w:themeShade="80"/>
            <w:sz w:val="16"/>
            <w:szCs w:val="16"/>
          </w:rPr>
          <w:instrText xml:space="preserve"> TIME \@ "MMMM yy" </w:instrText>
        </w:r>
        <w:r>
          <w:rPr>
            <w:b/>
            <w:color w:val="808080" w:themeColor="background1" w:themeShade="80"/>
            <w:sz w:val="16"/>
            <w:szCs w:val="16"/>
          </w:rPr>
          <w:fldChar w:fldCharType="separate"/>
        </w:r>
        <w:r w:rsidR="00A65A9C">
          <w:rPr>
            <w:b/>
            <w:color w:val="808080" w:themeColor="background1" w:themeShade="80"/>
            <w:sz w:val="16"/>
            <w:szCs w:val="16"/>
          </w:rPr>
          <w:t>Dezember 18</w:t>
        </w:r>
        <w:r>
          <w:rPr>
            <w:b/>
            <w:color w:val="808080" w:themeColor="background1" w:themeShade="80"/>
            <w:sz w:val="16"/>
            <w:szCs w:val="16"/>
          </w:rPr>
          <w:fldChar w:fldCharType="end"/>
        </w:r>
        <w:r>
          <w:rPr>
            <w:b/>
            <w:color w:val="808080" w:themeColor="background1" w:themeShade="80"/>
            <w:sz w:val="20"/>
          </w:rPr>
          <w:tab/>
        </w:r>
        <w:r w:rsidRPr="00CB0D73">
          <w:rPr>
            <w:b/>
            <w:color w:val="808080" w:themeColor="background1" w:themeShade="80"/>
            <w:sz w:val="20"/>
          </w:rPr>
          <w:fldChar w:fldCharType="begin"/>
        </w:r>
        <w:r w:rsidRPr="00CB0D73">
          <w:rPr>
            <w:b/>
            <w:color w:val="808080" w:themeColor="background1" w:themeShade="80"/>
            <w:sz w:val="20"/>
          </w:rPr>
          <w:instrText>PAGE   \* MERGEFORMAT</w:instrText>
        </w:r>
        <w:r w:rsidRPr="00CB0D73">
          <w:rPr>
            <w:b/>
            <w:color w:val="808080" w:themeColor="background1" w:themeShade="80"/>
            <w:sz w:val="20"/>
          </w:rPr>
          <w:fldChar w:fldCharType="separate"/>
        </w:r>
        <w:r w:rsidRPr="006D3F32">
          <w:rPr>
            <w:b/>
            <w:color w:val="808080" w:themeColor="background1" w:themeShade="80"/>
            <w:sz w:val="20"/>
            <w:lang w:val="de-DE"/>
          </w:rPr>
          <w:t>II</w:t>
        </w:r>
        <w:r w:rsidRPr="00CB0D73">
          <w:rPr>
            <w:b/>
            <w:color w:val="808080" w:themeColor="background1" w:themeShade="80"/>
            <w:sz w:val="20"/>
          </w:rPr>
          <w:fldChar w:fldCharType="end"/>
        </w:r>
      </w:p>
    </w:sdtContent>
  </w:sdt>
  <w:p w14:paraId="0B5F6869" w14:textId="77777777" w:rsidR="00DA731C" w:rsidRPr="00FD773C" w:rsidRDefault="00DA731C">
    <w:pPr>
      <w:pStyle w:val="Platzhal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9163238"/>
      <w:docPartObj>
        <w:docPartGallery w:val="Page Numbers (Bottom of Page)"/>
        <w:docPartUnique/>
      </w:docPartObj>
    </w:sdtPr>
    <w:sdtEndPr>
      <w:rPr>
        <w:sz w:val="16"/>
        <w:szCs w:val="16"/>
      </w:rPr>
    </w:sdtEndPr>
    <w:sdtContent>
      <w:p w14:paraId="46E82972" w14:textId="719C358E" w:rsidR="00DA731C" w:rsidRPr="00501D1D" w:rsidRDefault="00DA731C" w:rsidP="009E236D">
        <w:pPr>
          <w:pStyle w:val="Fuzeile"/>
          <w:tabs>
            <w:tab w:val="left" w:pos="9214"/>
          </w:tabs>
          <w:rPr>
            <w:sz w:val="16"/>
            <w:szCs w:val="16"/>
            <w:lang w:val="fr-CH"/>
          </w:rPr>
        </w:pPr>
        <w:r w:rsidRPr="00501D1D">
          <w:rPr>
            <w:lang w:val="fr-CH"/>
          </w:rPr>
          <w:t xml:space="preserve">Rapport explicatif Plan sectoriel SDA – Version </w:t>
        </w:r>
        <w:r>
          <w:rPr>
            <w:lang w:val="fr-CH"/>
          </w:rPr>
          <w:fldChar w:fldCharType="begin"/>
        </w:r>
        <w:r>
          <w:rPr>
            <w:lang w:val="fr-CH"/>
          </w:rPr>
          <w:instrText xml:space="preserve"> TIME \@ "MMMM yy" </w:instrText>
        </w:r>
        <w:r>
          <w:rPr>
            <w:lang w:val="fr-CH"/>
          </w:rPr>
          <w:fldChar w:fldCharType="separate"/>
        </w:r>
        <w:r w:rsidR="00A65A9C">
          <w:rPr>
            <w:lang w:val="fr-CH"/>
          </w:rPr>
          <w:t>décembre 18</w:t>
        </w:r>
        <w:r>
          <w:rPr>
            <w:lang w:val="fr-CH"/>
          </w:rPr>
          <w:fldChar w:fldCharType="end"/>
        </w:r>
        <w:r w:rsidRPr="00501D1D">
          <w:rPr>
            <w:lang w:val="fr-CH"/>
          </w:rPr>
          <w:tab/>
        </w:r>
        <w:r w:rsidRPr="009E236D">
          <w:rPr>
            <w:sz w:val="16"/>
            <w:szCs w:val="16"/>
          </w:rPr>
          <w:fldChar w:fldCharType="begin"/>
        </w:r>
        <w:r w:rsidRPr="00501D1D">
          <w:rPr>
            <w:sz w:val="16"/>
            <w:szCs w:val="16"/>
            <w:lang w:val="fr-CH"/>
          </w:rPr>
          <w:instrText>PAGE   \* MERGEFORMAT</w:instrText>
        </w:r>
        <w:r w:rsidRPr="009E236D">
          <w:rPr>
            <w:sz w:val="16"/>
            <w:szCs w:val="16"/>
          </w:rPr>
          <w:fldChar w:fldCharType="separate"/>
        </w:r>
        <w:r w:rsidR="00A65A9C">
          <w:rPr>
            <w:sz w:val="16"/>
            <w:szCs w:val="16"/>
            <w:lang w:val="fr-CH"/>
          </w:rPr>
          <w:t>34</w:t>
        </w:r>
        <w:r w:rsidRPr="009E236D">
          <w:rPr>
            <w:sz w:val="16"/>
            <w:szCs w:val="16"/>
          </w:rPr>
          <w:fldChar w:fldCharType="end"/>
        </w:r>
      </w:p>
    </w:sdtContent>
  </w:sdt>
  <w:p w14:paraId="223C2517" w14:textId="0931677C" w:rsidR="00DA731C" w:rsidRPr="00501D1D" w:rsidRDefault="00DA731C" w:rsidP="00E24210">
    <w:pPr>
      <w:pStyle w:val="Fuzeile"/>
      <w:tabs>
        <w:tab w:val="right" w:pos="20979"/>
      </w:tabs>
      <w:rPr>
        <w:b/>
        <w:noProof w:val="0"/>
        <w:color w:val="808080" w:themeColor="background1" w:themeShade="80"/>
        <w:sz w:val="20"/>
        <w:szCs w:val="20"/>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A9DFED" w14:textId="77777777" w:rsidR="0050043A" w:rsidRDefault="0050043A" w:rsidP="005B17D7">
      <w:pPr>
        <w:spacing w:line="240" w:lineRule="auto"/>
      </w:pPr>
      <w:r>
        <w:separator/>
      </w:r>
    </w:p>
  </w:footnote>
  <w:footnote w:type="continuationSeparator" w:id="0">
    <w:p w14:paraId="39849B77" w14:textId="77777777" w:rsidR="0050043A" w:rsidRDefault="0050043A" w:rsidP="005B17D7">
      <w:pPr>
        <w:spacing w:line="240" w:lineRule="auto"/>
      </w:pPr>
      <w:r>
        <w:continuationSeparator/>
      </w:r>
    </w:p>
  </w:footnote>
  <w:footnote w:type="continuationNotice" w:id="1">
    <w:p w14:paraId="395F7754" w14:textId="77777777" w:rsidR="0050043A" w:rsidRDefault="0050043A">
      <w:pPr>
        <w:spacing w:after="0" w:line="240" w:lineRule="auto"/>
      </w:pPr>
    </w:p>
  </w:footnote>
  <w:footnote w:id="2">
    <w:p w14:paraId="3140E1C4" w14:textId="5FBE63DF" w:rsidR="00DA731C" w:rsidRPr="00441F03" w:rsidRDefault="00DA731C" w:rsidP="00397E2B">
      <w:pPr>
        <w:pStyle w:val="KeinLeerraum"/>
        <w:ind w:left="142" w:hanging="142"/>
        <w:rPr>
          <w:lang w:val="fr-CH"/>
        </w:rPr>
      </w:pPr>
      <w:r>
        <w:rPr>
          <w:rStyle w:val="Funotenzeichen"/>
        </w:rPr>
        <w:footnoteRef/>
      </w:r>
      <w:r w:rsidRPr="00501D1D">
        <w:rPr>
          <w:lang w:val="fr-CH"/>
        </w:rPr>
        <w:t xml:space="preserve"> </w:t>
      </w:r>
      <w:r>
        <w:rPr>
          <w:lang w:val="fr-CH"/>
        </w:rPr>
        <w:t>Rapport du groupe d’experts sur mandat du Département fédéral de l’environnement, des transports, de l’énergie et de la communication</w:t>
      </w:r>
      <w:r w:rsidRPr="00441F03">
        <w:rPr>
          <w:lang w:val="fr-CH"/>
        </w:rPr>
        <w:t xml:space="preserve"> (</w:t>
      </w:r>
      <w:r>
        <w:rPr>
          <w:lang w:val="fr-CH"/>
        </w:rPr>
        <w:t>DETEC</w:t>
      </w:r>
      <w:r w:rsidRPr="00441F03">
        <w:rPr>
          <w:lang w:val="fr-CH"/>
        </w:rPr>
        <w:t xml:space="preserve">) (2018). </w:t>
      </w:r>
      <w:r>
        <w:rPr>
          <w:lang w:val="fr-CH"/>
        </w:rPr>
        <w:t>Remaniement</w:t>
      </w:r>
      <w:r w:rsidRPr="00441F03">
        <w:rPr>
          <w:lang w:val="fr-CH"/>
        </w:rPr>
        <w:t>/</w:t>
      </w:r>
      <w:r>
        <w:rPr>
          <w:lang w:val="fr-CH"/>
        </w:rPr>
        <w:t>renforcement du plan sectoriel des surfaces d’assolement</w:t>
      </w:r>
      <w:r w:rsidRPr="00441F03">
        <w:rPr>
          <w:lang w:val="fr-CH"/>
        </w:rPr>
        <w:t xml:space="preserve">. </w:t>
      </w:r>
      <w:hyperlink r:id="rId1" w:history="1">
        <w:r w:rsidRPr="00337E3B">
          <w:rPr>
            <w:rStyle w:val="Hyperlink"/>
            <w:lang w:val="fr-CH"/>
          </w:rPr>
          <w:t>https://www.are.admin.ch/are/fr/home/developpement-et-amenagement-du-territoire/strategie-et-planification/conceptions-et-plans-sectoriels/plans-sectoriels-de-la-confederation/sda/remaniement-et-renforcement.html</w:t>
        </w:r>
      </w:hyperlink>
      <w:r>
        <w:rPr>
          <w:rStyle w:val="Hyperlink"/>
          <w:lang w:val="fr-CH"/>
        </w:rPr>
        <w:t xml:space="preserve"> ,</w:t>
      </w:r>
      <w:r w:rsidRPr="00441F03">
        <w:rPr>
          <w:lang w:val="fr-CH"/>
        </w:rPr>
        <w:t xml:space="preserve"> </w:t>
      </w:r>
      <w:r>
        <w:rPr>
          <w:lang w:val="fr-CH"/>
        </w:rPr>
        <w:t xml:space="preserve">consulté en juillet </w:t>
      </w:r>
      <w:r w:rsidRPr="00441F03">
        <w:rPr>
          <w:lang w:val="fr-CH"/>
        </w:rPr>
        <w:t>2018.</w:t>
      </w:r>
    </w:p>
  </w:footnote>
  <w:footnote w:id="3">
    <w:p w14:paraId="78E5E97E" w14:textId="0F72543A" w:rsidR="00DA731C" w:rsidRPr="00501D1D" w:rsidRDefault="00DA731C" w:rsidP="005500D2">
      <w:pPr>
        <w:pStyle w:val="Funotentext"/>
        <w:spacing w:after="60"/>
        <w:ind w:left="142" w:hanging="142"/>
        <w:rPr>
          <w:sz w:val="18"/>
          <w:szCs w:val="18"/>
          <w:lang w:val="fr-CH"/>
        </w:rPr>
      </w:pPr>
      <w:r>
        <w:rPr>
          <w:rStyle w:val="Funotenzeichen"/>
        </w:rPr>
        <w:footnoteRef/>
      </w:r>
      <w:r>
        <w:t xml:space="preserve"> </w:t>
      </w:r>
      <w:r w:rsidRPr="00501D1D">
        <w:rPr>
          <w:sz w:val="18"/>
          <w:szCs w:val="18"/>
          <w:lang w:val="fr-CH"/>
        </w:rPr>
        <w:t>Le groupe d’experts a approuvé à l’unanimité</w:t>
      </w:r>
      <w:r>
        <w:rPr>
          <w:sz w:val="18"/>
          <w:szCs w:val="18"/>
          <w:lang w:val="fr-CH"/>
        </w:rPr>
        <w:t xml:space="preserve"> le contenu des recommandations 1 et 2 visant le maintien et le développement du plan sectoriel SDA et accepté de faire de la garantie de la sécurité alimentaire en cas de grave pénurie l’objectif principal du plan sectoriel. Dans le rapport du groupe d’experts, les autres recommandations ont été commentées en fonction de leur acceptation.</w:t>
      </w:r>
    </w:p>
  </w:footnote>
  <w:footnote w:id="4">
    <w:p w14:paraId="408AA6B4" w14:textId="20B3DB4C" w:rsidR="00DA731C" w:rsidRPr="00501D1D" w:rsidRDefault="00DA731C" w:rsidP="00573BD4">
      <w:pPr>
        <w:pStyle w:val="KeinLeerraum"/>
        <w:ind w:left="142" w:hanging="142"/>
        <w:rPr>
          <w:lang w:val="fr-CH"/>
        </w:rPr>
      </w:pPr>
      <w:r>
        <w:rPr>
          <w:rStyle w:val="Funotenzeichen"/>
        </w:rPr>
        <w:footnoteRef/>
      </w:r>
      <w:r w:rsidRPr="00501D1D">
        <w:rPr>
          <w:lang w:val="fr-CH"/>
        </w:rPr>
        <w:t xml:space="preserve"> </w:t>
      </w:r>
      <w:r w:rsidRPr="00501D1D">
        <w:rPr>
          <w:lang w:val="fr-CH"/>
        </w:rPr>
        <w:tab/>
      </w:r>
      <w:r w:rsidRPr="003F4DB0">
        <w:rPr>
          <w:lang w:val="fr-CH"/>
        </w:rPr>
        <w:t>Messer, M. et al., 2016</w:t>
      </w:r>
      <w:r>
        <w:rPr>
          <w:lang w:val="fr-CH"/>
        </w:rPr>
        <w:t xml:space="preserve"> </w:t>
      </w:r>
      <w:r w:rsidRPr="003F4DB0">
        <w:rPr>
          <w:lang w:val="fr-CH"/>
        </w:rPr>
        <w:t xml:space="preserve">: </w:t>
      </w:r>
      <w:r>
        <w:rPr>
          <w:lang w:val="fr-CH"/>
        </w:rPr>
        <w:t>Gérer les meilleures terres agricoles en Suisse ; Pratiques cantonales</w:t>
      </w:r>
      <w:r w:rsidRPr="003F4DB0">
        <w:rPr>
          <w:lang w:val="fr-CH"/>
        </w:rPr>
        <w:t xml:space="preserve"> </w:t>
      </w:r>
      <w:r>
        <w:rPr>
          <w:lang w:val="fr-CH"/>
        </w:rPr>
        <w:t>et perspectives d’évolution</w:t>
      </w:r>
      <w:r w:rsidRPr="003F4DB0">
        <w:rPr>
          <w:lang w:val="fr-CH"/>
        </w:rPr>
        <w:t>. Lausanne</w:t>
      </w:r>
      <w:r>
        <w:rPr>
          <w:lang w:val="fr-CH"/>
        </w:rPr>
        <w:t xml:space="preserve"> </w:t>
      </w:r>
      <w:r w:rsidRPr="003F4DB0">
        <w:rPr>
          <w:lang w:val="fr-CH"/>
        </w:rPr>
        <w:t xml:space="preserve">: CEAT [118 </w:t>
      </w:r>
      <w:r>
        <w:rPr>
          <w:lang w:val="fr-CH"/>
        </w:rPr>
        <w:t>p.</w:t>
      </w:r>
      <w:r w:rsidRPr="003F4DB0">
        <w:rPr>
          <w:lang w:val="fr-CH"/>
        </w:rPr>
        <w:t>]. /myx GmbH, 2016</w:t>
      </w:r>
      <w:r>
        <w:rPr>
          <w:lang w:val="fr-CH"/>
        </w:rPr>
        <w:t xml:space="preserve"> </w:t>
      </w:r>
      <w:r w:rsidRPr="003F4DB0">
        <w:rPr>
          <w:lang w:val="fr-CH"/>
        </w:rPr>
        <w:t xml:space="preserve">: Agrarpedologische Analyse der Fruchtfolgeflächen. </w:t>
      </w:r>
      <w:r>
        <w:rPr>
          <w:lang w:val="fr-CH"/>
        </w:rPr>
        <w:t>Sur mandat de l’Office fédéral du développement territorial</w:t>
      </w:r>
      <w:r w:rsidRPr="003F4DB0">
        <w:rPr>
          <w:lang w:val="fr-CH"/>
        </w:rPr>
        <w:t>.</w:t>
      </w:r>
    </w:p>
  </w:footnote>
  <w:footnote w:id="5">
    <w:p w14:paraId="4A22939F" w14:textId="7594C72D" w:rsidR="00DA731C" w:rsidRPr="001A4276" w:rsidRDefault="00DA731C" w:rsidP="002F73BB">
      <w:pPr>
        <w:pStyle w:val="KeinLeerraum"/>
        <w:ind w:left="142" w:hanging="142"/>
        <w:rPr>
          <w:lang w:val="fr-CH"/>
        </w:rPr>
      </w:pPr>
      <w:r>
        <w:rPr>
          <w:rStyle w:val="Funotenzeichen"/>
        </w:rPr>
        <w:footnoteRef/>
      </w:r>
      <w:r w:rsidRPr="00501D1D">
        <w:rPr>
          <w:lang w:val="fr-CH"/>
        </w:rPr>
        <w:t xml:space="preserve"> </w:t>
      </w:r>
      <w:r w:rsidRPr="001A4276">
        <w:rPr>
          <w:lang w:val="fr-CH"/>
        </w:rPr>
        <w:t>Office fédéral de l’aménagement du territoire, OFAT (1986) : Relevé et garantie des surfaces d’assolement (articles 11 à 16 de l’ordonnance du 26 mars 1986 sur l’aménagement du territoire. Rapport explicatif de l’Office fédéral de l’aménagement du territoire, Berne.</w:t>
      </w:r>
    </w:p>
  </w:footnote>
  <w:footnote w:id="6">
    <w:p w14:paraId="7713B858" w14:textId="3A5C858E" w:rsidR="00DA731C" w:rsidRPr="00501D1D" w:rsidRDefault="00DA731C" w:rsidP="002F73BB">
      <w:pPr>
        <w:pStyle w:val="KeinLeerraum"/>
        <w:ind w:left="142" w:hanging="142"/>
        <w:rPr>
          <w:lang w:val="fr-CH"/>
        </w:rPr>
      </w:pPr>
      <w:r>
        <w:rPr>
          <w:rStyle w:val="Funotenzeichen"/>
        </w:rPr>
        <w:footnoteRef/>
      </w:r>
      <w:r w:rsidRPr="00501D1D">
        <w:rPr>
          <w:lang w:val="fr-CH"/>
        </w:rPr>
        <w:t xml:space="preserve"> </w:t>
      </w:r>
      <w:r>
        <w:rPr>
          <w:lang w:val="fr-CH"/>
        </w:rPr>
        <w:tab/>
      </w:r>
      <w:r w:rsidRPr="00591374">
        <w:rPr>
          <w:lang w:val="fr-CH"/>
        </w:rPr>
        <w:t>Office fédéral de l’aménagement du territoire/Office fédéral de l’agriculture (1983) : Aménagement du territoire et agriculture – Aide à la mise en œuvre, Berne.</w:t>
      </w:r>
    </w:p>
  </w:footnote>
  <w:footnote w:id="7">
    <w:p w14:paraId="2EF7777B" w14:textId="3F86B2A0" w:rsidR="00DA731C" w:rsidRPr="00501D1D" w:rsidRDefault="00DA731C" w:rsidP="00CD521F">
      <w:pPr>
        <w:pStyle w:val="KeinLeerraum"/>
        <w:ind w:left="142" w:hanging="142"/>
        <w:rPr>
          <w:lang w:val="fr-CH"/>
        </w:rPr>
      </w:pPr>
      <w:r>
        <w:rPr>
          <w:rStyle w:val="Funotenzeichen"/>
        </w:rPr>
        <w:footnoteRef/>
      </w:r>
      <w:r>
        <w:t xml:space="preserve"> </w:t>
      </w:r>
      <w:r>
        <w:tab/>
      </w:r>
      <w:r w:rsidRPr="00591374">
        <w:t>myx GmbH, 2016: Agrarpedologische Analyse der Fruchtfolgeflächen. Sur mandat de l’Office fédéral du développement territorial.</w:t>
      </w:r>
    </w:p>
  </w:footnote>
  <w:footnote w:id="8">
    <w:p w14:paraId="5ED09E32" w14:textId="1FFB659B" w:rsidR="00DA731C" w:rsidRPr="00501D1D" w:rsidRDefault="00DA731C" w:rsidP="00591374">
      <w:pPr>
        <w:pStyle w:val="KeinLeerraum"/>
        <w:ind w:left="142" w:hanging="142"/>
        <w:rPr>
          <w:lang w:val="fr-CH"/>
        </w:rPr>
      </w:pPr>
      <w:r>
        <w:rPr>
          <w:rStyle w:val="Funotenzeichen"/>
        </w:rPr>
        <w:footnoteRef/>
      </w:r>
      <w:r w:rsidRPr="00591374">
        <w:rPr>
          <w:lang w:val="fr-CH"/>
        </w:rPr>
        <w:t xml:space="preserve"> </w:t>
      </w:r>
      <w:r w:rsidRPr="00591374">
        <w:rPr>
          <w:lang w:val="fr-CH"/>
        </w:rPr>
        <w:tab/>
      </w:r>
      <w:r w:rsidRPr="00591374">
        <w:t xml:space="preserve">Cette problématique se pose par exemple pour les sols à proximité des infrastructures de transport. La diffusion de polluants dans les sols leur a fait perdre leur qualité SDA. Par conséquent, il faudrait à l’avenir accorder une attention particulière au respect des prescriptions sur les charges en polluants dans les critères de qualité des SDA lors de la délimitation de SDA ou de la correction des inventaires SDA à proximité d’infrastructures de transport. En fonction de la concentration existante ou à prévoir, il conviendra de respecter une certaine distance aux infrastructures de transport. </w:t>
      </w:r>
    </w:p>
  </w:footnote>
  <w:footnote w:id="9">
    <w:p w14:paraId="66AF640D" w14:textId="44D3462E" w:rsidR="00DA731C" w:rsidRPr="00B42A9C" w:rsidRDefault="00DA731C" w:rsidP="00CD521F">
      <w:pPr>
        <w:pStyle w:val="KeinLeerraum"/>
        <w:ind w:left="142" w:hanging="142"/>
        <w:rPr>
          <w:lang w:val="fr-CH"/>
        </w:rPr>
      </w:pPr>
      <w:r>
        <w:rPr>
          <w:rStyle w:val="Funotenzeichen"/>
        </w:rPr>
        <w:footnoteRef/>
      </w:r>
      <w:r w:rsidRPr="00501D1D">
        <w:rPr>
          <w:lang w:val="fr-CH"/>
        </w:rPr>
        <w:t xml:space="preserve"> </w:t>
      </w:r>
      <w:r>
        <w:rPr>
          <w:lang w:val="fr-CH"/>
        </w:rPr>
        <w:tab/>
      </w:r>
      <w:r w:rsidRPr="00591374">
        <w:rPr>
          <w:lang w:val="fr-CH"/>
        </w:rPr>
        <w:t>PNR 68, Office fédéral de l’environnement OFEV, Office fédéral de l’agriculture OFAG, Office fédéral du développement territorial ARE (édit.), 2015 : Richesses du sol, brochure pour l’Année internationale du sol 2015.</w:t>
      </w:r>
    </w:p>
  </w:footnote>
  <w:footnote w:id="10">
    <w:p w14:paraId="719E33AA" w14:textId="2170C03E" w:rsidR="00DA731C" w:rsidRPr="00501D1D" w:rsidRDefault="00DA731C" w:rsidP="00885A14">
      <w:pPr>
        <w:pStyle w:val="KeinLeerraum"/>
        <w:rPr>
          <w:lang w:val="fr-CH"/>
        </w:rPr>
      </w:pPr>
      <w:r>
        <w:rPr>
          <w:rStyle w:val="Funotenzeichen"/>
        </w:rPr>
        <w:footnoteRef/>
      </w:r>
      <w:r w:rsidRPr="00501D1D">
        <w:rPr>
          <w:lang w:val="fr-CH"/>
        </w:rPr>
        <w:t xml:space="preserve"> </w:t>
      </w:r>
      <w:r w:rsidRPr="00501D1D">
        <w:rPr>
          <w:lang w:val="fr-CH"/>
        </w:rPr>
        <w:tab/>
      </w:r>
      <w:r>
        <w:rPr>
          <w:lang w:val="fr-CH"/>
        </w:rPr>
        <w:t>Office fédéral du développement territorial</w:t>
      </w:r>
      <w:r w:rsidRPr="000B697C">
        <w:rPr>
          <w:lang w:val="fr-CH"/>
        </w:rPr>
        <w:t xml:space="preserve"> ARE </w:t>
      </w:r>
      <w:r>
        <w:rPr>
          <w:lang w:val="fr-CH"/>
        </w:rPr>
        <w:t>(</w:t>
      </w:r>
      <w:r w:rsidRPr="000B697C">
        <w:rPr>
          <w:lang w:val="fr-CH"/>
        </w:rPr>
        <w:t>2003</w:t>
      </w:r>
      <w:r>
        <w:rPr>
          <w:lang w:val="fr-CH"/>
        </w:rPr>
        <w:t xml:space="preserve">) </w:t>
      </w:r>
      <w:r w:rsidRPr="000B697C">
        <w:rPr>
          <w:lang w:val="fr-CH"/>
        </w:rPr>
        <w:t xml:space="preserve">: </w:t>
      </w:r>
      <w:r>
        <w:rPr>
          <w:lang w:val="fr-CH"/>
        </w:rPr>
        <w:t xml:space="preserve">Dix ans de plan sectoriel des surfaces d’assolement </w:t>
      </w:r>
      <w:r w:rsidRPr="000B697C">
        <w:rPr>
          <w:lang w:val="fr-CH"/>
        </w:rPr>
        <w:t>(</w:t>
      </w:r>
      <w:r>
        <w:rPr>
          <w:lang w:val="fr-CH"/>
        </w:rPr>
        <w:t>SDA</w:t>
      </w:r>
      <w:r w:rsidRPr="000B697C">
        <w:rPr>
          <w:lang w:val="fr-CH"/>
        </w:rPr>
        <w:t xml:space="preserve">) </w:t>
      </w:r>
      <w:r>
        <w:rPr>
          <w:lang w:val="fr-CH"/>
        </w:rPr>
        <w:t>–</w:t>
      </w:r>
      <w:r w:rsidRPr="000B697C">
        <w:rPr>
          <w:lang w:val="fr-CH"/>
        </w:rPr>
        <w:t xml:space="preserve"> E</w:t>
      </w:r>
      <w:r>
        <w:rPr>
          <w:lang w:val="fr-CH"/>
        </w:rPr>
        <w:t>xpériences des cantons</w:t>
      </w:r>
      <w:r w:rsidRPr="000B697C">
        <w:rPr>
          <w:lang w:val="fr-CH"/>
        </w:rPr>
        <w:t>,</w:t>
      </w:r>
      <w:r>
        <w:rPr>
          <w:lang w:val="fr-CH"/>
        </w:rPr>
        <w:t xml:space="preserve"> attentes envers la Confédération</w:t>
      </w:r>
      <w:r w:rsidRPr="00501D1D">
        <w:rPr>
          <w:lang w:val="fr-CH"/>
        </w:rPr>
        <w:t>.</w:t>
      </w:r>
    </w:p>
    <w:p w14:paraId="5D310501" w14:textId="77777777" w:rsidR="00DA731C" w:rsidRPr="00501D1D" w:rsidRDefault="00DA731C" w:rsidP="00885A14">
      <w:pPr>
        <w:pStyle w:val="Funotentext"/>
        <w:rPr>
          <w:lang w:val="fr-CH"/>
        </w:rPr>
      </w:pPr>
    </w:p>
  </w:footnote>
  <w:footnote w:id="11">
    <w:p w14:paraId="320BEC1C" w14:textId="3FBECD13" w:rsidR="00DA731C" w:rsidRPr="00501D1D" w:rsidRDefault="00DA731C" w:rsidP="003F1EDB">
      <w:pPr>
        <w:pStyle w:val="KeinLeerraum"/>
        <w:jc w:val="both"/>
        <w:rPr>
          <w:lang w:val="fr-CH"/>
        </w:rPr>
      </w:pPr>
      <w:r>
        <w:rPr>
          <w:rStyle w:val="Funotenzeichen"/>
        </w:rPr>
        <w:footnoteRef/>
      </w:r>
      <w:r w:rsidRPr="00501D1D">
        <w:rPr>
          <w:lang w:val="fr-CH"/>
        </w:rPr>
        <w:t xml:space="preserve"> </w:t>
      </w:r>
      <w:r w:rsidRPr="00501D1D">
        <w:rPr>
          <w:lang w:val="fr-CH"/>
        </w:rPr>
        <w:tab/>
        <w:t>Keller A., Franzen J., Knüsel P., Papritz A., Zürrer M. (2018)</w:t>
      </w:r>
      <w:r>
        <w:rPr>
          <w:lang w:val="fr-CH"/>
        </w:rPr>
        <w:t xml:space="preserve"> </w:t>
      </w:r>
      <w:r w:rsidRPr="00501D1D">
        <w:rPr>
          <w:lang w:val="fr-CH"/>
        </w:rPr>
        <w:t xml:space="preserve">: </w:t>
      </w:r>
      <w:r>
        <w:rPr>
          <w:lang w:val="fr-CH"/>
        </w:rPr>
        <w:t>Plateforme d’information des sols suisses</w:t>
      </w:r>
      <w:r w:rsidRPr="00501D1D">
        <w:rPr>
          <w:lang w:val="fr-CH"/>
        </w:rPr>
        <w:t xml:space="preserve"> (</w:t>
      </w:r>
      <w:r>
        <w:rPr>
          <w:lang w:val="fr-CH"/>
        </w:rPr>
        <w:t>PIS</w:t>
      </w:r>
      <w:r w:rsidRPr="00501D1D">
        <w:rPr>
          <w:lang w:val="fr-CH"/>
        </w:rPr>
        <w:t>-CH). Synth</w:t>
      </w:r>
      <w:r>
        <w:rPr>
          <w:lang w:val="fr-CH"/>
        </w:rPr>
        <w:t>è</w:t>
      </w:r>
      <w:r w:rsidRPr="00501D1D">
        <w:rPr>
          <w:lang w:val="fr-CH"/>
        </w:rPr>
        <w:t xml:space="preserve">se </w:t>
      </w:r>
      <w:r>
        <w:rPr>
          <w:lang w:val="fr-CH"/>
        </w:rPr>
        <w:t xml:space="preserve">thématique 4, </w:t>
      </w:r>
      <w:r w:rsidRPr="00501D1D">
        <w:rPr>
          <w:lang w:val="fr-CH"/>
        </w:rPr>
        <w:t xml:space="preserve">TS4 </w:t>
      </w:r>
      <w:r>
        <w:rPr>
          <w:lang w:val="fr-CH"/>
        </w:rPr>
        <w:t>du programme national de recherche</w:t>
      </w:r>
      <w:r w:rsidRPr="00501D1D">
        <w:rPr>
          <w:lang w:val="fr-CH"/>
        </w:rPr>
        <w:t xml:space="preserve"> «</w:t>
      </w:r>
      <w:r>
        <w:rPr>
          <w:lang w:val="fr-CH"/>
        </w:rPr>
        <w:t xml:space="preserve"> Utilisation durable de la ressource sol</w:t>
      </w:r>
      <w:r w:rsidRPr="00501D1D">
        <w:rPr>
          <w:lang w:val="fr-CH"/>
        </w:rPr>
        <w:t xml:space="preserve"> » (</w:t>
      </w:r>
      <w:r>
        <w:rPr>
          <w:lang w:val="fr-CH"/>
        </w:rPr>
        <w:t>PNR</w:t>
      </w:r>
      <w:r w:rsidRPr="00501D1D">
        <w:rPr>
          <w:lang w:val="fr-CH"/>
        </w:rPr>
        <w:t xml:space="preserve"> 68), Bern</w:t>
      </w:r>
      <w:r>
        <w:rPr>
          <w:lang w:val="fr-CH"/>
        </w:rPr>
        <w:t>e</w:t>
      </w:r>
      <w:r w:rsidRPr="00501D1D">
        <w:rPr>
          <w:lang w:val="fr-CH"/>
        </w:rPr>
        <w:t>.</w:t>
      </w:r>
    </w:p>
  </w:footnote>
  <w:footnote w:id="12">
    <w:p w14:paraId="3D84A31B" w14:textId="7A772D40" w:rsidR="00DA731C" w:rsidRPr="00501D1D" w:rsidRDefault="00DA731C" w:rsidP="003F1EDB">
      <w:pPr>
        <w:pStyle w:val="KeinLeerraum"/>
        <w:rPr>
          <w:lang w:val="fr-CH"/>
        </w:rPr>
      </w:pPr>
      <w:r>
        <w:rPr>
          <w:rStyle w:val="Funotenzeichen"/>
        </w:rPr>
        <w:footnoteRef/>
      </w:r>
      <w:r w:rsidRPr="00501D1D">
        <w:rPr>
          <w:lang w:val="fr-CH"/>
        </w:rPr>
        <w:t xml:space="preserve">  </w:t>
      </w:r>
      <w:r>
        <w:rPr>
          <w:lang w:val="fr-CH"/>
        </w:rPr>
        <w:t xml:space="preserve">Office fédéral pour l’approvisionnement économique du pays, </w:t>
      </w:r>
      <w:r w:rsidRPr="00AA1D8D">
        <w:rPr>
          <w:szCs w:val="18"/>
          <w:lang w:val="fr-CH"/>
        </w:rPr>
        <w:t>OFAE</w:t>
      </w:r>
      <w:r w:rsidRPr="00292868">
        <w:rPr>
          <w:lang w:val="fr-CH"/>
        </w:rPr>
        <w:t xml:space="preserve"> (2017)</w:t>
      </w:r>
      <w:r>
        <w:rPr>
          <w:lang w:val="fr-CH"/>
        </w:rPr>
        <w:t xml:space="preserve"> </w:t>
      </w:r>
      <w:r w:rsidRPr="00292868">
        <w:rPr>
          <w:lang w:val="fr-CH"/>
        </w:rPr>
        <w:t xml:space="preserve">: </w:t>
      </w:r>
      <w:r>
        <w:rPr>
          <w:lang w:val="fr-CH"/>
        </w:rPr>
        <w:t>Rapport sur les risques auxquels est exposé l’approvisionnement du pays</w:t>
      </w:r>
      <w:r w:rsidRPr="00501D1D">
        <w:rPr>
          <w:lang w:val="fr-CH"/>
        </w:rPr>
        <w:t>.</w:t>
      </w:r>
    </w:p>
  </w:footnote>
  <w:footnote w:id="13">
    <w:p w14:paraId="62B00435" w14:textId="58005C7A" w:rsidR="00DA731C" w:rsidRPr="00501D1D" w:rsidRDefault="00DA731C" w:rsidP="003F1EDB">
      <w:pPr>
        <w:pStyle w:val="Funotentext"/>
        <w:ind w:left="227" w:hanging="227"/>
        <w:rPr>
          <w:sz w:val="18"/>
          <w:szCs w:val="18"/>
          <w:lang w:val="fr-CH"/>
        </w:rPr>
      </w:pPr>
      <w:r w:rsidRPr="005500D2">
        <w:rPr>
          <w:rStyle w:val="Funotenzeichen"/>
          <w:sz w:val="18"/>
          <w:szCs w:val="18"/>
        </w:rPr>
        <w:footnoteRef/>
      </w:r>
      <w:r w:rsidRPr="005500D2">
        <w:rPr>
          <w:sz w:val="18"/>
          <w:szCs w:val="18"/>
        </w:rPr>
        <w:t xml:space="preserve"> </w:t>
      </w:r>
      <w:r>
        <w:rPr>
          <w:sz w:val="18"/>
          <w:szCs w:val="18"/>
        </w:rPr>
        <w:tab/>
      </w:r>
      <w:r w:rsidRPr="00EB455E">
        <w:rPr>
          <w:sz w:val="18"/>
          <w:szCs w:val="18"/>
          <w:lang w:val="fr-CH"/>
        </w:rPr>
        <w:t>S</w:t>
      </w:r>
      <w:r w:rsidRPr="00501D1D">
        <w:rPr>
          <w:sz w:val="18"/>
          <w:szCs w:val="18"/>
          <w:lang w:val="fr-CH"/>
        </w:rPr>
        <w:t>urfaces</w:t>
      </w:r>
      <w:r>
        <w:rPr>
          <w:sz w:val="18"/>
          <w:szCs w:val="18"/>
          <w:lang w:val="fr-CH"/>
        </w:rPr>
        <w:t xml:space="preserve"> agricoles = surface agricole utile (SAU) et surfaces d’estivage</w:t>
      </w:r>
    </w:p>
  </w:footnote>
  <w:footnote w:id="14">
    <w:p w14:paraId="7D7B016D" w14:textId="41549A9B" w:rsidR="00DA731C" w:rsidRPr="003F1EDB" w:rsidRDefault="00DA731C" w:rsidP="003F1EDB">
      <w:pPr>
        <w:pStyle w:val="KeinLeerraum"/>
      </w:pPr>
      <w:r>
        <w:rPr>
          <w:rStyle w:val="Funotenzeichen"/>
        </w:rPr>
        <w:footnoteRef/>
      </w:r>
      <w:r>
        <w:rPr>
          <w:lang w:val="fr-CH"/>
        </w:rPr>
        <w:t xml:space="preserve"> </w:t>
      </w:r>
      <w:r w:rsidRPr="003F1EDB">
        <w:t>Office fédéral pour l’approvisionnement économique du pays, OFAE (2017) : Rapport sur les risques auxquels est exposé l’approvisionnement du pays.</w:t>
      </w:r>
    </w:p>
  </w:footnote>
  <w:footnote w:id="15">
    <w:p w14:paraId="21179400" w14:textId="54801B86" w:rsidR="00DA731C" w:rsidRPr="003F1EDB" w:rsidRDefault="00DA731C" w:rsidP="003F1EDB">
      <w:pPr>
        <w:pStyle w:val="KeinLeerraum"/>
      </w:pPr>
      <w:r w:rsidRPr="003F1EDB">
        <w:rPr>
          <w:rStyle w:val="Funotenzeichen"/>
          <w:vertAlign w:val="baseline"/>
        </w:rPr>
        <w:footnoteRef/>
      </w:r>
      <w:r w:rsidRPr="003F1EDB">
        <w:t xml:space="preserve"> Last, L., Buchmann, N., Gilgen, A., Grant, M. &amp; Shreck, A. (2015): Foresight Study: Research for a Sustainable Swiss Food System. EPFZ, juin 2015.</w:t>
      </w:r>
    </w:p>
  </w:footnote>
  <w:footnote w:id="16">
    <w:p w14:paraId="61555027" w14:textId="4F40AF82" w:rsidR="00DA731C" w:rsidRPr="003F1EDB" w:rsidRDefault="00DA731C" w:rsidP="003F1EDB">
      <w:pPr>
        <w:pStyle w:val="KeinLeerraum"/>
      </w:pPr>
      <w:r w:rsidRPr="003F1EDB">
        <w:rPr>
          <w:rStyle w:val="Funotenzeichen"/>
          <w:vertAlign w:val="baseline"/>
        </w:rPr>
        <w:footnoteRef/>
      </w:r>
      <w:r w:rsidRPr="003F1EDB">
        <w:t xml:space="preserve">  Selon les scénarios de l’évolution de la population de la Suisse 2015–2045 de l’OFS (2015), la population suisse devrait passer de 9,5 millions d’habitants en 2030 à 10,2 millions d’habitants en 2045. Les Nations Unies prévoient une population d’environ 9,2 millions d’habitants en 2030 en Suisse, un chiffre légèrement inférieur aux prévisions de l’OFS (Nations Unies, 2015).</w:t>
      </w:r>
    </w:p>
  </w:footnote>
  <w:footnote w:id="17">
    <w:p w14:paraId="20F0D065" w14:textId="00CBEE8D" w:rsidR="00DA731C" w:rsidRPr="003F1EDB" w:rsidRDefault="00DA731C" w:rsidP="003F1EDB">
      <w:pPr>
        <w:pStyle w:val="KeinLeerraum"/>
      </w:pPr>
      <w:r w:rsidRPr="003F1EDB">
        <w:rPr>
          <w:rStyle w:val="Funotenzeichen"/>
          <w:vertAlign w:val="baseline"/>
        </w:rPr>
        <w:footnoteRef/>
      </w:r>
      <w:r w:rsidRPr="003F1EDB">
        <w:t xml:space="preserve"> Conseil fédéral (2015) : Message (15.050) du 24 juin 2015 relatif à l’initiative populaire « Pour la sécurité alimentaire ».</w:t>
      </w:r>
    </w:p>
  </w:footnote>
  <w:footnote w:id="18">
    <w:p w14:paraId="51777F91" w14:textId="47FF0FE3" w:rsidR="00DA731C" w:rsidRPr="003F1EDB" w:rsidRDefault="00DA731C" w:rsidP="003F1EDB">
      <w:pPr>
        <w:pStyle w:val="KeinLeerraum"/>
      </w:pPr>
      <w:r w:rsidRPr="003F1EDB">
        <w:rPr>
          <w:rStyle w:val="Funotenzeichen"/>
          <w:vertAlign w:val="baseline"/>
        </w:rPr>
        <w:footnoteRef/>
      </w:r>
      <w:r w:rsidRPr="003F1EDB">
        <w:t xml:space="preserve"> Last, L., Buchmann, N., Gilgen, A., Grant, M. &amp; Shreck, A. (2015): Foresight Study: Research for a Sustainable Swiss Food System. EPFZ, juin 2015.</w:t>
      </w:r>
    </w:p>
  </w:footnote>
  <w:footnote w:id="19">
    <w:p w14:paraId="7C1AA701" w14:textId="4DBD8549" w:rsidR="00DA731C" w:rsidRPr="00AE602B" w:rsidRDefault="00DA731C" w:rsidP="003F1EDB">
      <w:pPr>
        <w:pStyle w:val="KeinLeerraum"/>
        <w:rPr>
          <w:lang w:val="fr-CH"/>
        </w:rPr>
      </w:pPr>
      <w:r w:rsidRPr="003F1EDB">
        <w:rPr>
          <w:rStyle w:val="Funotenzeichen"/>
          <w:vertAlign w:val="baseline"/>
        </w:rPr>
        <w:footnoteRef/>
      </w:r>
      <w:r w:rsidRPr="003F1EDB">
        <w:t xml:space="preserve"> Office fédéral du développement territorial ARE, 2003 : Dix ans de plan sectoriel des surfaces d’assolement (SDA) – Expériences des cantons, attentes envers la Confédération.</w:t>
      </w:r>
    </w:p>
  </w:footnote>
  <w:footnote w:id="20">
    <w:p w14:paraId="246F44F5" w14:textId="74D81F13" w:rsidR="00DA731C" w:rsidRPr="00501D1D" w:rsidRDefault="00DA731C" w:rsidP="001F09D5">
      <w:pPr>
        <w:pStyle w:val="KeinLeerraum"/>
        <w:ind w:left="142" w:hanging="142"/>
        <w:rPr>
          <w:lang w:val="fr-CH"/>
        </w:rPr>
      </w:pPr>
      <w:r>
        <w:rPr>
          <w:rStyle w:val="Funotenzeichen"/>
        </w:rPr>
        <w:footnoteRef/>
      </w:r>
      <w:r w:rsidRPr="00501D1D">
        <w:rPr>
          <w:lang w:val="fr-CH"/>
        </w:rPr>
        <w:t xml:space="preserve"> </w:t>
      </w:r>
      <w:r>
        <w:rPr>
          <w:lang w:val="fr-CH"/>
        </w:rPr>
        <w:t>Office fédéral de l’aménagement du territoire</w:t>
      </w:r>
      <w:r w:rsidRPr="0094034B">
        <w:rPr>
          <w:lang w:val="fr-CH"/>
        </w:rPr>
        <w:t xml:space="preserve">, </w:t>
      </w:r>
      <w:r>
        <w:rPr>
          <w:lang w:val="fr-CH"/>
        </w:rPr>
        <w:t>Office fédéral de l’agriculture</w:t>
      </w:r>
      <w:r w:rsidRPr="0094034B">
        <w:rPr>
          <w:lang w:val="fr-CH"/>
        </w:rPr>
        <w:t xml:space="preserve">, </w:t>
      </w:r>
      <w:r>
        <w:rPr>
          <w:lang w:val="fr-CH"/>
        </w:rPr>
        <w:t>OFAT</w:t>
      </w:r>
      <w:r w:rsidRPr="0094034B">
        <w:rPr>
          <w:lang w:val="fr-CH"/>
        </w:rPr>
        <w:t>/</w:t>
      </w:r>
      <w:r>
        <w:rPr>
          <w:lang w:val="fr-CH"/>
        </w:rPr>
        <w:t>OFAG</w:t>
      </w:r>
      <w:r w:rsidRPr="0094034B">
        <w:rPr>
          <w:lang w:val="fr-CH"/>
        </w:rPr>
        <w:t xml:space="preserve"> (1992)</w:t>
      </w:r>
      <w:r>
        <w:rPr>
          <w:lang w:val="fr-CH"/>
        </w:rPr>
        <w:t xml:space="preserve"> </w:t>
      </w:r>
      <w:r w:rsidRPr="0094034B">
        <w:rPr>
          <w:lang w:val="fr-CH"/>
        </w:rPr>
        <w:t xml:space="preserve">: </w:t>
      </w:r>
      <w:r>
        <w:rPr>
          <w:lang w:val="fr-CH"/>
        </w:rPr>
        <w:t>P</w:t>
      </w:r>
      <w:r w:rsidRPr="0094034B">
        <w:rPr>
          <w:lang w:val="fr-CH"/>
        </w:rPr>
        <w:t xml:space="preserve">lan </w:t>
      </w:r>
      <w:r>
        <w:rPr>
          <w:lang w:val="fr-CH"/>
        </w:rPr>
        <w:t>sectoriel des surfaces d’assolement (SDA). Surface totale minimale d’assolement et sa répartition entre les can</w:t>
      </w:r>
      <w:r w:rsidRPr="0094034B">
        <w:rPr>
          <w:lang w:val="fr-CH"/>
        </w:rPr>
        <w:t>ton</w:t>
      </w:r>
      <w:r>
        <w:rPr>
          <w:lang w:val="fr-CH"/>
        </w:rPr>
        <w:t>s,</w:t>
      </w:r>
      <w:r w:rsidRPr="0094034B">
        <w:rPr>
          <w:lang w:val="fr-CH"/>
        </w:rPr>
        <w:t xml:space="preserve"> Bern</w:t>
      </w:r>
      <w:r>
        <w:rPr>
          <w:lang w:val="fr-CH"/>
        </w:rPr>
        <w:t>e</w:t>
      </w:r>
      <w:r w:rsidRPr="0094034B">
        <w:rPr>
          <w:lang w:val="fr-CH"/>
        </w:rPr>
        <w:t>.</w:t>
      </w:r>
    </w:p>
  </w:footnote>
  <w:footnote w:id="21">
    <w:p w14:paraId="339F2E1D" w14:textId="6239DCE2" w:rsidR="00DA731C" w:rsidRPr="00501D1D" w:rsidRDefault="00DA731C" w:rsidP="00BF1F67">
      <w:pPr>
        <w:pStyle w:val="KeinLeerraum"/>
        <w:rPr>
          <w:lang w:val="fr-CH"/>
        </w:rPr>
      </w:pPr>
      <w:r w:rsidRPr="002E3E2B">
        <w:rPr>
          <w:rStyle w:val="Funotenzeichen"/>
          <w:szCs w:val="18"/>
        </w:rPr>
        <w:footnoteRef/>
      </w:r>
      <w:r w:rsidRPr="00501D1D">
        <w:rPr>
          <w:lang w:val="fr-CH"/>
        </w:rPr>
        <w:t xml:space="preserve">  </w:t>
      </w:r>
      <w:r w:rsidRPr="00D84FC2">
        <w:rPr>
          <w:lang w:val="fr-CH"/>
        </w:rPr>
        <w:t>Rieder S., Landis F., Lienhard A., Schwenkel C., Dolder O. (2014)</w:t>
      </w:r>
      <w:r>
        <w:rPr>
          <w:lang w:val="fr-CH"/>
        </w:rPr>
        <w:t xml:space="preserve"> </w:t>
      </w:r>
      <w:r w:rsidRPr="00D84FC2">
        <w:rPr>
          <w:lang w:val="fr-CH"/>
        </w:rPr>
        <w:t xml:space="preserve">: Stärkung des Vollzugs im Umweltbereich – </w:t>
      </w:r>
      <w:r>
        <w:rPr>
          <w:lang w:val="fr-CH"/>
        </w:rPr>
        <w:t xml:space="preserve">Rapport final sur mandat de l’Office fédéral de l’environnement </w:t>
      </w:r>
      <w:r w:rsidRPr="00D84FC2">
        <w:rPr>
          <w:lang w:val="fr-CH"/>
        </w:rPr>
        <w:t>(</w:t>
      </w:r>
      <w:r>
        <w:rPr>
          <w:lang w:val="fr-CH"/>
        </w:rPr>
        <w:t>OFEV</w:t>
      </w:r>
      <w:r w:rsidRPr="00D84FC2">
        <w:rPr>
          <w:lang w:val="fr-CH"/>
        </w:rPr>
        <w:t xml:space="preserve">). Interface/Kompetenzzentrum für Public Management </w:t>
      </w:r>
      <w:r>
        <w:rPr>
          <w:lang w:val="fr-CH"/>
        </w:rPr>
        <w:t>de l’Université de Berne</w:t>
      </w:r>
      <w:r w:rsidRPr="00D84FC2">
        <w:rPr>
          <w:lang w:val="fr-CH"/>
        </w:rPr>
        <w:t>, Lu</w:t>
      </w:r>
      <w:r>
        <w:rPr>
          <w:lang w:val="fr-CH"/>
        </w:rPr>
        <w:t>cerne</w:t>
      </w:r>
      <w:r w:rsidRPr="00D84FC2">
        <w:rPr>
          <w:lang w:val="fr-CH"/>
        </w:rPr>
        <w:t>.</w:t>
      </w:r>
    </w:p>
  </w:footnote>
  <w:footnote w:id="22">
    <w:p w14:paraId="6353E7C4" w14:textId="306D198C" w:rsidR="00DA731C" w:rsidRPr="00E71F4F" w:rsidRDefault="00DA731C" w:rsidP="00F271DB">
      <w:pPr>
        <w:pStyle w:val="KeinLeerraum"/>
        <w:rPr>
          <w:lang w:val="fr-CH"/>
        </w:rPr>
      </w:pPr>
      <w:r>
        <w:rPr>
          <w:rStyle w:val="Funotenzeichen"/>
        </w:rPr>
        <w:footnoteRef/>
      </w:r>
      <w:r w:rsidRPr="00501D1D">
        <w:rPr>
          <w:lang w:val="fr-CH"/>
        </w:rPr>
        <w:t xml:space="preserve"> </w:t>
      </w:r>
      <w:r>
        <w:rPr>
          <w:lang w:val="fr-CH"/>
        </w:rPr>
        <w:t>Station fédérale de recherches en agroécologie et agriculture</w:t>
      </w:r>
      <w:r w:rsidRPr="00E71F4F">
        <w:rPr>
          <w:lang w:val="fr-CH"/>
        </w:rPr>
        <w:t xml:space="preserve"> (1997)</w:t>
      </w:r>
      <w:r>
        <w:rPr>
          <w:lang w:val="fr-CH"/>
        </w:rPr>
        <w:t xml:space="preserve"> </w:t>
      </w:r>
      <w:r w:rsidRPr="00E71F4F">
        <w:rPr>
          <w:lang w:val="fr-CH"/>
        </w:rPr>
        <w:t xml:space="preserve">: Kartieren und Beurteilen von Landwirtschaftsböden. </w:t>
      </w:r>
      <w:r>
        <w:rPr>
          <w:lang w:val="fr-CH"/>
        </w:rPr>
        <w:t>Cahier n</w:t>
      </w:r>
      <w:r w:rsidRPr="00E63C18">
        <w:rPr>
          <w:vertAlign w:val="superscript"/>
          <w:lang w:val="fr-CH"/>
        </w:rPr>
        <w:t>o</w:t>
      </w:r>
      <w:r w:rsidRPr="00E71F4F">
        <w:rPr>
          <w:lang w:val="fr-CH"/>
        </w:rPr>
        <w:t xml:space="preserve"> 24. Zurich-Reckenholz.</w:t>
      </w:r>
    </w:p>
  </w:footnote>
  <w:footnote w:id="23">
    <w:p w14:paraId="24EF2D90" w14:textId="76168AAE" w:rsidR="00DA731C" w:rsidRPr="003F1EDB" w:rsidRDefault="00DA731C" w:rsidP="00F271DB">
      <w:pPr>
        <w:pStyle w:val="KeinLeerraum"/>
      </w:pPr>
      <w:r>
        <w:rPr>
          <w:rStyle w:val="Funotenzeichen"/>
        </w:rPr>
        <w:footnoteRef/>
      </w:r>
      <w:r w:rsidRPr="00501D1D">
        <w:rPr>
          <w:lang w:val="fr-CH"/>
        </w:rPr>
        <w:t xml:space="preserve"> </w:t>
      </w:r>
      <w:r>
        <w:rPr>
          <w:lang w:val="fr-CH"/>
        </w:rPr>
        <w:t>Office de l’environnement du canton de Soleure</w:t>
      </w:r>
      <w:r w:rsidRPr="00E63C18">
        <w:rPr>
          <w:lang w:val="fr-CH"/>
        </w:rPr>
        <w:t xml:space="preserve"> (2017)</w:t>
      </w:r>
      <w:r>
        <w:rPr>
          <w:lang w:val="fr-CH"/>
        </w:rPr>
        <w:t xml:space="preserve"> </w:t>
      </w:r>
      <w:r w:rsidRPr="00E63C18">
        <w:rPr>
          <w:lang w:val="fr-CH"/>
        </w:rPr>
        <w:t xml:space="preserve">: Bodenkartierung Kanton Solothurn. </w:t>
      </w:r>
      <w:r w:rsidRPr="00501D1D">
        <w:t xml:space="preserve">Projekthandbuch. Kartiermethodik Teil III. Méthode de cartographie FAL 24+. </w:t>
      </w:r>
      <w:r w:rsidRPr="003F1EDB">
        <w:t>Soleure.</w:t>
      </w:r>
    </w:p>
  </w:footnote>
  <w:footnote w:id="24">
    <w:p w14:paraId="05414C48" w14:textId="16B84F21" w:rsidR="00DA731C" w:rsidRPr="00501D1D" w:rsidRDefault="00DA731C" w:rsidP="799D40CD">
      <w:pPr>
        <w:pStyle w:val="KeinLeerraum"/>
        <w:spacing w:after="0" w:line="240" w:lineRule="auto"/>
        <w:rPr>
          <w:szCs w:val="18"/>
          <w:lang w:val="fr-CH"/>
        </w:rPr>
      </w:pPr>
      <w:r w:rsidRPr="79AF7FA9">
        <w:rPr>
          <w:rStyle w:val="footnotemark"/>
          <w:rFonts w:eastAsia="Calibri"/>
        </w:rPr>
        <w:footnoteRef/>
      </w:r>
      <w:r w:rsidRPr="00D652F3">
        <w:t xml:space="preserve"> myx GmbH (2016): Agrarpedologische Analyse der Fruchtfolgeflächen. </w:t>
      </w:r>
      <w:r w:rsidRPr="00501D1D">
        <w:rPr>
          <w:lang w:val="fr-CH"/>
        </w:rPr>
        <w:t>Zurich.</w:t>
      </w:r>
    </w:p>
  </w:footnote>
  <w:footnote w:id="25">
    <w:p w14:paraId="667CE477" w14:textId="522D37F0" w:rsidR="00DA731C" w:rsidRPr="00501D1D" w:rsidRDefault="00DA731C" w:rsidP="00EC56B6">
      <w:pPr>
        <w:pStyle w:val="KeinLeerraum"/>
        <w:rPr>
          <w:lang w:val="fr-CH"/>
        </w:rPr>
      </w:pPr>
      <w:r>
        <w:rPr>
          <w:rStyle w:val="Funotenzeichen"/>
        </w:rPr>
        <w:footnoteRef/>
      </w:r>
      <w:r w:rsidRPr="00501D1D">
        <w:rPr>
          <w:lang w:val="fr-CH"/>
        </w:rPr>
        <w:t xml:space="preserve"> </w:t>
      </w:r>
      <w:r>
        <w:rPr>
          <w:lang w:val="fr-CH"/>
        </w:rPr>
        <w:t>Offices fédéraux du développement territorial et de l’agriculture ARE/OFAG (1977) : c</w:t>
      </w:r>
      <w:r w:rsidRPr="00C317B5">
        <w:rPr>
          <w:lang w:val="fr-CH"/>
        </w:rPr>
        <w:t xml:space="preserve">arte </w:t>
      </w:r>
      <w:r>
        <w:rPr>
          <w:lang w:val="fr-CH"/>
        </w:rPr>
        <w:t>des aptitudes climatiques pour l’agriculture</w:t>
      </w:r>
      <w:r w:rsidRPr="00C317B5">
        <w:rPr>
          <w:lang w:val="fr-CH"/>
        </w:rPr>
        <w:t xml:space="preserve"> 1:200'000, </w:t>
      </w:r>
      <w:r>
        <w:rPr>
          <w:lang w:val="fr-CH"/>
        </w:rPr>
        <w:t>à consulter sous :</w:t>
      </w:r>
      <w:r w:rsidRPr="00C317B5">
        <w:rPr>
          <w:lang w:val="fr-CH"/>
        </w:rPr>
        <w:t xml:space="preserve"> map.geo.admin.ch; G</w:t>
      </w:r>
      <w:r>
        <w:rPr>
          <w:lang w:val="fr-CH"/>
        </w:rPr>
        <w:t>é</w:t>
      </w:r>
      <w:r w:rsidRPr="00C317B5">
        <w:rPr>
          <w:lang w:val="fr-CH"/>
        </w:rPr>
        <w:t>o</w:t>
      </w:r>
      <w:r>
        <w:rPr>
          <w:lang w:val="fr-CH"/>
        </w:rPr>
        <w:t>c</w:t>
      </w:r>
      <w:r w:rsidRPr="00C317B5">
        <w:rPr>
          <w:lang w:val="fr-CH"/>
        </w:rPr>
        <w:t>atalog</w:t>
      </w:r>
      <w:r>
        <w:rPr>
          <w:lang w:val="fr-CH"/>
        </w:rPr>
        <w:t>ue</w:t>
      </w:r>
      <w:r w:rsidRPr="00C317B5">
        <w:rPr>
          <w:lang w:val="fr-CH"/>
        </w:rPr>
        <w:t xml:space="preserve"> / Natur</w:t>
      </w:r>
      <w:r>
        <w:rPr>
          <w:lang w:val="fr-CH"/>
        </w:rPr>
        <w:t>e et environnement</w:t>
      </w:r>
      <w:r w:rsidRPr="00C317B5">
        <w:rPr>
          <w:lang w:val="fr-CH"/>
        </w:rPr>
        <w:t xml:space="preserve">/ </w:t>
      </w:r>
      <w:r>
        <w:rPr>
          <w:lang w:val="fr-CH"/>
        </w:rPr>
        <w:t>Climat - vue d’ensemble (état des données de 2008)</w:t>
      </w:r>
      <w:r w:rsidRPr="00C317B5">
        <w:rPr>
          <w:lang w:val="fr-CH"/>
        </w:rPr>
        <w:t>.</w:t>
      </w:r>
    </w:p>
  </w:footnote>
  <w:footnote w:id="26">
    <w:p w14:paraId="77E72055" w14:textId="3001562B" w:rsidR="00DA731C" w:rsidRPr="00501D1D" w:rsidRDefault="00DA731C" w:rsidP="00710601">
      <w:pPr>
        <w:pStyle w:val="KeinLeerraum"/>
        <w:rPr>
          <w:lang w:val="fr-CH"/>
        </w:rPr>
      </w:pPr>
      <w:r>
        <w:rPr>
          <w:rStyle w:val="Funotenzeichen"/>
        </w:rPr>
        <w:footnoteRef/>
      </w:r>
      <w:r w:rsidRPr="00501D1D">
        <w:rPr>
          <w:lang w:val="fr-CH"/>
        </w:rPr>
        <w:t xml:space="preserve"> </w:t>
      </w:r>
      <w:r>
        <w:rPr>
          <w:lang w:val="fr-CH"/>
        </w:rPr>
        <w:t>Office fédéral de l’environnement</w:t>
      </w:r>
      <w:r w:rsidRPr="00BA55C8">
        <w:rPr>
          <w:lang w:val="fr-CH"/>
        </w:rPr>
        <w:t xml:space="preserve"> </w:t>
      </w:r>
      <w:r>
        <w:rPr>
          <w:lang w:val="fr-CH"/>
        </w:rPr>
        <w:t xml:space="preserve">OFEV </w:t>
      </w:r>
      <w:r w:rsidRPr="00BA55C8">
        <w:rPr>
          <w:lang w:val="fr-CH"/>
        </w:rPr>
        <w:t>(2003)</w:t>
      </w:r>
      <w:r>
        <w:rPr>
          <w:lang w:val="fr-CH"/>
        </w:rPr>
        <w:t xml:space="preserve"> </w:t>
      </w:r>
      <w:r w:rsidRPr="00BA55C8">
        <w:rPr>
          <w:lang w:val="fr-CH"/>
        </w:rPr>
        <w:t xml:space="preserve">: </w:t>
      </w:r>
      <w:r>
        <w:rPr>
          <w:lang w:val="fr-CH"/>
        </w:rPr>
        <w:t>Manuel de prélèvement et préparation d’échantillons de sols pour l’analyse de substances polluantes dans les sols</w:t>
      </w:r>
      <w:r w:rsidRPr="00501D1D">
        <w:rPr>
          <w:lang w:val="fr-CH"/>
        </w:rPr>
        <w:t>.</w:t>
      </w:r>
    </w:p>
  </w:footnote>
  <w:footnote w:id="27">
    <w:p w14:paraId="434AB1D7" w14:textId="7695933E" w:rsidR="00DA731C" w:rsidRPr="00501D1D" w:rsidRDefault="00DA731C" w:rsidP="00D66F23">
      <w:pPr>
        <w:pStyle w:val="KeinLeerraum"/>
      </w:pPr>
      <w:r>
        <w:rPr>
          <w:rStyle w:val="Funotenzeichen"/>
        </w:rPr>
        <w:footnoteRef/>
      </w:r>
      <w:r>
        <w:t xml:space="preserve">  </w:t>
      </w:r>
      <w:r w:rsidRPr="00501D1D">
        <w:t>Canton de Zurich : Zielflächen für Aufwertung und Richtlinien für Bodenrekultivierungen ; canton de Lucerne : Bodenaufwertung als Teil des Prozesses bei Einzonungen, Arbeitshilfe Kompensationsprojekte für Fruchtfolgeflächen ; canton de Glaris : Konzept zur Bodenaufwertung und Rekultivierung ; canton d’Uri, Bodenaufwertung durch Bauaushub von eingezonten FFF.</w:t>
      </w:r>
    </w:p>
  </w:footnote>
  <w:footnote w:id="28">
    <w:p w14:paraId="5D8E83BC" w14:textId="2F53BE98" w:rsidR="00DA731C" w:rsidRPr="00501D1D" w:rsidRDefault="00DA731C" w:rsidP="00C27110">
      <w:pPr>
        <w:pStyle w:val="KeinLeerraum"/>
        <w:ind w:left="284" w:hanging="284"/>
        <w:rPr>
          <w:lang w:val="fr-CH"/>
        </w:rPr>
      </w:pPr>
      <w:r>
        <w:rPr>
          <w:rStyle w:val="Funotenzeichen"/>
        </w:rPr>
        <w:footnoteRef/>
      </w:r>
      <w:r w:rsidRPr="00501D1D">
        <w:rPr>
          <w:vertAlign w:val="superscript"/>
          <w:lang w:val="fr-CH"/>
        </w:rPr>
        <w:t xml:space="preserve">    </w:t>
      </w:r>
      <w:r w:rsidRPr="00531267">
        <w:rPr>
          <w:lang w:val="fr-CH"/>
        </w:rPr>
        <w:t>OFEV (édit.) Bellini E. 2015</w:t>
      </w:r>
      <w:r>
        <w:rPr>
          <w:lang w:val="fr-CH"/>
        </w:rPr>
        <w:t xml:space="preserve"> </w:t>
      </w:r>
      <w:r w:rsidRPr="00531267">
        <w:rPr>
          <w:lang w:val="fr-CH"/>
        </w:rPr>
        <w:t xml:space="preserve">: Sols et constructions. État de la technique et des pratiques. </w:t>
      </w:r>
      <w:r>
        <w:rPr>
          <w:lang w:val="fr-CH"/>
        </w:rPr>
        <w:t xml:space="preserve">Office fédéral de l’environnement, </w:t>
      </w:r>
      <w:r w:rsidRPr="00531267">
        <w:rPr>
          <w:lang w:val="fr-CH"/>
        </w:rPr>
        <w:t>Bern</w:t>
      </w:r>
      <w:r>
        <w:rPr>
          <w:lang w:val="fr-CH"/>
        </w:rPr>
        <w:t>e</w:t>
      </w:r>
      <w:r w:rsidRPr="00531267">
        <w:rPr>
          <w:lang w:val="fr-CH"/>
        </w:rPr>
        <w:t xml:space="preserve">. </w:t>
      </w:r>
      <w:r>
        <w:rPr>
          <w:lang w:val="fr-CH"/>
        </w:rPr>
        <w:t>Connaissance de l’environnement,</w:t>
      </w:r>
      <w:r w:rsidRPr="00531267">
        <w:rPr>
          <w:lang w:val="fr-CH"/>
        </w:rPr>
        <w:t xml:space="preserve"> </w:t>
      </w:r>
      <w:r>
        <w:rPr>
          <w:lang w:val="fr-CH"/>
        </w:rPr>
        <w:t>n</w:t>
      </w:r>
      <w:r w:rsidRPr="00531267">
        <w:rPr>
          <w:vertAlign w:val="superscript"/>
          <w:lang w:val="fr-CH"/>
        </w:rPr>
        <w:t xml:space="preserve">o </w:t>
      </w:r>
      <w:r w:rsidRPr="00531267">
        <w:rPr>
          <w:lang w:val="fr-CH"/>
        </w:rPr>
        <w:t>1508</w:t>
      </w:r>
      <w:r>
        <w:rPr>
          <w:lang w:val="fr-CH"/>
        </w:rPr>
        <w:t xml:space="preserve"> </w:t>
      </w:r>
      <w:r w:rsidRPr="00531267">
        <w:rPr>
          <w:lang w:val="fr-CH"/>
        </w:rPr>
        <w:t xml:space="preserve">: </w:t>
      </w:r>
      <w:r>
        <w:rPr>
          <w:lang w:val="fr-CH"/>
        </w:rPr>
        <w:t>113</w:t>
      </w:r>
      <w:r w:rsidRPr="00531267">
        <w:rPr>
          <w:lang w:val="fr-CH"/>
        </w:rPr>
        <w:t xml:space="preserve"> </w:t>
      </w:r>
      <w:r>
        <w:rPr>
          <w:lang w:val="fr-CH"/>
        </w:rPr>
        <w:t>p</w:t>
      </w:r>
      <w:r w:rsidRPr="00531267">
        <w:rPr>
          <w:lang w:val="fr-CH"/>
        </w:rPr>
        <w:t xml:space="preserve">./ </w:t>
      </w:r>
      <w:r>
        <w:rPr>
          <w:lang w:val="fr-CH"/>
        </w:rPr>
        <w:t>Office fédéral de l’environnement, des forêts et du paysage OFEFP</w:t>
      </w:r>
      <w:r w:rsidRPr="00531267">
        <w:rPr>
          <w:lang w:val="fr-CH"/>
        </w:rPr>
        <w:t xml:space="preserve"> (2001)</w:t>
      </w:r>
      <w:r>
        <w:rPr>
          <w:lang w:val="fr-CH"/>
        </w:rPr>
        <w:t xml:space="preserve"> </w:t>
      </w:r>
      <w:r w:rsidRPr="00531267">
        <w:rPr>
          <w:lang w:val="fr-CH"/>
        </w:rPr>
        <w:t xml:space="preserve">: </w:t>
      </w:r>
      <w:r>
        <w:rPr>
          <w:lang w:val="fr-CH"/>
        </w:rPr>
        <w:t>Construire en préservant les sols</w:t>
      </w:r>
      <w:r w:rsidRPr="00531267">
        <w:rPr>
          <w:lang w:val="fr-CH"/>
        </w:rPr>
        <w:t xml:space="preserve"> (</w:t>
      </w:r>
      <w:r>
        <w:rPr>
          <w:lang w:val="fr-CH"/>
        </w:rPr>
        <w:t>actuellement en réexamen</w:t>
      </w:r>
      <w:r w:rsidRPr="00531267">
        <w:rPr>
          <w:lang w:val="fr-CH"/>
        </w:rPr>
        <w:t>).</w:t>
      </w:r>
    </w:p>
    <w:p w14:paraId="5624A102" w14:textId="2F328317" w:rsidR="00DA731C" w:rsidRPr="00501D1D" w:rsidRDefault="00DA731C">
      <w:pPr>
        <w:pStyle w:val="Funotentext"/>
        <w:rPr>
          <w:lang w:val="fr-CH"/>
        </w:rPr>
      </w:pPr>
    </w:p>
  </w:footnote>
  <w:footnote w:id="29">
    <w:p w14:paraId="226CD520" w14:textId="77AB80FB" w:rsidR="00DA731C" w:rsidRPr="00501D1D" w:rsidRDefault="00DA731C" w:rsidP="0031148B">
      <w:pPr>
        <w:pStyle w:val="KeinLeerraum"/>
        <w:rPr>
          <w:lang w:val="fr-CH"/>
        </w:rPr>
      </w:pPr>
      <w:r>
        <w:rPr>
          <w:rStyle w:val="Funotenzeichen"/>
        </w:rPr>
        <w:footnoteRef/>
      </w:r>
      <w:r w:rsidRPr="00501D1D">
        <w:rPr>
          <w:lang w:val="en-US"/>
        </w:rPr>
        <w:t xml:space="preserve"> ARE, OFROU, OFEV, OFT, OFAC, OFEN, OFAG, SG-DETEC, SG-DDPS, SEM (2017). </w:t>
      </w:r>
      <w:r>
        <w:rPr>
          <w:lang w:val="fr-CH"/>
        </w:rPr>
        <w:t>Déclaration d’intention du 13 décembre 2017 sur la compensation des surfaces d’assolement (SDA) à appliquer en principe lors des projets fédéraux</w:t>
      </w:r>
      <w:r w:rsidRPr="007038B2">
        <w:rPr>
          <w:lang w:val="fr-CH"/>
        </w:rPr>
        <w:t xml:space="preserve">. </w:t>
      </w:r>
    </w:p>
  </w:footnote>
  <w:footnote w:id="30">
    <w:p w14:paraId="03B3371F" w14:textId="15F9957D" w:rsidR="00DA731C" w:rsidRPr="00501D1D" w:rsidRDefault="00DA731C" w:rsidP="00EF39F8">
      <w:pPr>
        <w:pStyle w:val="KeinLeerraum"/>
        <w:rPr>
          <w:lang w:val="fr-CH"/>
        </w:rPr>
      </w:pPr>
      <w:r>
        <w:rPr>
          <w:rStyle w:val="Funotenzeichen"/>
        </w:rPr>
        <w:footnoteRef/>
      </w:r>
      <w:r w:rsidRPr="00501D1D">
        <w:rPr>
          <w:lang w:val="fr-CH"/>
        </w:rPr>
        <w:t xml:space="preserve"> </w:t>
      </w:r>
      <w:r>
        <w:rPr>
          <w:lang w:val="fr-CH"/>
        </w:rPr>
        <w:t>Office fédéral du développement territorial</w:t>
      </w:r>
      <w:r w:rsidRPr="00D1701C">
        <w:rPr>
          <w:lang w:val="fr-CH"/>
        </w:rPr>
        <w:t xml:space="preserve"> ARE (2017)</w:t>
      </w:r>
      <w:r>
        <w:rPr>
          <w:lang w:val="fr-CH"/>
        </w:rPr>
        <w:t xml:space="preserve"> </w:t>
      </w:r>
      <w:r w:rsidRPr="00D1701C">
        <w:rPr>
          <w:lang w:val="fr-CH"/>
        </w:rPr>
        <w:t>: M</w:t>
      </w:r>
      <w:r>
        <w:rPr>
          <w:lang w:val="fr-CH"/>
        </w:rPr>
        <w:t>é</w:t>
      </w:r>
      <w:r w:rsidRPr="00D1701C">
        <w:rPr>
          <w:lang w:val="fr-CH"/>
        </w:rPr>
        <w:t xml:space="preserve">morandum </w:t>
      </w:r>
      <w:r>
        <w:rPr>
          <w:lang w:val="fr-CH"/>
        </w:rPr>
        <w:t xml:space="preserve">du 8 décembre 2017 </w:t>
      </w:r>
      <w:r w:rsidRPr="00D1701C">
        <w:rPr>
          <w:lang w:val="fr-CH"/>
        </w:rPr>
        <w:t>d</w:t>
      </w:r>
      <w:r>
        <w:rPr>
          <w:lang w:val="fr-CH"/>
        </w:rPr>
        <w:t>u groupe de travail « Infrastructures de la Confédération et SDA »</w:t>
      </w:r>
      <w:r w:rsidRPr="00501D1D">
        <w:rPr>
          <w:lang w:val="fr-CH"/>
        </w:rPr>
        <w:t>.</w:t>
      </w:r>
    </w:p>
  </w:footnote>
  <w:footnote w:id="31">
    <w:p w14:paraId="68A52B96" w14:textId="34C51F6C" w:rsidR="00DA731C" w:rsidRPr="00501D1D" w:rsidRDefault="00DA731C" w:rsidP="00E20838">
      <w:pPr>
        <w:pStyle w:val="KeinLeerraum"/>
        <w:rPr>
          <w:lang w:val="fr-CH"/>
        </w:rPr>
      </w:pPr>
      <w:r w:rsidRPr="79AF7FA9">
        <w:rPr>
          <w:rStyle w:val="Funotenzeichen"/>
          <w:sz w:val="16"/>
          <w:szCs w:val="16"/>
        </w:rPr>
        <w:footnoteRef/>
      </w:r>
      <w:r w:rsidRPr="00501D1D">
        <w:rPr>
          <w:lang w:val="fr-CH"/>
        </w:rPr>
        <w:t xml:space="preserve"> </w:t>
      </w:r>
      <w:r w:rsidRPr="00501D1D">
        <w:rPr>
          <w:lang w:val="fr-CH"/>
        </w:rPr>
        <w:tab/>
      </w:r>
      <w:r w:rsidRPr="00DC0DCB">
        <w:rPr>
          <w:lang w:val="fr-CH"/>
        </w:rPr>
        <w:t>Office fédéral du développement territorial ARE (2015)</w:t>
      </w:r>
      <w:r>
        <w:rPr>
          <w:lang w:val="fr-CH"/>
        </w:rPr>
        <w:t xml:space="preserve"> </w:t>
      </w:r>
      <w:r w:rsidRPr="00DC0DCB">
        <w:rPr>
          <w:lang w:val="fr-CH"/>
        </w:rPr>
        <w:t>: M</w:t>
      </w:r>
      <w:r>
        <w:rPr>
          <w:lang w:val="fr-CH"/>
        </w:rPr>
        <w:t>odèle minimal de géodonnées</w:t>
      </w:r>
      <w:r w:rsidRPr="00DC0DCB">
        <w:rPr>
          <w:lang w:val="fr-CH"/>
        </w:rPr>
        <w:t xml:space="preserve">. </w:t>
      </w:r>
      <w:r>
        <w:rPr>
          <w:lang w:val="fr-CH"/>
        </w:rPr>
        <w:t>Doc</w:t>
      </w:r>
      <w:r w:rsidRPr="00DC0DCB">
        <w:rPr>
          <w:lang w:val="fr-CH"/>
        </w:rPr>
        <w:t>umentation</w:t>
      </w:r>
      <w:r>
        <w:rPr>
          <w:lang w:val="fr-CH"/>
        </w:rPr>
        <w:t xml:space="preserve"> sur le modèle. Jeu de géodonnées de base n</w:t>
      </w:r>
      <w:r w:rsidRPr="00DC0DCB">
        <w:rPr>
          <w:vertAlign w:val="superscript"/>
          <w:lang w:val="fr-CH"/>
        </w:rPr>
        <w:t xml:space="preserve">o </w:t>
      </w:r>
      <w:r w:rsidRPr="00DC0DCB">
        <w:rPr>
          <w:lang w:val="fr-CH"/>
        </w:rPr>
        <w:t>68</w:t>
      </w:r>
      <w:r>
        <w:rPr>
          <w:lang w:val="fr-CH"/>
        </w:rPr>
        <w:t xml:space="preserve"> </w:t>
      </w:r>
      <w:r w:rsidRPr="00DC0DCB">
        <w:rPr>
          <w:lang w:val="fr-CH"/>
        </w:rPr>
        <w:t xml:space="preserve">: </w:t>
      </w:r>
      <w:r>
        <w:rPr>
          <w:lang w:val="fr-CH"/>
        </w:rPr>
        <w:t>Surfaces d’assolement selon le plan sectoriel SDA</w:t>
      </w:r>
      <w:r w:rsidRPr="00DC0DCB">
        <w:rPr>
          <w:lang w:val="fr-CH"/>
        </w:rPr>
        <w:t xml:space="preserve">. Version 1.0 </w:t>
      </w:r>
      <w:r>
        <w:rPr>
          <w:lang w:val="fr-CH"/>
        </w:rPr>
        <w:t>du</w:t>
      </w:r>
      <w:r w:rsidRPr="00DC0DCB">
        <w:rPr>
          <w:lang w:val="fr-CH"/>
        </w:rPr>
        <w:t xml:space="preserve"> 30.11.2015.</w:t>
      </w:r>
    </w:p>
  </w:footnote>
  <w:footnote w:id="32">
    <w:p w14:paraId="1CD2D42D" w14:textId="020BCED8" w:rsidR="00DA731C" w:rsidRPr="00501D1D" w:rsidRDefault="00DA731C" w:rsidP="00200775">
      <w:pPr>
        <w:pStyle w:val="KeinLeerraum"/>
        <w:rPr>
          <w:lang w:val="fr-CH"/>
        </w:rPr>
      </w:pPr>
      <w:r>
        <w:rPr>
          <w:rStyle w:val="Funotenzeichen"/>
        </w:rPr>
        <w:footnoteRef/>
      </w:r>
      <w:r w:rsidRPr="00200775">
        <w:rPr>
          <w:lang w:val="fr-CH"/>
        </w:rPr>
        <w:t xml:space="preserve">  </w:t>
      </w:r>
      <w:r>
        <w:rPr>
          <w:rFonts w:cs="Arial"/>
          <w:lang w:val="fr-CH"/>
        </w:rPr>
        <w:t>À</w:t>
      </w:r>
      <w:r>
        <w:rPr>
          <w:lang w:val="fr-CH"/>
        </w:rPr>
        <w:t xml:space="preserve"> l’origine, le plan sectoriel des surfaces d’assolement prévoyait pour chaque canton un coefficient de déduction déterminé après l’examen des relevés cantonaux. Ce coefficient de déduction permettait de déduire de l’inventaire épuré les surfaces dépourvues de la qualité de SDA de façon forfaitaire (par ex. les buissons, les cours d’eau, les routes, les bâtiments). La réactualisation des relevés cantonaux au moyen de géodonnées a entraîné la réduction ou la suppression complète des coefficients de déduction. Les mises à jour ont en principe pour but d’améliorer les bases de données et de renoncer à des coefficients de déduction.</w:t>
      </w:r>
    </w:p>
  </w:footnote>
  <w:footnote w:id="33">
    <w:p w14:paraId="6FD9942F" w14:textId="5C231487" w:rsidR="00DA731C" w:rsidRPr="00501D1D" w:rsidRDefault="00DA731C" w:rsidP="007D05D2">
      <w:pPr>
        <w:pStyle w:val="KeinLeerraum"/>
      </w:pPr>
      <w:r>
        <w:rPr>
          <w:rStyle w:val="Funotenzeichen"/>
        </w:rPr>
        <w:footnoteRef/>
      </w:r>
      <w:r w:rsidRPr="00501D1D">
        <w:t xml:space="preserve"> Silvia Tobias,</w:t>
      </w:r>
      <w:r w:rsidRPr="008D3375">
        <w:t xml:space="preserve"> Institut fédéral de recherches sur la forêt, la neige et le paysage </w:t>
      </w:r>
      <w:r w:rsidRPr="00501D1D">
        <w:t>(WSL), 2018 : Konzept für den Umgang mit Spezialfällen im Sachplan Fruchtfolgeflächen.</w:t>
      </w:r>
    </w:p>
  </w:footnote>
  <w:footnote w:id="34">
    <w:p w14:paraId="4E045046" w14:textId="673A205A" w:rsidR="00DA731C" w:rsidRPr="00501D1D" w:rsidRDefault="00DA731C" w:rsidP="00831F40">
      <w:pPr>
        <w:pStyle w:val="KeinLeerraum"/>
        <w:rPr>
          <w:lang w:val="fr-CH"/>
        </w:rPr>
      </w:pPr>
      <w:r>
        <w:rPr>
          <w:rStyle w:val="Funotenzeichen"/>
        </w:rPr>
        <w:footnoteRef/>
      </w:r>
      <w:r w:rsidRPr="00501D1D">
        <w:rPr>
          <w:lang w:val="fr-CH"/>
        </w:rPr>
        <w:t xml:space="preserve"> </w:t>
      </w:r>
      <w:r>
        <w:rPr>
          <w:lang w:val="fr-CH"/>
        </w:rPr>
        <w:t>Selon les articles</w:t>
      </w:r>
      <w:r w:rsidRPr="008E2C25">
        <w:rPr>
          <w:lang w:val="fr-CH"/>
        </w:rPr>
        <w:t xml:space="preserve"> 41 a </w:t>
      </w:r>
      <w:r>
        <w:rPr>
          <w:lang w:val="fr-CH"/>
        </w:rPr>
        <w:t xml:space="preserve">et </w:t>
      </w:r>
      <w:r w:rsidRPr="008E2C25">
        <w:rPr>
          <w:lang w:val="fr-CH"/>
        </w:rPr>
        <w:t xml:space="preserve">41 b </w:t>
      </w:r>
      <w:r>
        <w:rPr>
          <w:lang w:val="fr-CH"/>
        </w:rPr>
        <w:t>OEaux</w:t>
      </w:r>
      <w:r w:rsidRPr="008E2C25">
        <w:rPr>
          <w:lang w:val="fr-CH"/>
        </w:rPr>
        <w:t>.</w:t>
      </w:r>
      <w:r>
        <w:rPr>
          <w:lang w:val="fr-CH"/>
        </w:rPr>
        <w:t xml:space="preserve"> Sera prévu avec l’adoption du Plan sectoriel des SDA dans la LAT/OAT</w:t>
      </w:r>
      <w:r w:rsidRPr="00501D1D">
        <w:rPr>
          <w:lang w:val="fr-CH"/>
        </w:rPr>
        <w:t>.</w:t>
      </w:r>
    </w:p>
  </w:footnote>
  <w:footnote w:id="35">
    <w:p w14:paraId="058347DF" w14:textId="0EBA93FD" w:rsidR="00DA731C" w:rsidRPr="00EC371A" w:rsidRDefault="00DA731C" w:rsidP="00831F40">
      <w:pPr>
        <w:pStyle w:val="KeinLeerraum"/>
      </w:pPr>
      <w:r>
        <w:rPr>
          <w:rStyle w:val="Funotenzeichen"/>
        </w:rPr>
        <w:footnoteRef/>
      </w:r>
      <w:r>
        <w:t xml:space="preserve"> </w:t>
      </w:r>
      <w:r w:rsidRPr="00501D1D">
        <w:t>Silvia Tobias, Institut fédéral de recherches sur la forêt, la neige et le paysage (WSL), 2018 : Konzept für den Umgang mit Spezialfällen im Sachplan Fruchtfolgeflächen.</w:t>
      </w:r>
    </w:p>
  </w:footnote>
  <w:footnote w:id="36">
    <w:p w14:paraId="02A93736" w14:textId="1C6F1AD2" w:rsidR="00DA731C" w:rsidRPr="00501D1D" w:rsidRDefault="00DA731C" w:rsidP="00282C44">
      <w:pPr>
        <w:pStyle w:val="KeinLeerraum"/>
        <w:rPr>
          <w:lang w:val="fr-CH"/>
        </w:rPr>
      </w:pPr>
      <w:r>
        <w:rPr>
          <w:rStyle w:val="Funotenzeichen"/>
        </w:rPr>
        <w:footnoteRef/>
      </w:r>
      <w:r>
        <w:t xml:space="preserve"> </w:t>
      </w:r>
      <w:r>
        <w:tab/>
      </w:r>
      <w:r w:rsidRPr="008D3375">
        <w:t>Les considérations qui suivent sont en grande partie extraites du document ci-après</w:t>
      </w:r>
      <w:r w:rsidRPr="00501D1D">
        <w:t xml:space="preserve"> : Stalder, B. (2017): Rechtsgutachten betreffend die rechtliche Verankerung des Kulturlandschutzes und das Verhältnis des Kulturlandschutzes zu anderen Schutzansprüchen. </w:t>
      </w:r>
      <w:r w:rsidRPr="00B168C4">
        <w:rPr>
          <w:lang w:val="fr-CH"/>
        </w:rPr>
        <w:t>Zuhanden der Expertengruppe zur Überarbeitung/Stärkung des Sachplans FFF</w:t>
      </w:r>
      <w:r w:rsidRPr="00501D1D">
        <w:rPr>
          <w:lang w:val="fr-CH"/>
        </w:rPr>
        <w:t>.</w:t>
      </w:r>
    </w:p>
  </w:footnote>
  <w:footnote w:id="37">
    <w:p w14:paraId="7B669579" w14:textId="60FE0F80" w:rsidR="00DA731C" w:rsidRPr="00501D1D" w:rsidRDefault="00DA731C" w:rsidP="00043F53">
      <w:pPr>
        <w:pStyle w:val="KeinLeerraum"/>
        <w:rPr>
          <w:lang w:val="fr-CH"/>
        </w:rPr>
      </w:pPr>
      <w:r>
        <w:rPr>
          <w:rStyle w:val="Funotenzeichen"/>
        </w:rPr>
        <w:footnoteRef/>
      </w:r>
      <w:r w:rsidRPr="00501D1D">
        <w:rPr>
          <w:lang w:val="fr-CH"/>
        </w:rPr>
        <w:t xml:space="preserve"> </w:t>
      </w:r>
      <w:r w:rsidRPr="00501D1D">
        <w:rPr>
          <w:lang w:val="fr-CH"/>
        </w:rPr>
        <w:tab/>
      </w:r>
      <w:r>
        <w:rPr>
          <w:lang w:val="fr-CH"/>
        </w:rPr>
        <w:t>Prend généralement la forme d’un rapport de synthèse séparé, car l’</w:t>
      </w:r>
      <w:r w:rsidRPr="006A2E90">
        <w:rPr>
          <w:lang w:val="fr-CH"/>
        </w:rPr>
        <w:t xml:space="preserve">ARE </w:t>
      </w:r>
      <w:r>
        <w:rPr>
          <w:lang w:val="fr-CH"/>
        </w:rPr>
        <w:t>n’est pas l’office fédéral compétent pour élaborer une conception ou un plan sectoriel. L’ARE étant l’office fédéral compétent pour le Plan sectoriel des SDA, ce chapitre du rapport explicatif présente les exigences à satisfaire en application de l’article</w:t>
      </w:r>
      <w:r w:rsidRPr="006A2E90">
        <w:rPr>
          <w:lang w:val="fr-CH"/>
        </w:rPr>
        <w:t xml:space="preserve"> 17</w:t>
      </w:r>
      <w:r>
        <w:rPr>
          <w:lang w:val="fr-CH"/>
        </w:rPr>
        <w:t>, alinéa</w:t>
      </w:r>
      <w:r w:rsidRPr="006A2E90">
        <w:rPr>
          <w:lang w:val="fr-CH"/>
        </w:rPr>
        <w:t xml:space="preserve"> 2</w:t>
      </w:r>
      <w:r>
        <w:rPr>
          <w:lang w:val="fr-CH"/>
        </w:rPr>
        <w:t xml:space="preserve"> OAT</w:t>
      </w:r>
      <w:r w:rsidRPr="006A2E90">
        <w:rPr>
          <w:lang w:val="fr-CH"/>
        </w:rPr>
        <w:t>.</w:t>
      </w:r>
      <w:r w:rsidRPr="00501D1D">
        <w:rPr>
          <w:lang w:val="fr-CH"/>
        </w:rPr>
        <w:t xml:space="preserve">  </w:t>
      </w:r>
    </w:p>
  </w:footnote>
  <w:footnote w:id="38">
    <w:p w14:paraId="43E194A4" w14:textId="658A5114" w:rsidR="00DA731C" w:rsidRPr="00CF1B95" w:rsidRDefault="00DA731C">
      <w:pPr>
        <w:pStyle w:val="Funotentext"/>
        <w:rPr>
          <w:sz w:val="18"/>
          <w:szCs w:val="18"/>
          <w:lang w:val="fr-CH"/>
        </w:rPr>
      </w:pPr>
      <w:r w:rsidRPr="00CF1B95">
        <w:rPr>
          <w:rStyle w:val="Funotenzeichen"/>
          <w:sz w:val="18"/>
          <w:szCs w:val="18"/>
        </w:rPr>
        <w:footnoteRef/>
      </w:r>
      <w:r w:rsidRPr="00CF1B95">
        <w:rPr>
          <w:sz w:val="18"/>
          <w:szCs w:val="18"/>
          <w:lang w:val="fr-CH"/>
        </w:rPr>
        <w:t>C</w:t>
      </w:r>
      <w:r>
        <w:rPr>
          <w:sz w:val="18"/>
          <w:szCs w:val="18"/>
          <w:lang w:val="fr-CH"/>
        </w:rPr>
        <w:t>onseil fédéral suisse, Conférence des gouvernements cantonaux (CdC), Conférence suisse des directeurs cantonaux des travaux publics, de l’aménagement du territoire et de l’environnement (DTAP), Union des villes suisses (UVS), Association des Communes Suisses (ACS), 2012 : Projet de territoire suisse. Version remaniée. Berne, p. 45.</w:t>
      </w:r>
      <w:r w:rsidRPr="00CF1B95">
        <w:rPr>
          <w:sz w:val="18"/>
          <w:szCs w:val="18"/>
        </w:rPr>
        <w:t xml:space="preserve"> </w:t>
      </w:r>
    </w:p>
  </w:footnote>
  <w:footnote w:id="39">
    <w:p w14:paraId="3CEB6CCE" w14:textId="47825310" w:rsidR="00DA731C" w:rsidRPr="00CF1B95" w:rsidRDefault="00DA731C">
      <w:pPr>
        <w:pStyle w:val="Funotentext"/>
        <w:rPr>
          <w:lang w:val="fr-CH"/>
        </w:rPr>
      </w:pPr>
      <w:r>
        <w:rPr>
          <w:rStyle w:val="Funotenzeichen"/>
        </w:rPr>
        <w:footnoteRef/>
      </w:r>
      <w:r w:rsidRPr="00CF1B95">
        <w:rPr>
          <w:sz w:val="18"/>
          <w:szCs w:val="18"/>
        </w:rPr>
        <w:t xml:space="preserve"> </w:t>
      </w:r>
      <w:r w:rsidRPr="00CF1B95">
        <w:rPr>
          <w:sz w:val="18"/>
          <w:szCs w:val="18"/>
          <w:lang w:val="fr-CH"/>
        </w:rPr>
        <w:t>Ibid, p. 50 et 51.</w:t>
      </w:r>
    </w:p>
  </w:footnote>
  <w:footnote w:id="40">
    <w:p w14:paraId="67D6111F" w14:textId="7D2D0A75" w:rsidR="00DA731C" w:rsidRPr="00570E88" w:rsidRDefault="00DA731C" w:rsidP="00A859CF">
      <w:pPr>
        <w:pStyle w:val="KeinLeerraum"/>
        <w:rPr>
          <w:lang w:val="fr-CH"/>
        </w:rPr>
      </w:pPr>
      <w:r>
        <w:rPr>
          <w:rStyle w:val="Funotenzeichen"/>
        </w:rPr>
        <w:footnoteRef/>
      </w:r>
      <w:r w:rsidRPr="00501D1D">
        <w:rPr>
          <w:lang w:val="fr-CH"/>
        </w:rPr>
        <w:t xml:space="preserve"> </w:t>
      </w:r>
      <w:r>
        <w:rPr>
          <w:lang w:val="fr-CH"/>
        </w:rPr>
        <w:t>Objectif</w:t>
      </w:r>
      <w:r w:rsidRPr="00570E88">
        <w:rPr>
          <w:lang w:val="fr-CH"/>
        </w:rPr>
        <w:t xml:space="preserve"> 2.2: </w:t>
      </w:r>
      <w:r>
        <w:rPr>
          <w:lang w:val="fr-CH"/>
        </w:rPr>
        <w:t>Le mitage du territoire est freiné et la croissance urbaine n’a lieu qu’à l’intérieur des zones de développement et des corridors prévus.</w:t>
      </w:r>
      <w:r w:rsidRPr="00570E88">
        <w:rPr>
          <w:lang w:val="fr-CH"/>
        </w:rPr>
        <w:t xml:space="preserve"> </w:t>
      </w:r>
      <w:r>
        <w:rPr>
          <w:lang w:val="fr-CH"/>
        </w:rPr>
        <w:t>Les terres agricoles et les espaces naturels son</w:t>
      </w:r>
      <w:r w:rsidRPr="00570E88">
        <w:rPr>
          <w:lang w:val="fr-CH"/>
        </w:rPr>
        <w:t>t</w:t>
      </w:r>
      <w:r>
        <w:rPr>
          <w:lang w:val="fr-CH"/>
        </w:rPr>
        <w:t xml:space="preserve"> largement protégés contre toute nouvelle construction</w:t>
      </w:r>
      <w:r w:rsidRPr="00570E88">
        <w:rPr>
          <w:lang w:val="fr-CH"/>
        </w:rPr>
        <w:t>.</w:t>
      </w:r>
    </w:p>
  </w:footnote>
  <w:footnote w:id="41">
    <w:p w14:paraId="495109F2" w14:textId="2B6CD5F4" w:rsidR="00DA731C" w:rsidRPr="00501D1D" w:rsidRDefault="00DA731C" w:rsidP="00A859CF">
      <w:pPr>
        <w:pStyle w:val="KeinLeerraum"/>
        <w:rPr>
          <w:lang w:val="fr-CH"/>
        </w:rPr>
      </w:pPr>
      <w:r>
        <w:rPr>
          <w:rStyle w:val="Funotenzeichen"/>
        </w:rPr>
        <w:footnoteRef/>
      </w:r>
      <w:r w:rsidRPr="00501D1D">
        <w:rPr>
          <w:lang w:val="fr-CH"/>
        </w:rPr>
        <w:t xml:space="preserve"> </w:t>
      </w:r>
      <w:r>
        <w:rPr>
          <w:lang w:val="fr-CH"/>
        </w:rPr>
        <w:t>Objectif</w:t>
      </w:r>
      <w:r w:rsidRPr="00570E88">
        <w:rPr>
          <w:lang w:val="fr-CH"/>
        </w:rPr>
        <w:t xml:space="preserve"> 4.2: </w:t>
      </w:r>
      <w:r>
        <w:rPr>
          <w:lang w:val="fr-CH"/>
        </w:rPr>
        <w:t>Les fonctions du sol sont maintenues à long terme. Les utilisations du sol ne provoquent pas de dégradation et, là où cela est possible, les sols et leur fonctionnalité sont reconstitués</w:t>
      </w:r>
      <w:r w:rsidRPr="00570E88">
        <w:rPr>
          <w:lang w:val="fr-CH"/>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28FCC7CA"/>
    <w:lvl w:ilvl="0">
      <w:start w:val="1"/>
      <w:numFmt w:val="decimal"/>
      <w:pStyle w:val="Listennummer3"/>
      <w:lvlText w:val="%1."/>
      <w:lvlJc w:val="left"/>
      <w:pPr>
        <w:tabs>
          <w:tab w:val="num" w:pos="566"/>
        </w:tabs>
        <w:ind w:left="566" w:hanging="360"/>
      </w:pPr>
    </w:lvl>
  </w:abstractNum>
  <w:abstractNum w:abstractNumId="1" w15:restartNumberingAfterBreak="0">
    <w:nsid w:val="FFFFFF89"/>
    <w:multiLevelType w:val="singleLevel"/>
    <w:tmpl w:val="03DC8456"/>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01D02F3B"/>
    <w:multiLevelType w:val="hybridMultilevel"/>
    <w:tmpl w:val="B30A0648"/>
    <w:lvl w:ilvl="0" w:tplc="F63262E0">
      <w:start w:val="1"/>
      <w:numFmt w:val="decimal"/>
      <w:lvlText w:val="P%1"/>
      <w:lvlJc w:val="left"/>
      <w:pPr>
        <w:ind w:left="360" w:hanging="360"/>
      </w:pPr>
      <w:rPr>
        <w:rFonts w:ascii="Arial" w:hAnsi="Arial" w:hint="default"/>
        <w:b/>
        <w:i w:val="0"/>
        <w:caps w:val="0"/>
        <w:strike w:val="0"/>
        <w:dstrike w:val="0"/>
        <w:vanish w:val="0"/>
        <w:vertAlign w:val="baseline"/>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 w15:restartNumberingAfterBreak="0">
    <w:nsid w:val="03CB213E"/>
    <w:multiLevelType w:val="multilevel"/>
    <w:tmpl w:val="8F785B54"/>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135"/>
        </w:tabs>
        <w:ind w:left="1135"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8A0091A"/>
    <w:multiLevelType w:val="multilevel"/>
    <w:tmpl w:val="8F785B54"/>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135"/>
        </w:tabs>
        <w:ind w:left="1135"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986052D"/>
    <w:multiLevelType w:val="hybridMultilevel"/>
    <w:tmpl w:val="745EC3A8"/>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0E30155"/>
    <w:multiLevelType w:val="hybridMultilevel"/>
    <w:tmpl w:val="2174AB84"/>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0E550E7"/>
    <w:multiLevelType w:val="hybridMultilevel"/>
    <w:tmpl w:val="A6489CF4"/>
    <w:lvl w:ilvl="0" w:tplc="EF36AA94">
      <w:start w:val="1"/>
      <w:numFmt w:val="decimal"/>
      <w:lvlRestart w:val="0"/>
      <w:pStyle w:val="Randziffer"/>
      <w:lvlText w:val="%1"/>
      <w:lvlJc w:val="left"/>
      <w:pPr>
        <w:tabs>
          <w:tab w:val="num" w:pos="709"/>
        </w:tabs>
        <w:ind w:left="709" w:hanging="709"/>
      </w:pPr>
      <w:rPr>
        <w:rFonts w:ascii="Arial" w:hAnsi="Arial" w:cs="Arial" w:hint="default"/>
        <w:b w:val="0"/>
        <w:i w:val="0"/>
        <w:caps w:val="0"/>
        <w:strike w:val="0"/>
        <w:dstrike w:val="0"/>
        <w:vanish w:val="0"/>
        <w:color w:val="auto"/>
        <w:sz w:val="16"/>
        <w:u w:val="none"/>
        <w:effect w:val="none"/>
        <w:vertAlign w:val="baseline"/>
      </w:rPr>
    </w:lvl>
    <w:lvl w:ilvl="1" w:tplc="08070019">
      <w:start w:val="1"/>
      <w:numFmt w:val="lowerLetter"/>
      <w:lvlText w:val="%2."/>
      <w:lvlJc w:val="left"/>
      <w:pPr>
        <w:tabs>
          <w:tab w:val="num" w:pos="1440"/>
        </w:tabs>
        <w:ind w:left="1440" w:hanging="360"/>
      </w:pPr>
    </w:lvl>
    <w:lvl w:ilvl="2" w:tplc="0807001B">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8" w15:restartNumberingAfterBreak="0">
    <w:nsid w:val="12D65AFD"/>
    <w:multiLevelType w:val="multilevel"/>
    <w:tmpl w:val="67C6A2C6"/>
    <w:lvl w:ilvl="0">
      <w:start w:val="1"/>
      <w:numFmt w:val="lowerLetter"/>
      <w:pStyle w:val="ListeAlphabet"/>
      <w:lvlText w:val="%1)"/>
      <w:lvlJc w:val="left"/>
      <w:pPr>
        <w:tabs>
          <w:tab w:val="num" w:pos="851"/>
        </w:tabs>
        <w:ind w:left="851" w:hanging="851"/>
      </w:pPr>
      <w:rPr>
        <w:rFonts w:ascii="Arial" w:hAnsi="Arial" w:hint="default"/>
        <w:b w:val="0"/>
        <w:i w:val="0"/>
        <w:color w:val="000000"/>
        <w:sz w:val="20"/>
        <w:u w:color="000000"/>
      </w:rPr>
    </w:lvl>
    <w:lvl w:ilvl="1">
      <w:start w:val="1"/>
      <w:numFmt w:val="lowerLetter"/>
      <w:lvlText w:val="%2)"/>
      <w:lvlJc w:val="left"/>
      <w:pPr>
        <w:tabs>
          <w:tab w:val="num" w:pos="720"/>
        </w:tabs>
        <w:ind w:left="720" w:hanging="360"/>
      </w:pPr>
      <w:rPr>
        <w:rFonts w:hint="default"/>
        <w:b w:val="0"/>
        <w:i w:val="0"/>
        <w:color w:val="000000"/>
        <w:sz w:val="20"/>
        <w:u w:color="000000"/>
      </w:rPr>
    </w:lvl>
    <w:lvl w:ilvl="2">
      <w:start w:val="1"/>
      <w:numFmt w:val="lowerRoman"/>
      <w:lvlText w:val="%3)"/>
      <w:lvlJc w:val="left"/>
      <w:pPr>
        <w:tabs>
          <w:tab w:val="num" w:pos="1080"/>
        </w:tabs>
        <w:ind w:left="1080" w:hanging="360"/>
      </w:pPr>
      <w:rPr>
        <w:rFonts w:hint="default"/>
        <w:b w:val="0"/>
        <w:i w:val="0"/>
        <w:color w:val="000000"/>
        <w:sz w:val="20"/>
        <w:u w:color="00000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6A72AA9"/>
    <w:multiLevelType w:val="hybridMultilevel"/>
    <w:tmpl w:val="81EC9F6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17A07816"/>
    <w:multiLevelType w:val="hybridMultilevel"/>
    <w:tmpl w:val="7708E740"/>
    <w:lvl w:ilvl="0" w:tplc="15B64CDA">
      <w:start w:val="1"/>
      <w:numFmt w:val="bullet"/>
      <w:lvlText w:val=""/>
      <w:lvlJc w:val="left"/>
      <w:pPr>
        <w:ind w:left="720" w:hanging="360"/>
      </w:pPr>
      <w:rPr>
        <w:rFonts w:ascii="Symbol" w:hAnsi="Symbol" w:hint="default"/>
      </w:rPr>
    </w:lvl>
    <w:lvl w:ilvl="1" w:tplc="DEE47BD6">
      <w:start w:val="1"/>
      <w:numFmt w:val="bullet"/>
      <w:lvlText w:val="o"/>
      <w:lvlJc w:val="left"/>
      <w:pPr>
        <w:ind w:left="1440" w:hanging="360"/>
      </w:pPr>
      <w:rPr>
        <w:rFonts w:ascii="Courier New" w:hAnsi="Courier New" w:hint="default"/>
      </w:rPr>
    </w:lvl>
    <w:lvl w:ilvl="2" w:tplc="419A04C6">
      <w:start w:val="1"/>
      <w:numFmt w:val="bullet"/>
      <w:lvlText w:val=""/>
      <w:lvlJc w:val="left"/>
      <w:pPr>
        <w:ind w:left="2160" w:hanging="360"/>
      </w:pPr>
      <w:rPr>
        <w:rFonts w:ascii="Wingdings" w:hAnsi="Wingdings" w:hint="default"/>
      </w:rPr>
    </w:lvl>
    <w:lvl w:ilvl="3" w:tplc="8780DFD0">
      <w:start w:val="1"/>
      <w:numFmt w:val="bullet"/>
      <w:lvlText w:val=""/>
      <w:lvlJc w:val="left"/>
      <w:pPr>
        <w:ind w:left="2880" w:hanging="360"/>
      </w:pPr>
      <w:rPr>
        <w:rFonts w:ascii="Symbol" w:hAnsi="Symbol" w:hint="default"/>
      </w:rPr>
    </w:lvl>
    <w:lvl w:ilvl="4" w:tplc="DE588852">
      <w:start w:val="1"/>
      <w:numFmt w:val="bullet"/>
      <w:lvlText w:val="o"/>
      <w:lvlJc w:val="left"/>
      <w:pPr>
        <w:ind w:left="3600" w:hanging="360"/>
      </w:pPr>
      <w:rPr>
        <w:rFonts w:ascii="Courier New" w:hAnsi="Courier New" w:hint="default"/>
      </w:rPr>
    </w:lvl>
    <w:lvl w:ilvl="5" w:tplc="4CD29FC8">
      <w:start w:val="1"/>
      <w:numFmt w:val="bullet"/>
      <w:lvlText w:val=""/>
      <w:lvlJc w:val="left"/>
      <w:pPr>
        <w:ind w:left="4320" w:hanging="360"/>
      </w:pPr>
      <w:rPr>
        <w:rFonts w:ascii="Wingdings" w:hAnsi="Wingdings" w:hint="default"/>
      </w:rPr>
    </w:lvl>
    <w:lvl w:ilvl="6" w:tplc="42F4FCC4">
      <w:start w:val="1"/>
      <w:numFmt w:val="bullet"/>
      <w:lvlText w:val=""/>
      <w:lvlJc w:val="left"/>
      <w:pPr>
        <w:ind w:left="5040" w:hanging="360"/>
      </w:pPr>
      <w:rPr>
        <w:rFonts w:ascii="Symbol" w:hAnsi="Symbol" w:hint="default"/>
      </w:rPr>
    </w:lvl>
    <w:lvl w:ilvl="7" w:tplc="80AEF138">
      <w:start w:val="1"/>
      <w:numFmt w:val="bullet"/>
      <w:lvlText w:val="o"/>
      <w:lvlJc w:val="left"/>
      <w:pPr>
        <w:ind w:left="5760" w:hanging="360"/>
      </w:pPr>
      <w:rPr>
        <w:rFonts w:ascii="Courier New" w:hAnsi="Courier New" w:hint="default"/>
      </w:rPr>
    </w:lvl>
    <w:lvl w:ilvl="8" w:tplc="AED0CC1A">
      <w:start w:val="1"/>
      <w:numFmt w:val="bullet"/>
      <w:lvlText w:val=""/>
      <w:lvlJc w:val="left"/>
      <w:pPr>
        <w:ind w:left="6480" w:hanging="360"/>
      </w:pPr>
      <w:rPr>
        <w:rFonts w:ascii="Wingdings" w:hAnsi="Wingdings" w:hint="default"/>
      </w:rPr>
    </w:lvl>
  </w:abstractNum>
  <w:abstractNum w:abstractNumId="11" w15:restartNumberingAfterBreak="0">
    <w:nsid w:val="17F54542"/>
    <w:multiLevelType w:val="hybridMultilevel"/>
    <w:tmpl w:val="BB761798"/>
    <w:lvl w:ilvl="0" w:tplc="D46AA664">
      <w:start w:val="1"/>
      <w:numFmt w:val="decimal"/>
      <w:lvlText w:val="I%1"/>
      <w:lvlJc w:val="left"/>
      <w:pPr>
        <w:ind w:left="720" w:hanging="360"/>
      </w:pPr>
      <w:rPr>
        <w:rFonts w:ascii="Arial" w:hAnsi="Arial" w:hint="default"/>
        <w:b/>
        <w:i w:val="0"/>
        <w:caps w:val="0"/>
        <w:strike w:val="0"/>
        <w:dstrike w:val="0"/>
        <w:vanish w:val="0"/>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18CD2982"/>
    <w:multiLevelType w:val="hybridMultilevel"/>
    <w:tmpl w:val="30BE6724"/>
    <w:lvl w:ilvl="0" w:tplc="68589228">
      <w:start w:val="1"/>
      <w:numFmt w:val="bullet"/>
      <w:lvlText w:val=""/>
      <w:lvlJc w:val="left"/>
      <w:pPr>
        <w:ind w:left="720" w:hanging="360"/>
      </w:pPr>
      <w:rPr>
        <w:rFonts w:ascii="Symbol" w:hAnsi="Symbol" w:hint="default"/>
      </w:rPr>
    </w:lvl>
    <w:lvl w:ilvl="1" w:tplc="B02E6772">
      <w:start w:val="1"/>
      <w:numFmt w:val="bullet"/>
      <w:lvlText w:val="o"/>
      <w:lvlJc w:val="left"/>
      <w:pPr>
        <w:ind w:left="1440" w:hanging="360"/>
      </w:pPr>
      <w:rPr>
        <w:rFonts w:ascii="Courier New" w:hAnsi="Courier New" w:hint="default"/>
      </w:rPr>
    </w:lvl>
    <w:lvl w:ilvl="2" w:tplc="FC8E7F80">
      <w:start w:val="1"/>
      <w:numFmt w:val="bullet"/>
      <w:lvlText w:val=""/>
      <w:lvlJc w:val="left"/>
      <w:pPr>
        <w:ind w:left="2160" w:hanging="360"/>
      </w:pPr>
      <w:rPr>
        <w:rFonts w:ascii="Wingdings" w:hAnsi="Wingdings" w:hint="default"/>
      </w:rPr>
    </w:lvl>
    <w:lvl w:ilvl="3" w:tplc="E0F0D79A">
      <w:start w:val="1"/>
      <w:numFmt w:val="bullet"/>
      <w:lvlText w:val=""/>
      <w:lvlJc w:val="left"/>
      <w:pPr>
        <w:ind w:left="2880" w:hanging="360"/>
      </w:pPr>
      <w:rPr>
        <w:rFonts w:ascii="Symbol" w:hAnsi="Symbol" w:hint="default"/>
      </w:rPr>
    </w:lvl>
    <w:lvl w:ilvl="4" w:tplc="E648E788">
      <w:start w:val="1"/>
      <w:numFmt w:val="bullet"/>
      <w:lvlText w:val="o"/>
      <w:lvlJc w:val="left"/>
      <w:pPr>
        <w:ind w:left="3600" w:hanging="360"/>
      </w:pPr>
      <w:rPr>
        <w:rFonts w:ascii="Courier New" w:hAnsi="Courier New" w:hint="default"/>
      </w:rPr>
    </w:lvl>
    <w:lvl w:ilvl="5" w:tplc="DDD24C94">
      <w:start w:val="1"/>
      <w:numFmt w:val="bullet"/>
      <w:lvlText w:val=""/>
      <w:lvlJc w:val="left"/>
      <w:pPr>
        <w:ind w:left="4320" w:hanging="360"/>
      </w:pPr>
      <w:rPr>
        <w:rFonts w:ascii="Wingdings" w:hAnsi="Wingdings" w:hint="default"/>
      </w:rPr>
    </w:lvl>
    <w:lvl w:ilvl="6" w:tplc="60CCDC5A">
      <w:start w:val="1"/>
      <w:numFmt w:val="bullet"/>
      <w:lvlText w:val=""/>
      <w:lvlJc w:val="left"/>
      <w:pPr>
        <w:ind w:left="5040" w:hanging="360"/>
      </w:pPr>
      <w:rPr>
        <w:rFonts w:ascii="Symbol" w:hAnsi="Symbol" w:hint="default"/>
      </w:rPr>
    </w:lvl>
    <w:lvl w:ilvl="7" w:tplc="ECBC79D4">
      <w:start w:val="1"/>
      <w:numFmt w:val="bullet"/>
      <w:lvlText w:val="o"/>
      <w:lvlJc w:val="left"/>
      <w:pPr>
        <w:ind w:left="5760" w:hanging="360"/>
      </w:pPr>
      <w:rPr>
        <w:rFonts w:ascii="Courier New" w:hAnsi="Courier New" w:hint="default"/>
      </w:rPr>
    </w:lvl>
    <w:lvl w:ilvl="8" w:tplc="2BBC10A6">
      <w:start w:val="1"/>
      <w:numFmt w:val="bullet"/>
      <w:lvlText w:val=""/>
      <w:lvlJc w:val="left"/>
      <w:pPr>
        <w:ind w:left="6480" w:hanging="360"/>
      </w:pPr>
      <w:rPr>
        <w:rFonts w:ascii="Wingdings" w:hAnsi="Wingdings" w:hint="default"/>
      </w:rPr>
    </w:lvl>
  </w:abstractNum>
  <w:abstractNum w:abstractNumId="13" w15:restartNumberingAfterBreak="0">
    <w:nsid w:val="199179D1"/>
    <w:multiLevelType w:val="multilevel"/>
    <w:tmpl w:val="8F785B54"/>
    <w:lvl w:ilvl="0">
      <w:start w:val="1"/>
      <w:numFmt w:val="decimal"/>
      <w:pStyle w:val="berschrift1"/>
      <w:lvlText w:val="%1"/>
      <w:lvlJc w:val="left"/>
      <w:pPr>
        <w:tabs>
          <w:tab w:val="num" w:pos="709"/>
        </w:tabs>
        <w:ind w:left="709" w:hanging="709"/>
      </w:pPr>
      <w:rPr>
        <w:rFonts w:hint="default"/>
      </w:rPr>
    </w:lvl>
    <w:lvl w:ilvl="1">
      <w:start w:val="1"/>
      <w:numFmt w:val="decimal"/>
      <w:pStyle w:val="berschrift2"/>
      <w:lvlText w:val="%1.%2"/>
      <w:lvlJc w:val="left"/>
      <w:pPr>
        <w:tabs>
          <w:tab w:val="num" w:pos="1135"/>
        </w:tabs>
        <w:ind w:left="1135" w:hanging="709"/>
      </w:pPr>
      <w:rPr>
        <w:rFonts w:hint="default"/>
      </w:rPr>
    </w:lvl>
    <w:lvl w:ilvl="2">
      <w:start w:val="1"/>
      <w:numFmt w:val="decimal"/>
      <w:pStyle w:val="berschrift3"/>
      <w:lvlText w:val="%1.%2.%3"/>
      <w:lvlJc w:val="left"/>
      <w:pPr>
        <w:tabs>
          <w:tab w:val="num" w:pos="709"/>
        </w:tabs>
        <w:ind w:left="709" w:hanging="709"/>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4" w15:restartNumberingAfterBreak="0">
    <w:nsid w:val="1F621722"/>
    <w:multiLevelType w:val="hybridMultilevel"/>
    <w:tmpl w:val="61E4D31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1FB774FC"/>
    <w:multiLevelType w:val="multilevel"/>
    <w:tmpl w:val="AAB08EE8"/>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135"/>
        </w:tabs>
        <w:ind w:left="1135"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28C835FA"/>
    <w:multiLevelType w:val="hybridMultilevel"/>
    <w:tmpl w:val="BA2E1D9E"/>
    <w:lvl w:ilvl="0" w:tplc="33F815D4">
      <w:start w:val="1"/>
      <w:numFmt w:val="bullet"/>
      <w:lvlText w:val=""/>
      <w:lvlJc w:val="left"/>
      <w:pPr>
        <w:ind w:left="720" w:hanging="360"/>
      </w:pPr>
      <w:rPr>
        <w:rFonts w:ascii="Wingdings" w:eastAsiaTheme="minorHAnsi"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29B53219"/>
    <w:multiLevelType w:val="hybridMultilevel"/>
    <w:tmpl w:val="33E42B2A"/>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31BF23E0"/>
    <w:multiLevelType w:val="hybridMultilevel"/>
    <w:tmpl w:val="DF30FA1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36145201"/>
    <w:multiLevelType w:val="hybridMultilevel"/>
    <w:tmpl w:val="65B64F36"/>
    <w:lvl w:ilvl="0" w:tplc="08070015">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36FB6D0E"/>
    <w:multiLevelType w:val="hybridMultilevel"/>
    <w:tmpl w:val="2682CC8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3ED06859"/>
    <w:multiLevelType w:val="hybridMultilevel"/>
    <w:tmpl w:val="40F670FC"/>
    <w:lvl w:ilvl="0" w:tplc="DBE8020E">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3FDB6D14"/>
    <w:multiLevelType w:val="hybridMultilevel"/>
    <w:tmpl w:val="4942C156"/>
    <w:lvl w:ilvl="0" w:tplc="57ACD4C6">
      <w:start w:val="1"/>
      <w:numFmt w:val="decimal"/>
      <w:lvlText w:val="G%1"/>
      <w:lvlJc w:val="left"/>
      <w:pPr>
        <w:ind w:left="360" w:hanging="360"/>
      </w:pPr>
      <w:rPr>
        <w:rFonts w:ascii="Arial" w:hAnsi="Arial" w:hint="default"/>
        <w:b/>
        <w:i w:val="0"/>
        <w:caps w:val="0"/>
        <w:strike w:val="0"/>
        <w:dstrike w:val="0"/>
        <w:vanish w:val="0"/>
        <w:vertAlign w:val="baseline"/>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3" w15:restartNumberingAfterBreak="0">
    <w:nsid w:val="437D5EF5"/>
    <w:multiLevelType w:val="multilevel"/>
    <w:tmpl w:val="8F785B54"/>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135"/>
        </w:tabs>
        <w:ind w:left="1135"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4B361FAC"/>
    <w:multiLevelType w:val="hybridMultilevel"/>
    <w:tmpl w:val="A8788044"/>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25" w15:restartNumberingAfterBreak="0">
    <w:nsid w:val="4FED0F1D"/>
    <w:multiLevelType w:val="hybridMultilevel"/>
    <w:tmpl w:val="EC88B0BC"/>
    <w:lvl w:ilvl="0" w:tplc="E6F86B18">
      <w:start w:val="1"/>
      <w:numFmt w:val="bullet"/>
      <w:pStyle w:val="ListePunkt"/>
      <w:lvlText w:val=""/>
      <w:lvlJc w:val="left"/>
      <w:pPr>
        <w:tabs>
          <w:tab w:val="num" w:pos="785"/>
        </w:tabs>
        <w:ind w:left="785" w:hanging="360"/>
      </w:pPr>
      <w:rPr>
        <w:rFonts w:ascii="Wingdings" w:hAnsi="Wingdings" w:hint="default"/>
        <w:color w:val="auto"/>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2B4E5B"/>
    <w:multiLevelType w:val="hybridMultilevel"/>
    <w:tmpl w:val="FC7E23E2"/>
    <w:lvl w:ilvl="0" w:tplc="7ED6701A">
      <w:start w:val="1"/>
      <w:numFmt w:val="decimal"/>
      <w:lvlText w:val="F%1"/>
      <w:lvlJc w:val="left"/>
      <w:pPr>
        <w:ind w:left="720" w:hanging="360"/>
      </w:pPr>
      <w:rPr>
        <w:rFonts w:ascii="Arial" w:hAnsi="Arial" w:hint="default"/>
        <w:b/>
        <w:i w:val="0"/>
        <w:caps w:val="0"/>
        <w:strike w:val="0"/>
        <w:dstrike w:val="0"/>
        <w:vanish w:val="0"/>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582E138F"/>
    <w:multiLevelType w:val="hybridMultilevel"/>
    <w:tmpl w:val="BBAC4460"/>
    <w:lvl w:ilvl="0" w:tplc="08070017">
      <w:start w:val="1"/>
      <w:numFmt w:val="lowerLetter"/>
      <w:lvlText w:val="%1)"/>
      <w:lvlJc w:val="left"/>
      <w:pPr>
        <w:ind w:left="720" w:hanging="360"/>
      </w:pPr>
    </w:lvl>
    <w:lvl w:ilvl="1" w:tplc="040C0001">
      <w:start w:val="1"/>
      <w:numFmt w:val="bullet"/>
      <w:lvlText w:val=""/>
      <w:lvlJc w:val="left"/>
      <w:pPr>
        <w:ind w:left="1440" w:hanging="360"/>
      </w:pPr>
      <w:rPr>
        <w:rFonts w:ascii="Symbol" w:hAnsi="Symbol" w:hint="default"/>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60D93706"/>
    <w:multiLevelType w:val="hybridMultilevel"/>
    <w:tmpl w:val="62605164"/>
    <w:lvl w:ilvl="0" w:tplc="7E669768">
      <w:start w:val="1"/>
      <w:numFmt w:val="bullet"/>
      <w:pStyle w:val="Strich6v"/>
      <w:lvlText w:val="―"/>
      <w:lvlJc w:val="left"/>
      <w:pPr>
        <w:tabs>
          <w:tab w:val="num" w:pos="360"/>
        </w:tabs>
        <w:ind w:left="360" w:hanging="360"/>
      </w:pPr>
      <w:rPr>
        <w:rFonts w:ascii="Times New Roman" w:hAnsi="Times New Roman" w:cs="Times New Roman" w:hint="default"/>
        <w:sz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445B88"/>
    <w:multiLevelType w:val="hybridMultilevel"/>
    <w:tmpl w:val="0B647BC0"/>
    <w:lvl w:ilvl="0" w:tplc="F48EA7E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685B3F01"/>
    <w:multiLevelType w:val="hybridMultilevel"/>
    <w:tmpl w:val="8CB80BA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6BB67D20"/>
    <w:multiLevelType w:val="hybridMultilevel"/>
    <w:tmpl w:val="192E705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6D76281D"/>
    <w:multiLevelType w:val="hybridMultilevel"/>
    <w:tmpl w:val="8780A3B8"/>
    <w:lvl w:ilvl="0" w:tplc="11400A96">
      <w:start w:val="1"/>
      <w:numFmt w:val="lowerLetter"/>
      <w:lvlText w:val="%1)"/>
      <w:lvlJc w:val="left"/>
      <w:pPr>
        <w:ind w:left="1065" w:hanging="705"/>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33" w15:restartNumberingAfterBreak="0">
    <w:nsid w:val="7E487266"/>
    <w:multiLevelType w:val="hybridMultilevel"/>
    <w:tmpl w:val="553C42F4"/>
    <w:lvl w:ilvl="0" w:tplc="9C14301A">
      <w:start w:val="1"/>
      <w:numFmt w:val="bullet"/>
      <w:pStyle w:val="Punkt"/>
      <w:lvlText w:val=""/>
      <w:lvlJc w:val="left"/>
      <w:pPr>
        <w:tabs>
          <w:tab w:val="num" w:pos="284"/>
        </w:tabs>
        <w:ind w:left="284" w:hanging="284"/>
      </w:pPr>
      <w:rPr>
        <w:rFonts w:ascii="Symbol" w:hAnsi="Symbol" w:hint="default"/>
        <w:b w:val="0"/>
        <w:i w:val="0"/>
        <w:sz w:val="20"/>
      </w:rPr>
    </w:lvl>
    <w:lvl w:ilvl="1" w:tplc="08070003">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28"/>
  </w:num>
  <w:num w:numId="4">
    <w:abstractNumId w:val="15"/>
  </w:num>
  <w:num w:numId="5">
    <w:abstractNumId w:val="0"/>
  </w:num>
  <w:num w:numId="6">
    <w:abstractNumId w:val="8"/>
  </w:num>
  <w:num w:numId="7">
    <w:abstractNumId w:val="33"/>
  </w:num>
  <w:num w:numId="8">
    <w:abstractNumId w:val="25"/>
  </w:num>
  <w:num w:numId="9">
    <w:abstractNumId w:val="1"/>
  </w:num>
  <w:num w:numId="10">
    <w:abstractNumId w:val="16"/>
  </w:num>
  <w:num w:numId="11">
    <w:abstractNumId w:val="7"/>
  </w:num>
  <w:num w:numId="12">
    <w:abstractNumId w:val="22"/>
  </w:num>
  <w:num w:numId="13">
    <w:abstractNumId w:val="26"/>
  </w:num>
  <w:num w:numId="14">
    <w:abstractNumId w:val="14"/>
  </w:num>
  <w:num w:numId="15">
    <w:abstractNumId w:val="6"/>
  </w:num>
  <w:num w:numId="16">
    <w:abstractNumId w:val="24"/>
  </w:num>
  <w:num w:numId="17">
    <w:abstractNumId w:val="5"/>
  </w:num>
  <w:num w:numId="18">
    <w:abstractNumId w:val="21"/>
  </w:num>
  <w:num w:numId="19">
    <w:abstractNumId w:val="32"/>
  </w:num>
  <w:num w:numId="20">
    <w:abstractNumId w:val="18"/>
  </w:num>
  <w:num w:numId="21">
    <w:abstractNumId w:val="19"/>
  </w:num>
  <w:num w:numId="22">
    <w:abstractNumId w:val="31"/>
  </w:num>
  <w:num w:numId="23">
    <w:abstractNumId w:val="20"/>
  </w:num>
  <w:num w:numId="24">
    <w:abstractNumId w:val="29"/>
  </w:num>
  <w:num w:numId="25">
    <w:abstractNumId w:val="9"/>
  </w:num>
  <w:num w:numId="26">
    <w:abstractNumId w:val="27"/>
  </w:num>
  <w:num w:numId="27">
    <w:abstractNumId w:val="17"/>
  </w:num>
  <w:num w:numId="28">
    <w:abstractNumId w:val="11"/>
  </w:num>
  <w:num w:numId="29">
    <w:abstractNumId w:val="2"/>
  </w:num>
  <w:num w:numId="30">
    <w:abstractNumId w:val="3"/>
  </w:num>
  <w:num w:numId="31">
    <w:abstractNumId w:val="4"/>
  </w:num>
  <w:num w:numId="32">
    <w:abstractNumId w:val="23"/>
  </w:num>
  <w:num w:numId="33">
    <w:abstractNumId w:val="13"/>
  </w:num>
  <w:num w:numId="34">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mirrorMargins/>
  <w:activeWritingStyle w:appName="MSWord" w:lang="it-CH" w:vendorID="64" w:dllVersion="6" w:nlCheck="1" w:checkStyle="0"/>
  <w:activeWritingStyle w:appName="MSWord" w:lang="de-CH" w:vendorID="64" w:dllVersion="6" w:nlCheck="1" w:checkStyle="0"/>
  <w:activeWritingStyle w:appName="MSWord" w:lang="de-DE" w:vendorID="64" w:dllVersion="6" w:nlCheck="1" w:checkStyle="0"/>
  <w:activeWritingStyle w:appName="MSWord" w:lang="it-IT" w:vendorID="64" w:dllVersion="6" w:nlCheck="1" w:checkStyle="0"/>
  <w:activeWritingStyle w:appName="MSWord" w:lang="en-US" w:vendorID="64" w:dllVersion="6" w:nlCheck="1" w:checkStyle="1"/>
  <w:activeWritingStyle w:appName="MSWord" w:lang="fr-FR" w:vendorID="64" w:dllVersion="6" w:nlCheck="1" w:checkStyle="0"/>
  <w:activeWritingStyle w:appName="MSWord" w:lang="fr-CH" w:vendorID="64" w:dllVersion="6" w:nlCheck="1" w:checkStyle="0"/>
  <w:activeWritingStyle w:appName="MSWord" w:lang="de-AT" w:vendorID="64" w:dllVersion="6" w:nlCheck="1" w:checkStyle="0"/>
  <w:activeWritingStyle w:appName="MSWord" w:lang="en-GB" w:vendorID="64" w:dllVersion="6" w:nlCheck="1" w:checkStyle="1"/>
  <w:activeWritingStyle w:appName="MSWord" w:lang="de-DE" w:vendorID="64" w:dllVersion="4096" w:nlCheck="1" w:checkStyle="0"/>
  <w:activeWritingStyle w:appName="MSWord" w:lang="de-CH" w:vendorID="64" w:dllVersion="4096" w:nlCheck="1" w:checkStyle="0"/>
  <w:activeWritingStyle w:appName="MSWord" w:lang="fr-CH"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131078" w:nlCheck="1" w:checkStyle="0"/>
  <w:activeWritingStyle w:appName="MSWord" w:lang="en-US" w:vendorID="64" w:dllVersion="131078" w:nlCheck="1" w:checkStyle="1"/>
  <w:activeWritingStyle w:appName="MSWord" w:lang="de-CH" w:vendorID="64" w:dllVersion="131078" w:nlCheck="1" w:checkStyle="0"/>
  <w:activeWritingStyle w:appName="MSWord" w:lang="it-CH" w:vendorID="64" w:dllVersion="131078" w:nlCheck="1" w:checkStyle="0"/>
  <w:activeWritingStyle w:appName="MSWord" w:lang="fr-FR" w:vendorID="64" w:dllVersion="131078" w:nlCheck="1" w:checkStyle="0"/>
  <w:defaultTabStop w:val="720"/>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7D7"/>
    <w:rsid w:val="000001B4"/>
    <w:rsid w:val="00000BA6"/>
    <w:rsid w:val="000016A8"/>
    <w:rsid w:val="0000179F"/>
    <w:rsid w:val="000020E7"/>
    <w:rsid w:val="0000229A"/>
    <w:rsid w:val="00002807"/>
    <w:rsid w:val="000028BB"/>
    <w:rsid w:val="00002DF8"/>
    <w:rsid w:val="000032C4"/>
    <w:rsid w:val="00003447"/>
    <w:rsid w:val="000036BA"/>
    <w:rsid w:val="00003A70"/>
    <w:rsid w:val="00003F77"/>
    <w:rsid w:val="00004862"/>
    <w:rsid w:val="000048B9"/>
    <w:rsid w:val="00005C0E"/>
    <w:rsid w:val="0000614B"/>
    <w:rsid w:val="000065FE"/>
    <w:rsid w:val="0000663E"/>
    <w:rsid w:val="00006D70"/>
    <w:rsid w:val="00006EA8"/>
    <w:rsid w:val="000072B4"/>
    <w:rsid w:val="00007793"/>
    <w:rsid w:val="00007C7E"/>
    <w:rsid w:val="00007EE0"/>
    <w:rsid w:val="0001070B"/>
    <w:rsid w:val="00010942"/>
    <w:rsid w:val="00011912"/>
    <w:rsid w:val="000119E3"/>
    <w:rsid w:val="00011B41"/>
    <w:rsid w:val="00011F6A"/>
    <w:rsid w:val="000121C8"/>
    <w:rsid w:val="00012211"/>
    <w:rsid w:val="00012BF8"/>
    <w:rsid w:val="00012DD4"/>
    <w:rsid w:val="00014429"/>
    <w:rsid w:val="00014B95"/>
    <w:rsid w:val="00014FF6"/>
    <w:rsid w:val="00015EC5"/>
    <w:rsid w:val="0001655A"/>
    <w:rsid w:val="00016C94"/>
    <w:rsid w:val="00016F82"/>
    <w:rsid w:val="000173AB"/>
    <w:rsid w:val="00017555"/>
    <w:rsid w:val="0001757C"/>
    <w:rsid w:val="0001778C"/>
    <w:rsid w:val="000178CB"/>
    <w:rsid w:val="00020624"/>
    <w:rsid w:val="00020830"/>
    <w:rsid w:val="00020D3C"/>
    <w:rsid w:val="00020D88"/>
    <w:rsid w:val="000210B1"/>
    <w:rsid w:val="0002165E"/>
    <w:rsid w:val="00021783"/>
    <w:rsid w:val="000220ED"/>
    <w:rsid w:val="00022FE3"/>
    <w:rsid w:val="000230E6"/>
    <w:rsid w:val="000232DA"/>
    <w:rsid w:val="0002357C"/>
    <w:rsid w:val="00023CBB"/>
    <w:rsid w:val="00024000"/>
    <w:rsid w:val="000241C4"/>
    <w:rsid w:val="00025238"/>
    <w:rsid w:val="00026B83"/>
    <w:rsid w:val="00026E0E"/>
    <w:rsid w:val="00026E20"/>
    <w:rsid w:val="0002761B"/>
    <w:rsid w:val="00027D8A"/>
    <w:rsid w:val="00030261"/>
    <w:rsid w:val="00030287"/>
    <w:rsid w:val="000319AE"/>
    <w:rsid w:val="00031A67"/>
    <w:rsid w:val="0003288C"/>
    <w:rsid w:val="00032C96"/>
    <w:rsid w:val="000331E8"/>
    <w:rsid w:val="0003359F"/>
    <w:rsid w:val="00033AB5"/>
    <w:rsid w:val="000349EF"/>
    <w:rsid w:val="00034F14"/>
    <w:rsid w:val="00035D75"/>
    <w:rsid w:val="00035D9F"/>
    <w:rsid w:val="00035EF3"/>
    <w:rsid w:val="00036154"/>
    <w:rsid w:val="0003622A"/>
    <w:rsid w:val="00036237"/>
    <w:rsid w:val="000363BF"/>
    <w:rsid w:val="00037139"/>
    <w:rsid w:val="00037BBE"/>
    <w:rsid w:val="00040252"/>
    <w:rsid w:val="00040714"/>
    <w:rsid w:val="00040A46"/>
    <w:rsid w:val="00040C24"/>
    <w:rsid w:val="0004150F"/>
    <w:rsid w:val="00042346"/>
    <w:rsid w:val="00042B6C"/>
    <w:rsid w:val="0004372B"/>
    <w:rsid w:val="00043A97"/>
    <w:rsid w:val="00043F53"/>
    <w:rsid w:val="000441EB"/>
    <w:rsid w:val="00044221"/>
    <w:rsid w:val="000448EF"/>
    <w:rsid w:val="00044AEE"/>
    <w:rsid w:val="0004503F"/>
    <w:rsid w:val="0004527B"/>
    <w:rsid w:val="0004550A"/>
    <w:rsid w:val="000465C2"/>
    <w:rsid w:val="00046B5E"/>
    <w:rsid w:val="00046D30"/>
    <w:rsid w:val="000470F0"/>
    <w:rsid w:val="0004728C"/>
    <w:rsid w:val="000504C9"/>
    <w:rsid w:val="0005087B"/>
    <w:rsid w:val="00051A81"/>
    <w:rsid w:val="00051C6D"/>
    <w:rsid w:val="00051EC4"/>
    <w:rsid w:val="000522D1"/>
    <w:rsid w:val="00053C84"/>
    <w:rsid w:val="000547DE"/>
    <w:rsid w:val="00055548"/>
    <w:rsid w:val="00057967"/>
    <w:rsid w:val="00060131"/>
    <w:rsid w:val="000603E2"/>
    <w:rsid w:val="00060567"/>
    <w:rsid w:val="0006070A"/>
    <w:rsid w:val="0006161E"/>
    <w:rsid w:val="000616BC"/>
    <w:rsid w:val="00061B22"/>
    <w:rsid w:val="00061BB2"/>
    <w:rsid w:val="000620EC"/>
    <w:rsid w:val="00062480"/>
    <w:rsid w:val="00062655"/>
    <w:rsid w:val="0006314E"/>
    <w:rsid w:val="000631D1"/>
    <w:rsid w:val="000634F3"/>
    <w:rsid w:val="00063EC8"/>
    <w:rsid w:val="0006460C"/>
    <w:rsid w:val="000646C2"/>
    <w:rsid w:val="00064769"/>
    <w:rsid w:val="00065F24"/>
    <w:rsid w:val="00066108"/>
    <w:rsid w:val="000672B7"/>
    <w:rsid w:val="0006746E"/>
    <w:rsid w:val="000676A8"/>
    <w:rsid w:val="0006770F"/>
    <w:rsid w:val="00067A1A"/>
    <w:rsid w:val="00067EBB"/>
    <w:rsid w:val="0007017F"/>
    <w:rsid w:val="0007072B"/>
    <w:rsid w:val="00071093"/>
    <w:rsid w:val="0007124B"/>
    <w:rsid w:val="000712BE"/>
    <w:rsid w:val="00071451"/>
    <w:rsid w:val="00071545"/>
    <w:rsid w:val="00071756"/>
    <w:rsid w:val="000717DA"/>
    <w:rsid w:val="00072812"/>
    <w:rsid w:val="00072DDF"/>
    <w:rsid w:val="00072E10"/>
    <w:rsid w:val="000736C0"/>
    <w:rsid w:val="000738B2"/>
    <w:rsid w:val="00073BD1"/>
    <w:rsid w:val="00073CF5"/>
    <w:rsid w:val="000746BD"/>
    <w:rsid w:val="00074949"/>
    <w:rsid w:val="00074B94"/>
    <w:rsid w:val="00074FD4"/>
    <w:rsid w:val="000756CF"/>
    <w:rsid w:val="00075A60"/>
    <w:rsid w:val="00076595"/>
    <w:rsid w:val="000765A4"/>
    <w:rsid w:val="00076643"/>
    <w:rsid w:val="00076CA7"/>
    <w:rsid w:val="00077833"/>
    <w:rsid w:val="00077C67"/>
    <w:rsid w:val="00077E46"/>
    <w:rsid w:val="000801A3"/>
    <w:rsid w:val="00080809"/>
    <w:rsid w:val="00080A55"/>
    <w:rsid w:val="00080C9E"/>
    <w:rsid w:val="00080DE0"/>
    <w:rsid w:val="00080EFC"/>
    <w:rsid w:val="00081244"/>
    <w:rsid w:val="00081609"/>
    <w:rsid w:val="000817CC"/>
    <w:rsid w:val="000820D1"/>
    <w:rsid w:val="000822A1"/>
    <w:rsid w:val="00082534"/>
    <w:rsid w:val="00082C84"/>
    <w:rsid w:val="00082F30"/>
    <w:rsid w:val="000830AB"/>
    <w:rsid w:val="00083717"/>
    <w:rsid w:val="000839B0"/>
    <w:rsid w:val="000843DA"/>
    <w:rsid w:val="000851E8"/>
    <w:rsid w:val="000859CB"/>
    <w:rsid w:val="0008682B"/>
    <w:rsid w:val="00086D19"/>
    <w:rsid w:val="000871A7"/>
    <w:rsid w:val="00087781"/>
    <w:rsid w:val="00087EF1"/>
    <w:rsid w:val="0009014A"/>
    <w:rsid w:val="00090161"/>
    <w:rsid w:val="00090612"/>
    <w:rsid w:val="00090CD9"/>
    <w:rsid w:val="00090DBB"/>
    <w:rsid w:val="0009141B"/>
    <w:rsid w:val="00091855"/>
    <w:rsid w:val="00091EA5"/>
    <w:rsid w:val="00092339"/>
    <w:rsid w:val="000927D7"/>
    <w:rsid w:val="000930DC"/>
    <w:rsid w:val="00093C03"/>
    <w:rsid w:val="000941C2"/>
    <w:rsid w:val="00094203"/>
    <w:rsid w:val="0009440F"/>
    <w:rsid w:val="00094681"/>
    <w:rsid w:val="00094DD8"/>
    <w:rsid w:val="000955B3"/>
    <w:rsid w:val="00096AA1"/>
    <w:rsid w:val="00096AAD"/>
    <w:rsid w:val="00096B62"/>
    <w:rsid w:val="00096B69"/>
    <w:rsid w:val="000A05D0"/>
    <w:rsid w:val="000A0A3A"/>
    <w:rsid w:val="000A102E"/>
    <w:rsid w:val="000A254F"/>
    <w:rsid w:val="000A2B94"/>
    <w:rsid w:val="000A3B06"/>
    <w:rsid w:val="000A3E75"/>
    <w:rsid w:val="000A41EA"/>
    <w:rsid w:val="000A4F12"/>
    <w:rsid w:val="000A59AC"/>
    <w:rsid w:val="000A59E0"/>
    <w:rsid w:val="000A5C95"/>
    <w:rsid w:val="000A7143"/>
    <w:rsid w:val="000B067B"/>
    <w:rsid w:val="000B0C07"/>
    <w:rsid w:val="000B10A7"/>
    <w:rsid w:val="000B144E"/>
    <w:rsid w:val="000B23A4"/>
    <w:rsid w:val="000B3E93"/>
    <w:rsid w:val="000B42A6"/>
    <w:rsid w:val="000B4619"/>
    <w:rsid w:val="000B4803"/>
    <w:rsid w:val="000B4F82"/>
    <w:rsid w:val="000B53DC"/>
    <w:rsid w:val="000B53EC"/>
    <w:rsid w:val="000B546B"/>
    <w:rsid w:val="000B56B2"/>
    <w:rsid w:val="000B5E89"/>
    <w:rsid w:val="000B6288"/>
    <w:rsid w:val="000B650E"/>
    <w:rsid w:val="000B651B"/>
    <w:rsid w:val="000B67D6"/>
    <w:rsid w:val="000B697C"/>
    <w:rsid w:val="000B6C02"/>
    <w:rsid w:val="000B703D"/>
    <w:rsid w:val="000B7166"/>
    <w:rsid w:val="000B75A3"/>
    <w:rsid w:val="000B7903"/>
    <w:rsid w:val="000B7B54"/>
    <w:rsid w:val="000C0A79"/>
    <w:rsid w:val="000C14A1"/>
    <w:rsid w:val="000C15CD"/>
    <w:rsid w:val="000C1671"/>
    <w:rsid w:val="000C2C52"/>
    <w:rsid w:val="000C2ECF"/>
    <w:rsid w:val="000C34CB"/>
    <w:rsid w:val="000C3832"/>
    <w:rsid w:val="000C3A22"/>
    <w:rsid w:val="000C3CC9"/>
    <w:rsid w:val="000C4696"/>
    <w:rsid w:val="000C489A"/>
    <w:rsid w:val="000C5A6F"/>
    <w:rsid w:val="000C5F6F"/>
    <w:rsid w:val="000C5FC5"/>
    <w:rsid w:val="000C6057"/>
    <w:rsid w:val="000C6990"/>
    <w:rsid w:val="000D0C3E"/>
    <w:rsid w:val="000D0CE1"/>
    <w:rsid w:val="000D2276"/>
    <w:rsid w:val="000D2786"/>
    <w:rsid w:val="000D27F7"/>
    <w:rsid w:val="000D2B62"/>
    <w:rsid w:val="000D2FB3"/>
    <w:rsid w:val="000D3BCE"/>
    <w:rsid w:val="000D42AC"/>
    <w:rsid w:val="000D45C0"/>
    <w:rsid w:val="000D45CA"/>
    <w:rsid w:val="000D47F6"/>
    <w:rsid w:val="000D725F"/>
    <w:rsid w:val="000D785F"/>
    <w:rsid w:val="000D79CB"/>
    <w:rsid w:val="000D7DEA"/>
    <w:rsid w:val="000E0792"/>
    <w:rsid w:val="000E0797"/>
    <w:rsid w:val="000E14A2"/>
    <w:rsid w:val="000E18AA"/>
    <w:rsid w:val="000E1E7C"/>
    <w:rsid w:val="000E2827"/>
    <w:rsid w:val="000E2F02"/>
    <w:rsid w:val="000E2F9F"/>
    <w:rsid w:val="000E2FDA"/>
    <w:rsid w:val="000E37DE"/>
    <w:rsid w:val="000E382B"/>
    <w:rsid w:val="000E3B15"/>
    <w:rsid w:val="000E49B4"/>
    <w:rsid w:val="000E58B2"/>
    <w:rsid w:val="000E5EDB"/>
    <w:rsid w:val="000E5F3F"/>
    <w:rsid w:val="000E6CD6"/>
    <w:rsid w:val="000E7334"/>
    <w:rsid w:val="000E74E3"/>
    <w:rsid w:val="000E766A"/>
    <w:rsid w:val="000F0B99"/>
    <w:rsid w:val="000F12C1"/>
    <w:rsid w:val="000F13F5"/>
    <w:rsid w:val="000F14E5"/>
    <w:rsid w:val="000F1826"/>
    <w:rsid w:val="000F2606"/>
    <w:rsid w:val="000F2C72"/>
    <w:rsid w:val="000F2C84"/>
    <w:rsid w:val="000F39AC"/>
    <w:rsid w:val="000F462A"/>
    <w:rsid w:val="000F49E3"/>
    <w:rsid w:val="000F4B0B"/>
    <w:rsid w:val="000F5B60"/>
    <w:rsid w:val="000F66E9"/>
    <w:rsid w:val="000F68D2"/>
    <w:rsid w:val="000F6E9C"/>
    <w:rsid w:val="001000BF"/>
    <w:rsid w:val="001005CF"/>
    <w:rsid w:val="001006BD"/>
    <w:rsid w:val="00100B42"/>
    <w:rsid w:val="00100D5A"/>
    <w:rsid w:val="001011EA"/>
    <w:rsid w:val="0010172D"/>
    <w:rsid w:val="001018FE"/>
    <w:rsid w:val="0010190C"/>
    <w:rsid w:val="00101CFC"/>
    <w:rsid w:val="00101EB1"/>
    <w:rsid w:val="0010256F"/>
    <w:rsid w:val="00102578"/>
    <w:rsid w:val="00102A2F"/>
    <w:rsid w:val="00102BB4"/>
    <w:rsid w:val="00102C52"/>
    <w:rsid w:val="00103447"/>
    <w:rsid w:val="001035C5"/>
    <w:rsid w:val="0010465D"/>
    <w:rsid w:val="0010577B"/>
    <w:rsid w:val="001057C2"/>
    <w:rsid w:val="00105CD2"/>
    <w:rsid w:val="001062F5"/>
    <w:rsid w:val="001065E9"/>
    <w:rsid w:val="00107E36"/>
    <w:rsid w:val="00107EBF"/>
    <w:rsid w:val="0011007A"/>
    <w:rsid w:val="00110209"/>
    <w:rsid w:val="00110CFA"/>
    <w:rsid w:val="00111115"/>
    <w:rsid w:val="001111DA"/>
    <w:rsid w:val="001119D0"/>
    <w:rsid w:val="001122EB"/>
    <w:rsid w:val="00112DEE"/>
    <w:rsid w:val="001135FA"/>
    <w:rsid w:val="0011394E"/>
    <w:rsid w:val="00114B9D"/>
    <w:rsid w:val="001159DD"/>
    <w:rsid w:val="00115ACA"/>
    <w:rsid w:val="0011641B"/>
    <w:rsid w:val="0011659D"/>
    <w:rsid w:val="00116D99"/>
    <w:rsid w:val="00117696"/>
    <w:rsid w:val="0011770A"/>
    <w:rsid w:val="00120BD6"/>
    <w:rsid w:val="00120FDC"/>
    <w:rsid w:val="001210CC"/>
    <w:rsid w:val="00121292"/>
    <w:rsid w:val="00121B53"/>
    <w:rsid w:val="001222BD"/>
    <w:rsid w:val="001223D0"/>
    <w:rsid w:val="0012284C"/>
    <w:rsid w:val="001229D8"/>
    <w:rsid w:val="00122E33"/>
    <w:rsid w:val="00123481"/>
    <w:rsid w:val="0012368F"/>
    <w:rsid w:val="001238D4"/>
    <w:rsid w:val="001239CB"/>
    <w:rsid w:val="00123C88"/>
    <w:rsid w:val="0012474F"/>
    <w:rsid w:val="001249D1"/>
    <w:rsid w:val="00124B07"/>
    <w:rsid w:val="0012569D"/>
    <w:rsid w:val="00125819"/>
    <w:rsid w:val="001259B6"/>
    <w:rsid w:val="0012607C"/>
    <w:rsid w:val="0012627B"/>
    <w:rsid w:val="00127107"/>
    <w:rsid w:val="00127D0A"/>
    <w:rsid w:val="0013053E"/>
    <w:rsid w:val="00130837"/>
    <w:rsid w:val="00130B97"/>
    <w:rsid w:val="001313E7"/>
    <w:rsid w:val="001316A8"/>
    <w:rsid w:val="001319F7"/>
    <w:rsid w:val="00131EA8"/>
    <w:rsid w:val="00132382"/>
    <w:rsid w:val="001324C0"/>
    <w:rsid w:val="00133481"/>
    <w:rsid w:val="00133E92"/>
    <w:rsid w:val="00134B66"/>
    <w:rsid w:val="00134D89"/>
    <w:rsid w:val="00134E2B"/>
    <w:rsid w:val="001351FB"/>
    <w:rsid w:val="00135409"/>
    <w:rsid w:val="00135878"/>
    <w:rsid w:val="001358BF"/>
    <w:rsid w:val="0013632D"/>
    <w:rsid w:val="001363AD"/>
    <w:rsid w:val="00136C50"/>
    <w:rsid w:val="00136F84"/>
    <w:rsid w:val="00137599"/>
    <w:rsid w:val="00137D76"/>
    <w:rsid w:val="00137ED5"/>
    <w:rsid w:val="001400B4"/>
    <w:rsid w:val="0014085E"/>
    <w:rsid w:val="00140988"/>
    <w:rsid w:val="00140C03"/>
    <w:rsid w:val="00140F9D"/>
    <w:rsid w:val="001410D7"/>
    <w:rsid w:val="0014150F"/>
    <w:rsid w:val="001415C9"/>
    <w:rsid w:val="00141638"/>
    <w:rsid w:val="00141DC8"/>
    <w:rsid w:val="00142D1B"/>
    <w:rsid w:val="001433C7"/>
    <w:rsid w:val="001436F4"/>
    <w:rsid w:val="00143776"/>
    <w:rsid w:val="00143DAD"/>
    <w:rsid w:val="00144398"/>
    <w:rsid w:val="001445E3"/>
    <w:rsid w:val="00144862"/>
    <w:rsid w:val="00144FAB"/>
    <w:rsid w:val="0014540C"/>
    <w:rsid w:val="0014558D"/>
    <w:rsid w:val="00146054"/>
    <w:rsid w:val="001464BC"/>
    <w:rsid w:val="00146D73"/>
    <w:rsid w:val="00146E3B"/>
    <w:rsid w:val="001472EC"/>
    <w:rsid w:val="00150BAB"/>
    <w:rsid w:val="00152B33"/>
    <w:rsid w:val="00152C62"/>
    <w:rsid w:val="00152F6E"/>
    <w:rsid w:val="0015335A"/>
    <w:rsid w:val="0015355A"/>
    <w:rsid w:val="0015364F"/>
    <w:rsid w:val="00153669"/>
    <w:rsid w:val="0015387A"/>
    <w:rsid w:val="00154617"/>
    <w:rsid w:val="001560AD"/>
    <w:rsid w:val="00157509"/>
    <w:rsid w:val="0016016D"/>
    <w:rsid w:val="00160F53"/>
    <w:rsid w:val="00162C4B"/>
    <w:rsid w:val="00162D33"/>
    <w:rsid w:val="001630C4"/>
    <w:rsid w:val="00166649"/>
    <w:rsid w:val="00166797"/>
    <w:rsid w:val="00166C10"/>
    <w:rsid w:val="00166D5C"/>
    <w:rsid w:val="001671FB"/>
    <w:rsid w:val="001677A1"/>
    <w:rsid w:val="00167F3B"/>
    <w:rsid w:val="0017052C"/>
    <w:rsid w:val="001708F0"/>
    <w:rsid w:val="001710B9"/>
    <w:rsid w:val="00171A7A"/>
    <w:rsid w:val="00171B40"/>
    <w:rsid w:val="00171CF7"/>
    <w:rsid w:val="0017204A"/>
    <w:rsid w:val="00172FD9"/>
    <w:rsid w:val="0017355C"/>
    <w:rsid w:val="00173735"/>
    <w:rsid w:val="00175846"/>
    <w:rsid w:val="00175864"/>
    <w:rsid w:val="00175B9F"/>
    <w:rsid w:val="00175C94"/>
    <w:rsid w:val="00176186"/>
    <w:rsid w:val="00176ACC"/>
    <w:rsid w:val="0017744E"/>
    <w:rsid w:val="00177D0A"/>
    <w:rsid w:val="00180471"/>
    <w:rsid w:val="001805F6"/>
    <w:rsid w:val="00180761"/>
    <w:rsid w:val="00180AA0"/>
    <w:rsid w:val="00180FA8"/>
    <w:rsid w:val="00181780"/>
    <w:rsid w:val="00182212"/>
    <w:rsid w:val="001823C5"/>
    <w:rsid w:val="001825D3"/>
    <w:rsid w:val="0018272D"/>
    <w:rsid w:val="00182B1B"/>
    <w:rsid w:val="00182D8D"/>
    <w:rsid w:val="00183B4E"/>
    <w:rsid w:val="00183BC1"/>
    <w:rsid w:val="00183C91"/>
    <w:rsid w:val="001842F9"/>
    <w:rsid w:val="001847A4"/>
    <w:rsid w:val="001850B5"/>
    <w:rsid w:val="001850C3"/>
    <w:rsid w:val="00185341"/>
    <w:rsid w:val="00187A29"/>
    <w:rsid w:val="00187D4D"/>
    <w:rsid w:val="00187EF1"/>
    <w:rsid w:val="00187F5F"/>
    <w:rsid w:val="00190848"/>
    <w:rsid w:val="00190DDE"/>
    <w:rsid w:val="0019213D"/>
    <w:rsid w:val="00192204"/>
    <w:rsid w:val="001922F4"/>
    <w:rsid w:val="0019267B"/>
    <w:rsid w:val="00192AFE"/>
    <w:rsid w:val="00192FA2"/>
    <w:rsid w:val="00193345"/>
    <w:rsid w:val="00193D31"/>
    <w:rsid w:val="001940EF"/>
    <w:rsid w:val="001942E3"/>
    <w:rsid w:val="00194583"/>
    <w:rsid w:val="00194CEA"/>
    <w:rsid w:val="001950F5"/>
    <w:rsid w:val="001953AC"/>
    <w:rsid w:val="00195738"/>
    <w:rsid w:val="00196119"/>
    <w:rsid w:val="0019625A"/>
    <w:rsid w:val="00196DCD"/>
    <w:rsid w:val="00197AEC"/>
    <w:rsid w:val="00197F7F"/>
    <w:rsid w:val="001A01CF"/>
    <w:rsid w:val="001A0C33"/>
    <w:rsid w:val="001A1542"/>
    <w:rsid w:val="001A16DA"/>
    <w:rsid w:val="001A1DE6"/>
    <w:rsid w:val="001A201C"/>
    <w:rsid w:val="001A26FA"/>
    <w:rsid w:val="001A2E4A"/>
    <w:rsid w:val="001A33D1"/>
    <w:rsid w:val="001A33EE"/>
    <w:rsid w:val="001A4276"/>
    <w:rsid w:val="001A4F00"/>
    <w:rsid w:val="001A4F30"/>
    <w:rsid w:val="001A5CDB"/>
    <w:rsid w:val="001A6185"/>
    <w:rsid w:val="001A6519"/>
    <w:rsid w:val="001A6664"/>
    <w:rsid w:val="001A74E7"/>
    <w:rsid w:val="001A7824"/>
    <w:rsid w:val="001B0575"/>
    <w:rsid w:val="001B0804"/>
    <w:rsid w:val="001B0B16"/>
    <w:rsid w:val="001B0D86"/>
    <w:rsid w:val="001B0DB3"/>
    <w:rsid w:val="001B1CF6"/>
    <w:rsid w:val="001B1EB1"/>
    <w:rsid w:val="001B28F9"/>
    <w:rsid w:val="001B32F9"/>
    <w:rsid w:val="001B3B45"/>
    <w:rsid w:val="001B53EE"/>
    <w:rsid w:val="001B594D"/>
    <w:rsid w:val="001B605A"/>
    <w:rsid w:val="001B6557"/>
    <w:rsid w:val="001B6BE0"/>
    <w:rsid w:val="001B6C8A"/>
    <w:rsid w:val="001B6D5D"/>
    <w:rsid w:val="001B785C"/>
    <w:rsid w:val="001C000B"/>
    <w:rsid w:val="001C0D1A"/>
    <w:rsid w:val="001C1077"/>
    <w:rsid w:val="001C1434"/>
    <w:rsid w:val="001C14E0"/>
    <w:rsid w:val="001C17CC"/>
    <w:rsid w:val="001C19BC"/>
    <w:rsid w:val="001C1ACA"/>
    <w:rsid w:val="001C1DAA"/>
    <w:rsid w:val="001C1E9F"/>
    <w:rsid w:val="001C20F9"/>
    <w:rsid w:val="001C2345"/>
    <w:rsid w:val="001C2400"/>
    <w:rsid w:val="001C333F"/>
    <w:rsid w:val="001C39E9"/>
    <w:rsid w:val="001C3A94"/>
    <w:rsid w:val="001C3D37"/>
    <w:rsid w:val="001C44B1"/>
    <w:rsid w:val="001C4739"/>
    <w:rsid w:val="001C477E"/>
    <w:rsid w:val="001C4CA3"/>
    <w:rsid w:val="001C5519"/>
    <w:rsid w:val="001C57C7"/>
    <w:rsid w:val="001C5FF4"/>
    <w:rsid w:val="001C636F"/>
    <w:rsid w:val="001C672F"/>
    <w:rsid w:val="001C6AD1"/>
    <w:rsid w:val="001C716F"/>
    <w:rsid w:val="001C7306"/>
    <w:rsid w:val="001D0180"/>
    <w:rsid w:val="001D06BB"/>
    <w:rsid w:val="001D09E5"/>
    <w:rsid w:val="001D0A53"/>
    <w:rsid w:val="001D0CD5"/>
    <w:rsid w:val="001D11A4"/>
    <w:rsid w:val="001D244A"/>
    <w:rsid w:val="001D2CE0"/>
    <w:rsid w:val="001D363E"/>
    <w:rsid w:val="001D41B5"/>
    <w:rsid w:val="001D4CCE"/>
    <w:rsid w:val="001D4DDA"/>
    <w:rsid w:val="001D5593"/>
    <w:rsid w:val="001D61AE"/>
    <w:rsid w:val="001D66CF"/>
    <w:rsid w:val="001D687F"/>
    <w:rsid w:val="001D6906"/>
    <w:rsid w:val="001D6AC5"/>
    <w:rsid w:val="001D6CA7"/>
    <w:rsid w:val="001D6E1E"/>
    <w:rsid w:val="001D7FCD"/>
    <w:rsid w:val="001E0119"/>
    <w:rsid w:val="001E0135"/>
    <w:rsid w:val="001E0796"/>
    <w:rsid w:val="001E0FEA"/>
    <w:rsid w:val="001E1F01"/>
    <w:rsid w:val="001E2680"/>
    <w:rsid w:val="001E2FBF"/>
    <w:rsid w:val="001E2FEE"/>
    <w:rsid w:val="001E3CA9"/>
    <w:rsid w:val="001E49C0"/>
    <w:rsid w:val="001E5EC2"/>
    <w:rsid w:val="001E6236"/>
    <w:rsid w:val="001E64C2"/>
    <w:rsid w:val="001E7112"/>
    <w:rsid w:val="001F03F8"/>
    <w:rsid w:val="001F09D5"/>
    <w:rsid w:val="001F0A16"/>
    <w:rsid w:val="001F0BC1"/>
    <w:rsid w:val="001F0FF8"/>
    <w:rsid w:val="001F1A78"/>
    <w:rsid w:val="001F1B98"/>
    <w:rsid w:val="001F20D2"/>
    <w:rsid w:val="001F219F"/>
    <w:rsid w:val="001F22F6"/>
    <w:rsid w:val="001F36AF"/>
    <w:rsid w:val="001F4A23"/>
    <w:rsid w:val="001F500E"/>
    <w:rsid w:val="001F5AEB"/>
    <w:rsid w:val="001F5BC4"/>
    <w:rsid w:val="001F607A"/>
    <w:rsid w:val="001F6723"/>
    <w:rsid w:val="001F6B58"/>
    <w:rsid w:val="001F703E"/>
    <w:rsid w:val="001F7177"/>
    <w:rsid w:val="001F717B"/>
    <w:rsid w:val="001F7712"/>
    <w:rsid w:val="00200775"/>
    <w:rsid w:val="00200C28"/>
    <w:rsid w:val="00200FC1"/>
    <w:rsid w:val="00201031"/>
    <w:rsid w:val="002014A5"/>
    <w:rsid w:val="00201802"/>
    <w:rsid w:val="00201A8E"/>
    <w:rsid w:val="00201F32"/>
    <w:rsid w:val="00202C32"/>
    <w:rsid w:val="002031EB"/>
    <w:rsid w:val="002041A5"/>
    <w:rsid w:val="00204EC2"/>
    <w:rsid w:val="00204FCB"/>
    <w:rsid w:val="0020538E"/>
    <w:rsid w:val="002054A2"/>
    <w:rsid w:val="0020579E"/>
    <w:rsid w:val="00205837"/>
    <w:rsid w:val="0020584C"/>
    <w:rsid w:val="00206751"/>
    <w:rsid w:val="00206A74"/>
    <w:rsid w:val="00207962"/>
    <w:rsid w:val="00207C9B"/>
    <w:rsid w:val="0021054F"/>
    <w:rsid w:val="0021099D"/>
    <w:rsid w:val="00211607"/>
    <w:rsid w:val="00211CAC"/>
    <w:rsid w:val="00212063"/>
    <w:rsid w:val="00212209"/>
    <w:rsid w:val="0021227C"/>
    <w:rsid w:val="00212346"/>
    <w:rsid w:val="0021279A"/>
    <w:rsid w:val="002127C7"/>
    <w:rsid w:val="00212893"/>
    <w:rsid w:val="00212BCF"/>
    <w:rsid w:val="002133AB"/>
    <w:rsid w:val="002135C9"/>
    <w:rsid w:val="00213764"/>
    <w:rsid w:val="00213B3E"/>
    <w:rsid w:val="0021441B"/>
    <w:rsid w:val="00214E86"/>
    <w:rsid w:val="00215B52"/>
    <w:rsid w:val="00215BC3"/>
    <w:rsid w:val="0021624A"/>
    <w:rsid w:val="00217389"/>
    <w:rsid w:val="0021762C"/>
    <w:rsid w:val="002177CA"/>
    <w:rsid w:val="00217914"/>
    <w:rsid w:val="00217CBB"/>
    <w:rsid w:val="00217CBC"/>
    <w:rsid w:val="002209A4"/>
    <w:rsid w:val="002209A7"/>
    <w:rsid w:val="00220AC9"/>
    <w:rsid w:val="00220CAE"/>
    <w:rsid w:val="002210E4"/>
    <w:rsid w:val="00221C8E"/>
    <w:rsid w:val="00222BBE"/>
    <w:rsid w:val="00222DFE"/>
    <w:rsid w:val="00223687"/>
    <w:rsid w:val="002237E2"/>
    <w:rsid w:val="00223986"/>
    <w:rsid w:val="00223D96"/>
    <w:rsid w:val="00223F23"/>
    <w:rsid w:val="00224428"/>
    <w:rsid w:val="00224FEA"/>
    <w:rsid w:val="002254F5"/>
    <w:rsid w:val="00225788"/>
    <w:rsid w:val="002257BD"/>
    <w:rsid w:val="00225D18"/>
    <w:rsid w:val="00226BBC"/>
    <w:rsid w:val="00227394"/>
    <w:rsid w:val="002275E1"/>
    <w:rsid w:val="00227734"/>
    <w:rsid w:val="00227AFA"/>
    <w:rsid w:val="0023013D"/>
    <w:rsid w:val="002308DD"/>
    <w:rsid w:val="00230EBB"/>
    <w:rsid w:val="00230EDB"/>
    <w:rsid w:val="002313E2"/>
    <w:rsid w:val="002313E3"/>
    <w:rsid w:val="002319BB"/>
    <w:rsid w:val="00231A50"/>
    <w:rsid w:val="00231B15"/>
    <w:rsid w:val="002322AE"/>
    <w:rsid w:val="002322DE"/>
    <w:rsid w:val="002327F2"/>
    <w:rsid w:val="002333A6"/>
    <w:rsid w:val="00235300"/>
    <w:rsid w:val="00235412"/>
    <w:rsid w:val="002355CA"/>
    <w:rsid w:val="002369F2"/>
    <w:rsid w:val="00236E4F"/>
    <w:rsid w:val="00237004"/>
    <w:rsid w:val="0023719A"/>
    <w:rsid w:val="00237714"/>
    <w:rsid w:val="00237DDB"/>
    <w:rsid w:val="00237F63"/>
    <w:rsid w:val="0024085F"/>
    <w:rsid w:val="00240AC9"/>
    <w:rsid w:val="00241104"/>
    <w:rsid w:val="00241360"/>
    <w:rsid w:val="00242408"/>
    <w:rsid w:val="0024242E"/>
    <w:rsid w:val="002426E9"/>
    <w:rsid w:val="002429BB"/>
    <w:rsid w:val="002434A7"/>
    <w:rsid w:val="0024389F"/>
    <w:rsid w:val="00243CC9"/>
    <w:rsid w:val="00244EE5"/>
    <w:rsid w:val="0024607B"/>
    <w:rsid w:val="00246323"/>
    <w:rsid w:val="00246A1B"/>
    <w:rsid w:val="002472BD"/>
    <w:rsid w:val="002475BF"/>
    <w:rsid w:val="00250149"/>
    <w:rsid w:val="0025033E"/>
    <w:rsid w:val="00250D09"/>
    <w:rsid w:val="00251B0F"/>
    <w:rsid w:val="00252714"/>
    <w:rsid w:val="00253312"/>
    <w:rsid w:val="00253528"/>
    <w:rsid w:val="00253984"/>
    <w:rsid w:val="002543A7"/>
    <w:rsid w:val="00254D9E"/>
    <w:rsid w:val="00255171"/>
    <w:rsid w:val="00255768"/>
    <w:rsid w:val="0025583E"/>
    <w:rsid w:val="00255CD5"/>
    <w:rsid w:val="00256355"/>
    <w:rsid w:val="002566BF"/>
    <w:rsid w:val="002572A4"/>
    <w:rsid w:val="00257B96"/>
    <w:rsid w:val="002601AA"/>
    <w:rsid w:val="002606E2"/>
    <w:rsid w:val="00260A2E"/>
    <w:rsid w:val="0026145F"/>
    <w:rsid w:val="00261635"/>
    <w:rsid w:val="00261B32"/>
    <w:rsid w:val="002620FF"/>
    <w:rsid w:val="002621F2"/>
    <w:rsid w:val="0026232A"/>
    <w:rsid w:val="002624F0"/>
    <w:rsid w:val="002624F4"/>
    <w:rsid w:val="0026295F"/>
    <w:rsid w:val="00263471"/>
    <w:rsid w:val="00263927"/>
    <w:rsid w:val="00263E47"/>
    <w:rsid w:val="0026526F"/>
    <w:rsid w:val="00265346"/>
    <w:rsid w:val="00265751"/>
    <w:rsid w:val="002666BB"/>
    <w:rsid w:val="002674B0"/>
    <w:rsid w:val="002675A3"/>
    <w:rsid w:val="00267BEC"/>
    <w:rsid w:val="00267E8C"/>
    <w:rsid w:val="002703FE"/>
    <w:rsid w:val="00270BB9"/>
    <w:rsid w:val="00270FB0"/>
    <w:rsid w:val="00271236"/>
    <w:rsid w:val="0027175A"/>
    <w:rsid w:val="00271D89"/>
    <w:rsid w:val="00272117"/>
    <w:rsid w:val="002722D8"/>
    <w:rsid w:val="00272691"/>
    <w:rsid w:val="00274580"/>
    <w:rsid w:val="00275AE5"/>
    <w:rsid w:val="002761BC"/>
    <w:rsid w:val="00276454"/>
    <w:rsid w:val="00276638"/>
    <w:rsid w:val="00276D9B"/>
    <w:rsid w:val="00276FB7"/>
    <w:rsid w:val="002773F2"/>
    <w:rsid w:val="00277C71"/>
    <w:rsid w:val="00277CDA"/>
    <w:rsid w:val="00277FBD"/>
    <w:rsid w:val="0028003A"/>
    <w:rsid w:val="002817C9"/>
    <w:rsid w:val="00281E86"/>
    <w:rsid w:val="0028222B"/>
    <w:rsid w:val="002822D7"/>
    <w:rsid w:val="00282C44"/>
    <w:rsid w:val="0028342C"/>
    <w:rsid w:val="00283B4B"/>
    <w:rsid w:val="00283EC4"/>
    <w:rsid w:val="0028435A"/>
    <w:rsid w:val="0028499E"/>
    <w:rsid w:val="00284B46"/>
    <w:rsid w:val="00284FBD"/>
    <w:rsid w:val="00285023"/>
    <w:rsid w:val="00285AB5"/>
    <w:rsid w:val="00286192"/>
    <w:rsid w:val="00287343"/>
    <w:rsid w:val="00290673"/>
    <w:rsid w:val="00290D80"/>
    <w:rsid w:val="00291719"/>
    <w:rsid w:val="00291920"/>
    <w:rsid w:val="002919A4"/>
    <w:rsid w:val="00291BE4"/>
    <w:rsid w:val="00291C73"/>
    <w:rsid w:val="002920A8"/>
    <w:rsid w:val="0029226A"/>
    <w:rsid w:val="00292355"/>
    <w:rsid w:val="00292558"/>
    <w:rsid w:val="00292868"/>
    <w:rsid w:val="00292914"/>
    <w:rsid w:val="00292C4F"/>
    <w:rsid w:val="00293558"/>
    <w:rsid w:val="00293563"/>
    <w:rsid w:val="00293EDC"/>
    <w:rsid w:val="00294610"/>
    <w:rsid w:val="00294CC0"/>
    <w:rsid w:val="00294CE0"/>
    <w:rsid w:val="00295038"/>
    <w:rsid w:val="00296951"/>
    <w:rsid w:val="002969CB"/>
    <w:rsid w:val="00296C2F"/>
    <w:rsid w:val="00297DA9"/>
    <w:rsid w:val="002A00D6"/>
    <w:rsid w:val="002A07D0"/>
    <w:rsid w:val="002A0AC3"/>
    <w:rsid w:val="002A0D08"/>
    <w:rsid w:val="002A14CC"/>
    <w:rsid w:val="002A14E7"/>
    <w:rsid w:val="002A1AF0"/>
    <w:rsid w:val="002A1C63"/>
    <w:rsid w:val="002A1D5C"/>
    <w:rsid w:val="002A36D8"/>
    <w:rsid w:val="002A3872"/>
    <w:rsid w:val="002A3B6D"/>
    <w:rsid w:val="002A3BED"/>
    <w:rsid w:val="002A4D98"/>
    <w:rsid w:val="002A500D"/>
    <w:rsid w:val="002A5220"/>
    <w:rsid w:val="002A5A6A"/>
    <w:rsid w:val="002A616B"/>
    <w:rsid w:val="002A62DC"/>
    <w:rsid w:val="002B110E"/>
    <w:rsid w:val="002B11B3"/>
    <w:rsid w:val="002B1EAC"/>
    <w:rsid w:val="002B24E3"/>
    <w:rsid w:val="002B2577"/>
    <w:rsid w:val="002B32D9"/>
    <w:rsid w:val="002B349C"/>
    <w:rsid w:val="002B3758"/>
    <w:rsid w:val="002B41C3"/>
    <w:rsid w:val="002B4594"/>
    <w:rsid w:val="002B47C5"/>
    <w:rsid w:val="002B4BC7"/>
    <w:rsid w:val="002B586C"/>
    <w:rsid w:val="002B587E"/>
    <w:rsid w:val="002B6069"/>
    <w:rsid w:val="002B7218"/>
    <w:rsid w:val="002B7496"/>
    <w:rsid w:val="002B7AF5"/>
    <w:rsid w:val="002B7B8D"/>
    <w:rsid w:val="002B7F3D"/>
    <w:rsid w:val="002C0343"/>
    <w:rsid w:val="002C03EF"/>
    <w:rsid w:val="002C0C2B"/>
    <w:rsid w:val="002C0CE7"/>
    <w:rsid w:val="002C25C7"/>
    <w:rsid w:val="002C2DBA"/>
    <w:rsid w:val="002C3752"/>
    <w:rsid w:val="002C39DD"/>
    <w:rsid w:val="002C3A81"/>
    <w:rsid w:val="002C3B6F"/>
    <w:rsid w:val="002C3D46"/>
    <w:rsid w:val="002C42A9"/>
    <w:rsid w:val="002C47C5"/>
    <w:rsid w:val="002C4D85"/>
    <w:rsid w:val="002C4EDE"/>
    <w:rsid w:val="002C549F"/>
    <w:rsid w:val="002C66F3"/>
    <w:rsid w:val="002C6E4A"/>
    <w:rsid w:val="002C6F60"/>
    <w:rsid w:val="002C6FDF"/>
    <w:rsid w:val="002C712C"/>
    <w:rsid w:val="002C735B"/>
    <w:rsid w:val="002C7602"/>
    <w:rsid w:val="002C7849"/>
    <w:rsid w:val="002C786B"/>
    <w:rsid w:val="002C7D92"/>
    <w:rsid w:val="002D0752"/>
    <w:rsid w:val="002D12BA"/>
    <w:rsid w:val="002D178F"/>
    <w:rsid w:val="002D19D5"/>
    <w:rsid w:val="002D1B5F"/>
    <w:rsid w:val="002D2056"/>
    <w:rsid w:val="002D209F"/>
    <w:rsid w:val="002D244B"/>
    <w:rsid w:val="002D2A35"/>
    <w:rsid w:val="002D2C60"/>
    <w:rsid w:val="002D2CF1"/>
    <w:rsid w:val="002D2D93"/>
    <w:rsid w:val="002D2DA6"/>
    <w:rsid w:val="002D4592"/>
    <w:rsid w:val="002D4C51"/>
    <w:rsid w:val="002D4E0F"/>
    <w:rsid w:val="002D53DB"/>
    <w:rsid w:val="002D54E2"/>
    <w:rsid w:val="002D693F"/>
    <w:rsid w:val="002D6A5A"/>
    <w:rsid w:val="002D79C5"/>
    <w:rsid w:val="002D7CFC"/>
    <w:rsid w:val="002E0BF7"/>
    <w:rsid w:val="002E1162"/>
    <w:rsid w:val="002E1705"/>
    <w:rsid w:val="002E1BB3"/>
    <w:rsid w:val="002E294C"/>
    <w:rsid w:val="002E30FE"/>
    <w:rsid w:val="002E3E2B"/>
    <w:rsid w:val="002E4573"/>
    <w:rsid w:val="002E5143"/>
    <w:rsid w:val="002E6C23"/>
    <w:rsid w:val="002E6E78"/>
    <w:rsid w:val="002E7D51"/>
    <w:rsid w:val="002E7E39"/>
    <w:rsid w:val="002F01E2"/>
    <w:rsid w:val="002F1124"/>
    <w:rsid w:val="002F119A"/>
    <w:rsid w:val="002F1467"/>
    <w:rsid w:val="002F22D4"/>
    <w:rsid w:val="002F28CF"/>
    <w:rsid w:val="002F2AFA"/>
    <w:rsid w:val="002F2CC7"/>
    <w:rsid w:val="002F2D77"/>
    <w:rsid w:val="002F32D3"/>
    <w:rsid w:val="002F343F"/>
    <w:rsid w:val="002F36BC"/>
    <w:rsid w:val="002F3802"/>
    <w:rsid w:val="002F3BA9"/>
    <w:rsid w:val="002F3E29"/>
    <w:rsid w:val="002F3E7C"/>
    <w:rsid w:val="002F3F37"/>
    <w:rsid w:val="002F41B2"/>
    <w:rsid w:val="002F4610"/>
    <w:rsid w:val="002F49F1"/>
    <w:rsid w:val="002F531C"/>
    <w:rsid w:val="002F59D8"/>
    <w:rsid w:val="002F5BD4"/>
    <w:rsid w:val="002F645E"/>
    <w:rsid w:val="002F66AE"/>
    <w:rsid w:val="002F6A37"/>
    <w:rsid w:val="002F73BB"/>
    <w:rsid w:val="002F7A56"/>
    <w:rsid w:val="002F7BD4"/>
    <w:rsid w:val="003005F4"/>
    <w:rsid w:val="003008D1"/>
    <w:rsid w:val="00300D1F"/>
    <w:rsid w:val="0030191E"/>
    <w:rsid w:val="00301B9F"/>
    <w:rsid w:val="00301BD6"/>
    <w:rsid w:val="00302076"/>
    <w:rsid w:val="003020F2"/>
    <w:rsid w:val="00303177"/>
    <w:rsid w:val="00303D78"/>
    <w:rsid w:val="003041DE"/>
    <w:rsid w:val="00304221"/>
    <w:rsid w:val="00304588"/>
    <w:rsid w:val="00304C3A"/>
    <w:rsid w:val="003050DC"/>
    <w:rsid w:val="00305E4D"/>
    <w:rsid w:val="00306392"/>
    <w:rsid w:val="00307147"/>
    <w:rsid w:val="0030737A"/>
    <w:rsid w:val="00307739"/>
    <w:rsid w:val="0030777D"/>
    <w:rsid w:val="003078C4"/>
    <w:rsid w:val="00307D1A"/>
    <w:rsid w:val="00310195"/>
    <w:rsid w:val="0031038D"/>
    <w:rsid w:val="0031061E"/>
    <w:rsid w:val="00310DC9"/>
    <w:rsid w:val="003111E1"/>
    <w:rsid w:val="0031148B"/>
    <w:rsid w:val="00311DA0"/>
    <w:rsid w:val="00312936"/>
    <w:rsid w:val="003139DF"/>
    <w:rsid w:val="00314090"/>
    <w:rsid w:val="0031448D"/>
    <w:rsid w:val="00314862"/>
    <w:rsid w:val="00314935"/>
    <w:rsid w:val="0031535B"/>
    <w:rsid w:val="003157D1"/>
    <w:rsid w:val="00315855"/>
    <w:rsid w:val="003158DC"/>
    <w:rsid w:val="003159CC"/>
    <w:rsid w:val="00315A91"/>
    <w:rsid w:val="00316CA0"/>
    <w:rsid w:val="00316CDF"/>
    <w:rsid w:val="00316CFE"/>
    <w:rsid w:val="00316F63"/>
    <w:rsid w:val="00317353"/>
    <w:rsid w:val="00320590"/>
    <w:rsid w:val="003205B3"/>
    <w:rsid w:val="00320A30"/>
    <w:rsid w:val="00320E6A"/>
    <w:rsid w:val="00321314"/>
    <w:rsid w:val="00321ED8"/>
    <w:rsid w:val="003220E6"/>
    <w:rsid w:val="00322342"/>
    <w:rsid w:val="003223AA"/>
    <w:rsid w:val="00322486"/>
    <w:rsid w:val="00323501"/>
    <w:rsid w:val="00323DEE"/>
    <w:rsid w:val="003259C5"/>
    <w:rsid w:val="00325A1D"/>
    <w:rsid w:val="003271C8"/>
    <w:rsid w:val="00327A02"/>
    <w:rsid w:val="003319C2"/>
    <w:rsid w:val="00331C77"/>
    <w:rsid w:val="0033206A"/>
    <w:rsid w:val="00332206"/>
    <w:rsid w:val="003328CD"/>
    <w:rsid w:val="00332AF2"/>
    <w:rsid w:val="00332CEF"/>
    <w:rsid w:val="0033355A"/>
    <w:rsid w:val="00334293"/>
    <w:rsid w:val="003344F7"/>
    <w:rsid w:val="00335039"/>
    <w:rsid w:val="0033597D"/>
    <w:rsid w:val="00335C7A"/>
    <w:rsid w:val="00336613"/>
    <w:rsid w:val="00336AD1"/>
    <w:rsid w:val="00336AF1"/>
    <w:rsid w:val="00337631"/>
    <w:rsid w:val="00337D9B"/>
    <w:rsid w:val="00340180"/>
    <w:rsid w:val="003401A2"/>
    <w:rsid w:val="003406E6"/>
    <w:rsid w:val="003407C1"/>
    <w:rsid w:val="00340DE0"/>
    <w:rsid w:val="0034149F"/>
    <w:rsid w:val="00341510"/>
    <w:rsid w:val="0034195C"/>
    <w:rsid w:val="00341BC3"/>
    <w:rsid w:val="00341D20"/>
    <w:rsid w:val="0034204F"/>
    <w:rsid w:val="00342A4A"/>
    <w:rsid w:val="00342A69"/>
    <w:rsid w:val="00344546"/>
    <w:rsid w:val="003445DC"/>
    <w:rsid w:val="00344626"/>
    <w:rsid w:val="00344896"/>
    <w:rsid w:val="0034540B"/>
    <w:rsid w:val="00345655"/>
    <w:rsid w:val="00345884"/>
    <w:rsid w:val="00345B7A"/>
    <w:rsid w:val="00345C5F"/>
    <w:rsid w:val="00346190"/>
    <w:rsid w:val="00346259"/>
    <w:rsid w:val="0034660B"/>
    <w:rsid w:val="00346701"/>
    <w:rsid w:val="003468E9"/>
    <w:rsid w:val="00346B75"/>
    <w:rsid w:val="003475D6"/>
    <w:rsid w:val="0034782C"/>
    <w:rsid w:val="0035069E"/>
    <w:rsid w:val="00350832"/>
    <w:rsid w:val="00350CD3"/>
    <w:rsid w:val="00351332"/>
    <w:rsid w:val="003517E1"/>
    <w:rsid w:val="0035181B"/>
    <w:rsid w:val="00351DFA"/>
    <w:rsid w:val="0035209C"/>
    <w:rsid w:val="003521A4"/>
    <w:rsid w:val="003527BC"/>
    <w:rsid w:val="00352AAF"/>
    <w:rsid w:val="00352BBC"/>
    <w:rsid w:val="00353122"/>
    <w:rsid w:val="0035368E"/>
    <w:rsid w:val="0035457F"/>
    <w:rsid w:val="003548EC"/>
    <w:rsid w:val="0035532E"/>
    <w:rsid w:val="00355364"/>
    <w:rsid w:val="00356F7E"/>
    <w:rsid w:val="00356FA9"/>
    <w:rsid w:val="003601F1"/>
    <w:rsid w:val="00360F6A"/>
    <w:rsid w:val="00361373"/>
    <w:rsid w:val="0036219A"/>
    <w:rsid w:val="0036235C"/>
    <w:rsid w:val="00362677"/>
    <w:rsid w:val="003629EE"/>
    <w:rsid w:val="003632D2"/>
    <w:rsid w:val="00363BED"/>
    <w:rsid w:val="0036416F"/>
    <w:rsid w:val="00364249"/>
    <w:rsid w:val="00365588"/>
    <w:rsid w:val="00365AEB"/>
    <w:rsid w:val="00365B8B"/>
    <w:rsid w:val="00366111"/>
    <w:rsid w:val="003663ED"/>
    <w:rsid w:val="00366729"/>
    <w:rsid w:val="00366F6E"/>
    <w:rsid w:val="00366FA1"/>
    <w:rsid w:val="003673C9"/>
    <w:rsid w:val="0037011F"/>
    <w:rsid w:val="0037032D"/>
    <w:rsid w:val="00370AD8"/>
    <w:rsid w:val="00370BB9"/>
    <w:rsid w:val="00370C1E"/>
    <w:rsid w:val="00371988"/>
    <w:rsid w:val="003720B4"/>
    <w:rsid w:val="0037309B"/>
    <w:rsid w:val="00373216"/>
    <w:rsid w:val="00373999"/>
    <w:rsid w:val="00373F08"/>
    <w:rsid w:val="003745F1"/>
    <w:rsid w:val="00374824"/>
    <w:rsid w:val="00374B7E"/>
    <w:rsid w:val="0037521C"/>
    <w:rsid w:val="003754D5"/>
    <w:rsid w:val="003767DC"/>
    <w:rsid w:val="00376A31"/>
    <w:rsid w:val="00377429"/>
    <w:rsid w:val="00377E4E"/>
    <w:rsid w:val="00380A48"/>
    <w:rsid w:val="00380B26"/>
    <w:rsid w:val="00381217"/>
    <w:rsid w:val="0038126D"/>
    <w:rsid w:val="0038197E"/>
    <w:rsid w:val="00381AF2"/>
    <w:rsid w:val="00381DCF"/>
    <w:rsid w:val="0038206E"/>
    <w:rsid w:val="003820AC"/>
    <w:rsid w:val="003829ED"/>
    <w:rsid w:val="003837DD"/>
    <w:rsid w:val="0038398A"/>
    <w:rsid w:val="003846AD"/>
    <w:rsid w:val="0038558F"/>
    <w:rsid w:val="00385DAE"/>
    <w:rsid w:val="003861C7"/>
    <w:rsid w:val="00386D43"/>
    <w:rsid w:val="0038726F"/>
    <w:rsid w:val="00387A33"/>
    <w:rsid w:val="00387BF1"/>
    <w:rsid w:val="00387DBB"/>
    <w:rsid w:val="00387EB2"/>
    <w:rsid w:val="0039048D"/>
    <w:rsid w:val="00390A1B"/>
    <w:rsid w:val="00390DBB"/>
    <w:rsid w:val="00390FE8"/>
    <w:rsid w:val="00391ED6"/>
    <w:rsid w:val="00392195"/>
    <w:rsid w:val="0039267C"/>
    <w:rsid w:val="0039273D"/>
    <w:rsid w:val="00392986"/>
    <w:rsid w:val="00392C0E"/>
    <w:rsid w:val="00392E4D"/>
    <w:rsid w:val="00393660"/>
    <w:rsid w:val="00393AAA"/>
    <w:rsid w:val="003941CC"/>
    <w:rsid w:val="00395327"/>
    <w:rsid w:val="00395352"/>
    <w:rsid w:val="003953D2"/>
    <w:rsid w:val="0039574B"/>
    <w:rsid w:val="00395F06"/>
    <w:rsid w:val="00396350"/>
    <w:rsid w:val="0039690E"/>
    <w:rsid w:val="00396D7D"/>
    <w:rsid w:val="00396EDE"/>
    <w:rsid w:val="0039701F"/>
    <w:rsid w:val="00397911"/>
    <w:rsid w:val="00397E2B"/>
    <w:rsid w:val="00397E52"/>
    <w:rsid w:val="003A00E6"/>
    <w:rsid w:val="003A01DF"/>
    <w:rsid w:val="003A06CF"/>
    <w:rsid w:val="003A0966"/>
    <w:rsid w:val="003A0C46"/>
    <w:rsid w:val="003A1F02"/>
    <w:rsid w:val="003A2BF2"/>
    <w:rsid w:val="003A2C51"/>
    <w:rsid w:val="003A3414"/>
    <w:rsid w:val="003A35DA"/>
    <w:rsid w:val="003A3654"/>
    <w:rsid w:val="003A3873"/>
    <w:rsid w:val="003A39E6"/>
    <w:rsid w:val="003A42A4"/>
    <w:rsid w:val="003A4AB8"/>
    <w:rsid w:val="003A4FDE"/>
    <w:rsid w:val="003A53DF"/>
    <w:rsid w:val="003A5950"/>
    <w:rsid w:val="003A6EAB"/>
    <w:rsid w:val="003A745F"/>
    <w:rsid w:val="003A750F"/>
    <w:rsid w:val="003A761F"/>
    <w:rsid w:val="003A783F"/>
    <w:rsid w:val="003A78CF"/>
    <w:rsid w:val="003A78D2"/>
    <w:rsid w:val="003B082C"/>
    <w:rsid w:val="003B0C7B"/>
    <w:rsid w:val="003B0F9C"/>
    <w:rsid w:val="003B137B"/>
    <w:rsid w:val="003B1472"/>
    <w:rsid w:val="003B184B"/>
    <w:rsid w:val="003B1B7F"/>
    <w:rsid w:val="003B27F2"/>
    <w:rsid w:val="003B2C42"/>
    <w:rsid w:val="003B2D1E"/>
    <w:rsid w:val="003B2F1E"/>
    <w:rsid w:val="003B3C92"/>
    <w:rsid w:val="003B501A"/>
    <w:rsid w:val="003B5517"/>
    <w:rsid w:val="003B55F9"/>
    <w:rsid w:val="003B6447"/>
    <w:rsid w:val="003B7307"/>
    <w:rsid w:val="003B7825"/>
    <w:rsid w:val="003C0DAE"/>
    <w:rsid w:val="003C0F10"/>
    <w:rsid w:val="003C11C3"/>
    <w:rsid w:val="003C201E"/>
    <w:rsid w:val="003C2465"/>
    <w:rsid w:val="003C391C"/>
    <w:rsid w:val="003C3F99"/>
    <w:rsid w:val="003C40F1"/>
    <w:rsid w:val="003C471B"/>
    <w:rsid w:val="003C4F34"/>
    <w:rsid w:val="003C5494"/>
    <w:rsid w:val="003C655E"/>
    <w:rsid w:val="003C6D24"/>
    <w:rsid w:val="003C6F2A"/>
    <w:rsid w:val="003C7A74"/>
    <w:rsid w:val="003D1EFB"/>
    <w:rsid w:val="003D20EF"/>
    <w:rsid w:val="003D242D"/>
    <w:rsid w:val="003D399D"/>
    <w:rsid w:val="003D4464"/>
    <w:rsid w:val="003D44AE"/>
    <w:rsid w:val="003D5198"/>
    <w:rsid w:val="003D55FE"/>
    <w:rsid w:val="003D64FE"/>
    <w:rsid w:val="003D68A0"/>
    <w:rsid w:val="003D6A3B"/>
    <w:rsid w:val="003D7880"/>
    <w:rsid w:val="003E0409"/>
    <w:rsid w:val="003E08BF"/>
    <w:rsid w:val="003E1520"/>
    <w:rsid w:val="003E1885"/>
    <w:rsid w:val="003E1C06"/>
    <w:rsid w:val="003E23AB"/>
    <w:rsid w:val="003E25E7"/>
    <w:rsid w:val="003E260B"/>
    <w:rsid w:val="003E2B08"/>
    <w:rsid w:val="003E2BC3"/>
    <w:rsid w:val="003E3816"/>
    <w:rsid w:val="003E38A3"/>
    <w:rsid w:val="003E3D26"/>
    <w:rsid w:val="003E49FF"/>
    <w:rsid w:val="003E5526"/>
    <w:rsid w:val="003E557C"/>
    <w:rsid w:val="003E57D4"/>
    <w:rsid w:val="003E59F5"/>
    <w:rsid w:val="003E5DA8"/>
    <w:rsid w:val="003E6E38"/>
    <w:rsid w:val="003E70D4"/>
    <w:rsid w:val="003E72AA"/>
    <w:rsid w:val="003E739E"/>
    <w:rsid w:val="003E7676"/>
    <w:rsid w:val="003E7726"/>
    <w:rsid w:val="003E77BE"/>
    <w:rsid w:val="003E7A8E"/>
    <w:rsid w:val="003F0BCF"/>
    <w:rsid w:val="003F1092"/>
    <w:rsid w:val="003F1EDB"/>
    <w:rsid w:val="003F21E3"/>
    <w:rsid w:val="003F23BC"/>
    <w:rsid w:val="003F264D"/>
    <w:rsid w:val="003F2A72"/>
    <w:rsid w:val="003F32FB"/>
    <w:rsid w:val="003F3409"/>
    <w:rsid w:val="003F3672"/>
    <w:rsid w:val="003F3C6D"/>
    <w:rsid w:val="003F3F90"/>
    <w:rsid w:val="003F3FA7"/>
    <w:rsid w:val="003F41B5"/>
    <w:rsid w:val="003F436E"/>
    <w:rsid w:val="003F4775"/>
    <w:rsid w:val="003F4A94"/>
    <w:rsid w:val="003F4DB0"/>
    <w:rsid w:val="003F50A6"/>
    <w:rsid w:val="003F54CB"/>
    <w:rsid w:val="003F5863"/>
    <w:rsid w:val="003F59AA"/>
    <w:rsid w:val="003F68ED"/>
    <w:rsid w:val="003F6A96"/>
    <w:rsid w:val="003F6D0B"/>
    <w:rsid w:val="003F724F"/>
    <w:rsid w:val="003F7548"/>
    <w:rsid w:val="003F76B1"/>
    <w:rsid w:val="003F7E99"/>
    <w:rsid w:val="003F7FE2"/>
    <w:rsid w:val="00400125"/>
    <w:rsid w:val="00400A9D"/>
    <w:rsid w:val="00400AF7"/>
    <w:rsid w:val="00401397"/>
    <w:rsid w:val="00401BD8"/>
    <w:rsid w:val="00402CFB"/>
    <w:rsid w:val="00402FFC"/>
    <w:rsid w:val="00403143"/>
    <w:rsid w:val="004033E5"/>
    <w:rsid w:val="00403677"/>
    <w:rsid w:val="0040374A"/>
    <w:rsid w:val="00403CB1"/>
    <w:rsid w:val="00403E0C"/>
    <w:rsid w:val="00403E9B"/>
    <w:rsid w:val="00404439"/>
    <w:rsid w:val="004049E2"/>
    <w:rsid w:val="00405504"/>
    <w:rsid w:val="004057D0"/>
    <w:rsid w:val="004059C9"/>
    <w:rsid w:val="0040607E"/>
    <w:rsid w:val="00406656"/>
    <w:rsid w:val="00406821"/>
    <w:rsid w:val="0040711D"/>
    <w:rsid w:val="0040796D"/>
    <w:rsid w:val="00407ECE"/>
    <w:rsid w:val="0041061C"/>
    <w:rsid w:val="00410C28"/>
    <w:rsid w:val="00411987"/>
    <w:rsid w:val="00411DDE"/>
    <w:rsid w:val="00411F05"/>
    <w:rsid w:val="004128A2"/>
    <w:rsid w:val="00412A1A"/>
    <w:rsid w:val="00412D20"/>
    <w:rsid w:val="004131F9"/>
    <w:rsid w:val="00413620"/>
    <w:rsid w:val="00413A56"/>
    <w:rsid w:val="00413C1B"/>
    <w:rsid w:val="00413EE0"/>
    <w:rsid w:val="00414056"/>
    <w:rsid w:val="00414AFF"/>
    <w:rsid w:val="00414E18"/>
    <w:rsid w:val="0041507A"/>
    <w:rsid w:val="00415489"/>
    <w:rsid w:val="00415701"/>
    <w:rsid w:val="00416D66"/>
    <w:rsid w:val="00416E83"/>
    <w:rsid w:val="00417126"/>
    <w:rsid w:val="0041722F"/>
    <w:rsid w:val="004172B6"/>
    <w:rsid w:val="00417FCD"/>
    <w:rsid w:val="004206F1"/>
    <w:rsid w:val="00420C89"/>
    <w:rsid w:val="004212A9"/>
    <w:rsid w:val="0042183A"/>
    <w:rsid w:val="004222EC"/>
    <w:rsid w:val="0042258B"/>
    <w:rsid w:val="004227C8"/>
    <w:rsid w:val="00422DBC"/>
    <w:rsid w:val="00423CF1"/>
    <w:rsid w:val="00423DE3"/>
    <w:rsid w:val="00423F0D"/>
    <w:rsid w:val="004247D0"/>
    <w:rsid w:val="004258EA"/>
    <w:rsid w:val="00426181"/>
    <w:rsid w:val="00426735"/>
    <w:rsid w:val="00426FE7"/>
    <w:rsid w:val="00427599"/>
    <w:rsid w:val="004277DF"/>
    <w:rsid w:val="004279CB"/>
    <w:rsid w:val="00427CE8"/>
    <w:rsid w:val="00427D20"/>
    <w:rsid w:val="00430981"/>
    <w:rsid w:val="00430DF1"/>
    <w:rsid w:val="00430E6B"/>
    <w:rsid w:val="0043104E"/>
    <w:rsid w:val="00431406"/>
    <w:rsid w:val="00431E2C"/>
    <w:rsid w:val="00432D8E"/>
    <w:rsid w:val="00432F21"/>
    <w:rsid w:val="004330B8"/>
    <w:rsid w:val="004335E6"/>
    <w:rsid w:val="004343EA"/>
    <w:rsid w:val="0043441F"/>
    <w:rsid w:val="004348AD"/>
    <w:rsid w:val="00434D16"/>
    <w:rsid w:val="004354B5"/>
    <w:rsid w:val="004356FA"/>
    <w:rsid w:val="00435F36"/>
    <w:rsid w:val="00436717"/>
    <w:rsid w:val="00436881"/>
    <w:rsid w:val="00437184"/>
    <w:rsid w:val="004371DE"/>
    <w:rsid w:val="004375F6"/>
    <w:rsid w:val="00440118"/>
    <w:rsid w:val="0044084E"/>
    <w:rsid w:val="00440BDE"/>
    <w:rsid w:val="004410B2"/>
    <w:rsid w:val="004413FB"/>
    <w:rsid w:val="00441B19"/>
    <w:rsid w:val="00441C32"/>
    <w:rsid w:val="00441F03"/>
    <w:rsid w:val="00442CC4"/>
    <w:rsid w:val="0044397F"/>
    <w:rsid w:val="004455EC"/>
    <w:rsid w:val="00445A97"/>
    <w:rsid w:val="00447180"/>
    <w:rsid w:val="00447E59"/>
    <w:rsid w:val="0045029E"/>
    <w:rsid w:val="00450638"/>
    <w:rsid w:val="0045067E"/>
    <w:rsid w:val="00450E7C"/>
    <w:rsid w:val="00451D85"/>
    <w:rsid w:val="00451F37"/>
    <w:rsid w:val="00452BB3"/>
    <w:rsid w:val="00452C8A"/>
    <w:rsid w:val="00454431"/>
    <w:rsid w:val="00454847"/>
    <w:rsid w:val="00454A88"/>
    <w:rsid w:val="00454AD6"/>
    <w:rsid w:val="00454B7F"/>
    <w:rsid w:val="00454E2B"/>
    <w:rsid w:val="00454F5E"/>
    <w:rsid w:val="00455618"/>
    <w:rsid w:val="0045583A"/>
    <w:rsid w:val="00455D77"/>
    <w:rsid w:val="0045614F"/>
    <w:rsid w:val="00457349"/>
    <w:rsid w:val="00457E26"/>
    <w:rsid w:val="004602BA"/>
    <w:rsid w:val="00460EB9"/>
    <w:rsid w:val="00460EFF"/>
    <w:rsid w:val="00461342"/>
    <w:rsid w:val="0046219E"/>
    <w:rsid w:val="0046246E"/>
    <w:rsid w:val="00462562"/>
    <w:rsid w:val="00462952"/>
    <w:rsid w:val="0046296E"/>
    <w:rsid w:val="0046307F"/>
    <w:rsid w:val="0046318E"/>
    <w:rsid w:val="00463A4A"/>
    <w:rsid w:val="00463B33"/>
    <w:rsid w:val="00463DB6"/>
    <w:rsid w:val="00463FF0"/>
    <w:rsid w:val="0046440A"/>
    <w:rsid w:val="004649EC"/>
    <w:rsid w:val="00464DA8"/>
    <w:rsid w:val="00465305"/>
    <w:rsid w:val="00467285"/>
    <w:rsid w:val="0046748F"/>
    <w:rsid w:val="004678BE"/>
    <w:rsid w:val="00470136"/>
    <w:rsid w:val="00471A9E"/>
    <w:rsid w:val="0047207C"/>
    <w:rsid w:val="00472CA3"/>
    <w:rsid w:val="00474F55"/>
    <w:rsid w:val="00475444"/>
    <w:rsid w:val="0047554D"/>
    <w:rsid w:val="00475B37"/>
    <w:rsid w:val="0047640B"/>
    <w:rsid w:val="00476671"/>
    <w:rsid w:val="004768C3"/>
    <w:rsid w:val="00476BBA"/>
    <w:rsid w:val="00477006"/>
    <w:rsid w:val="00477623"/>
    <w:rsid w:val="00477B32"/>
    <w:rsid w:val="00477F28"/>
    <w:rsid w:val="0048014F"/>
    <w:rsid w:val="00480859"/>
    <w:rsid w:val="004810BD"/>
    <w:rsid w:val="004812C6"/>
    <w:rsid w:val="00481792"/>
    <w:rsid w:val="00481833"/>
    <w:rsid w:val="004819BA"/>
    <w:rsid w:val="00481CFB"/>
    <w:rsid w:val="00482201"/>
    <w:rsid w:val="00482DF1"/>
    <w:rsid w:val="0048343E"/>
    <w:rsid w:val="00483D40"/>
    <w:rsid w:val="004840CC"/>
    <w:rsid w:val="00484930"/>
    <w:rsid w:val="00484A75"/>
    <w:rsid w:val="00484C77"/>
    <w:rsid w:val="00485497"/>
    <w:rsid w:val="0048575E"/>
    <w:rsid w:val="00485D81"/>
    <w:rsid w:val="0048657B"/>
    <w:rsid w:val="00486995"/>
    <w:rsid w:val="00486BB5"/>
    <w:rsid w:val="00487205"/>
    <w:rsid w:val="004873EB"/>
    <w:rsid w:val="0048743C"/>
    <w:rsid w:val="004874C1"/>
    <w:rsid w:val="00487910"/>
    <w:rsid w:val="0048795E"/>
    <w:rsid w:val="00487D2F"/>
    <w:rsid w:val="0049119B"/>
    <w:rsid w:val="00491B16"/>
    <w:rsid w:val="00491B5E"/>
    <w:rsid w:val="00491E72"/>
    <w:rsid w:val="00492A4E"/>
    <w:rsid w:val="00493F61"/>
    <w:rsid w:val="00494050"/>
    <w:rsid w:val="00494881"/>
    <w:rsid w:val="00494977"/>
    <w:rsid w:val="00494DF5"/>
    <w:rsid w:val="004951F5"/>
    <w:rsid w:val="004955A4"/>
    <w:rsid w:val="00495B0C"/>
    <w:rsid w:val="00496430"/>
    <w:rsid w:val="0049653C"/>
    <w:rsid w:val="00497134"/>
    <w:rsid w:val="004972C6"/>
    <w:rsid w:val="0049742A"/>
    <w:rsid w:val="004974B5"/>
    <w:rsid w:val="004977CB"/>
    <w:rsid w:val="00497D4A"/>
    <w:rsid w:val="004A00B0"/>
    <w:rsid w:val="004A08AB"/>
    <w:rsid w:val="004A1138"/>
    <w:rsid w:val="004A12A9"/>
    <w:rsid w:val="004A1627"/>
    <w:rsid w:val="004A1792"/>
    <w:rsid w:val="004A1D38"/>
    <w:rsid w:val="004A2299"/>
    <w:rsid w:val="004A2532"/>
    <w:rsid w:val="004A271A"/>
    <w:rsid w:val="004A34CF"/>
    <w:rsid w:val="004A3BAA"/>
    <w:rsid w:val="004A3D06"/>
    <w:rsid w:val="004A4189"/>
    <w:rsid w:val="004A469C"/>
    <w:rsid w:val="004A4BB2"/>
    <w:rsid w:val="004A4EFE"/>
    <w:rsid w:val="004A4F8A"/>
    <w:rsid w:val="004A51B8"/>
    <w:rsid w:val="004A527C"/>
    <w:rsid w:val="004A5ACF"/>
    <w:rsid w:val="004A5E55"/>
    <w:rsid w:val="004A5F4D"/>
    <w:rsid w:val="004A6061"/>
    <w:rsid w:val="004A6557"/>
    <w:rsid w:val="004A688A"/>
    <w:rsid w:val="004A6CE2"/>
    <w:rsid w:val="004A79EA"/>
    <w:rsid w:val="004A7A40"/>
    <w:rsid w:val="004A7AF8"/>
    <w:rsid w:val="004A7F07"/>
    <w:rsid w:val="004B0537"/>
    <w:rsid w:val="004B0F13"/>
    <w:rsid w:val="004B1162"/>
    <w:rsid w:val="004B225C"/>
    <w:rsid w:val="004B25C3"/>
    <w:rsid w:val="004B278D"/>
    <w:rsid w:val="004B2AEA"/>
    <w:rsid w:val="004B2EB8"/>
    <w:rsid w:val="004B2F26"/>
    <w:rsid w:val="004B2FB5"/>
    <w:rsid w:val="004B304E"/>
    <w:rsid w:val="004B46A7"/>
    <w:rsid w:val="004B48FD"/>
    <w:rsid w:val="004B49E9"/>
    <w:rsid w:val="004B51ED"/>
    <w:rsid w:val="004B51F6"/>
    <w:rsid w:val="004B57E3"/>
    <w:rsid w:val="004B5D6F"/>
    <w:rsid w:val="004B7968"/>
    <w:rsid w:val="004B7B30"/>
    <w:rsid w:val="004C0502"/>
    <w:rsid w:val="004C0D35"/>
    <w:rsid w:val="004C1484"/>
    <w:rsid w:val="004C2134"/>
    <w:rsid w:val="004C231B"/>
    <w:rsid w:val="004C2C4D"/>
    <w:rsid w:val="004C3254"/>
    <w:rsid w:val="004C3338"/>
    <w:rsid w:val="004C3A14"/>
    <w:rsid w:val="004C40F2"/>
    <w:rsid w:val="004C4247"/>
    <w:rsid w:val="004C477A"/>
    <w:rsid w:val="004C47B4"/>
    <w:rsid w:val="004C567B"/>
    <w:rsid w:val="004C630E"/>
    <w:rsid w:val="004C661E"/>
    <w:rsid w:val="004C6E5C"/>
    <w:rsid w:val="004C7121"/>
    <w:rsid w:val="004C7B1B"/>
    <w:rsid w:val="004D0265"/>
    <w:rsid w:val="004D083B"/>
    <w:rsid w:val="004D0CAF"/>
    <w:rsid w:val="004D0E07"/>
    <w:rsid w:val="004D0F77"/>
    <w:rsid w:val="004D1417"/>
    <w:rsid w:val="004D1C36"/>
    <w:rsid w:val="004D1FC3"/>
    <w:rsid w:val="004D237F"/>
    <w:rsid w:val="004D25EF"/>
    <w:rsid w:val="004D2DBD"/>
    <w:rsid w:val="004D3155"/>
    <w:rsid w:val="004D39A7"/>
    <w:rsid w:val="004D39DD"/>
    <w:rsid w:val="004D4280"/>
    <w:rsid w:val="004D4949"/>
    <w:rsid w:val="004D4AFA"/>
    <w:rsid w:val="004D4CAB"/>
    <w:rsid w:val="004D5303"/>
    <w:rsid w:val="004D5E8E"/>
    <w:rsid w:val="004D6CE8"/>
    <w:rsid w:val="004D72EE"/>
    <w:rsid w:val="004E0A10"/>
    <w:rsid w:val="004E0F4B"/>
    <w:rsid w:val="004E1431"/>
    <w:rsid w:val="004E1764"/>
    <w:rsid w:val="004E1B68"/>
    <w:rsid w:val="004E1F24"/>
    <w:rsid w:val="004E2421"/>
    <w:rsid w:val="004E2508"/>
    <w:rsid w:val="004E26B6"/>
    <w:rsid w:val="004E4093"/>
    <w:rsid w:val="004E4366"/>
    <w:rsid w:val="004E471C"/>
    <w:rsid w:val="004E4D65"/>
    <w:rsid w:val="004E4DCB"/>
    <w:rsid w:val="004E5B66"/>
    <w:rsid w:val="004E5C02"/>
    <w:rsid w:val="004E5F03"/>
    <w:rsid w:val="004E6A28"/>
    <w:rsid w:val="004E71B4"/>
    <w:rsid w:val="004E730D"/>
    <w:rsid w:val="004F0490"/>
    <w:rsid w:val="004F0F29"/>
    <w:rsid w:val="004F0FD8"/>
    <w:rsid w:val="004F14F8"/>
    <w:rsid w:val="004F1502"/>
    <w:rsid w:val="004F3A69"/>
    <w:rsid w:val="004F420C"/>
    <w:rsid w:val="004F52E4"/>
    <w:rsid w:val="004F573E"/>
    <w:rsid w:val="004F5D2F"/>
    <w:rsid w:val="004F675F"/>
    <w:rsid w:val="004F6DA5"/>
    <w:rsid w:val="004F6FDE"/>
    <w:rsid w:val="004F76D1"/>
    <w:rsid w:val="004F7C5C"/>
    <w:rsid w:val="004F7FE1"/>
    <w:rsid w:val="0050043A"/>
    <w:rsid w:val="00500A53"/>
    <w:rsid w:val="00500E1D"/>
    <w:rsid w:val="00501389"/>
    <w:rsid w:val="00501D1D"/>
    <w:rsid w:val="00501D95"/>
    <w:rsid w:val="00501F9F"/>
    <w:rsid w:val="0050247D"/>
    <w:rsid w:val="00502E28"/>
    <w:rsid w:val="00502F0A"/>
    <w:rsid w:val="00503504"/>
    <w:rsid w:val="0050394A"/>
    <w:rsid w:val="00503E0B"/>
    <w:rsid w:val="00504268"/>
    <w:rsid w:val="005043F6"/>
    <w:rsid w:val="00504761"/>
    <w:rsid w:val="005051A2"/>
    <w:rsid w:val="00505523"/>
    <w:rsid w:val="00505C65"/>
    <w:rsid w:val="00505F0A"/>
    <w:rsid w:val="0050682D"/>
    <w:rsid w:val="0050689F"/>
    <w:rsid w:val="005068B7"/>
    <w:rsid w:val="00506CB3"/>
    <w:rsid w:val="00506E83"/>
    <w:rsid w:val="00506F3A"/>
    <w:rsid w:val="00507407"/>
    <w:rsid w:val="00507713"/>
    <w:rsid w:val="00507D99"/>
    <w:rsid w:val="005100F9"/>
    <w:rsid w:val="0051071C"/>
    <w:rsid w:val="00510E18"/>
    <w:rsid w:val="0051197D"/>
    <w:rsid w:val="00511FE8"/>
    <w:rsid w:val="00512A01"/>
    <w:rsid w:val="00512A38"/>
    <w:rsid w:val="00513303"/>
    <w:rsid w:val="005134C3"/>
    <w:rsid w:val="00513A92"/>
    <w:rsid w:val="00514D62"/>
    <w:rsid w:val="0051515C"/>
    <w:rsid w:val="00515FC7"/>
    <w:rsid w:val="005164B2"/>
    <w:rsid w:val="005166DE"/>
    <w:rsid w:val="00517028"/>
    <w:rsid w:val="0051753D"/>
    <w:rsid w:val="00517692"/>
    <w:rsid w:val="00520178"/>
    <w:rsid w:val="00520234"/>
    <w:rsid w:val="00520530"/>
    <w:rsid w:val="005214AF"/>
    <w:rsid w:val="00521C1A"/>
    <w:rsid w:val="00521FC0"/>
    <w:rsid w:val="00522B6C"/>
    <w:rsid w:val="0052376F"/>
    <w:rsid w:val="00523BBB"/>
    <w:rsid w:val="00524AD5"/>
    <w:rsid w:val="00525455"/>
    <w:rsid w:val="00525B4F"/>
    <w:rsid w:val="00525C22"/>
    <w:rsid w:val="00526166"/>
    <w:rsid w:val="00526692"/>
    <w:rsid w:val="005272C2"/>
    <w:rsid w:val="00527648"/>
    <w:rsid w:val="005279C9"/>
    <w:rsid w:val="005305D9"/>
    <w:rsid w:val="005306C5"/>
    <w:rsid w:val="00530EF8"/>
    <w:rsid w:val="00531267"/>
    <w:rsid w:val="005316E5"/>
    <w:rsid w:val="00533076"/>
    <w:rsid w:val="0053311E"/>
    <w:rsid w:val="00533479"/>
    <w:rsid w:val="005336D6"/>
    <w:rsid w:val="00533BF0"/>
    <w:rsid w:val="00533D66"/>
    <w:rsid w:val="0053476A"/>
    <w:rsid w:val="00535E5E"/>
    <w:rsid w:val="0053602F"/>
    <w:rsid w:val="00536576"/>
    <w:rsid w:val="005365F9"/>
    <w:rsid w:val="00536637"/>
    <w:rsid w:val="0053678A"/>
    <w:rsid w:val="00536E8E"/>
    <w:rsid w:val="00537473"/>
    <w:rsid w:val="005375B6"/>
    <w:rsid w:val="00537A49"/>
    <w:rsid w:val="00537B71"/>
    <w:rsid w:val="00537ED5"/>
    <w:rsid w:val="005402A4"/>
    <w:rsid w:val="005403CA"/>
    <w:rsid w:val="005406C9"/>
    <w:rsid w:val="00540B0A"/>
    <w:rsid w:val="0054178C"/>
    <w:rsid w:val="005422A1"/>
    <w:rsid w:val="00542C63"/>
    <w:rsid w:val="00542FE6"/>
    <w:rsid w:val="0054392A"/>
    <w:rsid w:val="00543A6C"/>
    <w:rsid w:val="00543CAD"/>
    <w:rsid w:val="00544AB0"/>
    <w:rsid w:val="005454C8"/>
    <w:rsid w:val="00545631"/>
    <w:rsid w:val="005458C6"/>
    <w:rsid w:val="00545FF6"/>
    <w:rsid w:val="00546547"/>
    <w:rsid w:val="0054679C"/>
    <w:rsid w:val="0054704F"/>
    <w:rsid w:val="0054757F"/>
    <w:rsid w:val="0054786D"/>
    <w:rsid w:val="00547A14"/>
    <w:rsid w:val="005500D2"/>
    <w:rsid w:val="005500FB"/>
    <w:rsid w:val="005507E0"/>
    <w:rsid w:val="00551165"/>
    <w:rsid w:val="00551289"/>
    <w:rsid w:val="005512BB"/>
    <w:rsid w:val="00551498"/>
    <w:rsid w:val="00551C3C"/>
    <w:rsid w:val="0055302B"/>
    <w:rsid w:val="00553B32"/>
    <w:rsid w:val="00553F1A"/>
    <w:rsid w:val="00554033"/>
    <w:rsid w:val="00554232"/>
    <w:rsid w:val="00554442"/>
    <w:rsid w:val="0055462D"/>
    <w:rsid w:val="0055548A"/>
    <w:rsid w:val="00555906"/>
    <w:rsid w:val="0055629F"/>
    <w:rsid w:val="00556E2D"/>
    <w:rsid w:val="0055729C"/>
    <w:rsid w:val="005578C4"/>
    <w:rsid w:val="00560273"/>
    <w:rsid w:val="00560D9B"/>
    <w:rsid w:val="0056157D"/>
    <w:rsid w:val="00561810"/>
    <w:rsid w:val="0056187F"/>
    <w:rsid w:val="00561AEE"/>
    <w:rsid w:val="00561C0A"/>
    <w:rsid w:val="005627A8"/>
    <w:rsid w:val="00562C50"/>
    <w:rsid w:val="00562CCE"/>
    <w:rsid w:val="00563332"/>
    <w:rsid w:val="005638C0"/>
    <w:rsid w:val="00563A89"/>
    <w:rsid w:val="00563AD9"/>
    <w:rsid w:val="00565149"/>
    <w:rsid w:val="00566205"/>
    <w:rsid w:val="005668AE"/>
    <w:rsid w:val="005668DF"/>
    <w:rsid w:val="0056720C"/>
    <w:rsid w:val="005672E4"/>
    <w:rsid w:val="005676E7"/>
    <w:rsid w:val="0056798F"/>
    <w:rsid w:val="005702F9"/>
    <w:rsid w:val="00570420"/>
    <w:rsid w:val="00570B0F"/>
    <w:rsid w:val="00570E88"/>
    <w:rsid w:val="00571030"/>
    <w:rsid w:val="00571461"/>
    <w:rsid w:val="005714BD"/>
    <w:rsid w:val="005720D1"/>
    <w:rsid w:val="005722C2"/>
    <w:rsid w:val="00572572"/>
    <w:rsid w:val="00572D0C"/>
    <w:rsid w:val="005734DB"/>
    <w:rsid w:val="00573BD4"/>
    <w:rsid w:val="00573C38"/>
    <w:rsid w:val="00573CAF"/>
    <w:rsid w:val="0057411F"/>
    <w:rsid w:val="00574343"/>
    <w:rsid w:val="00574CAB"/>
    <w:rsid w:val="00574D62"/>
    <w:rsid w:val="005750E6"/>
    <w:rsid w:val="0057525F"/>
    <w:rsid w:val="0057596F"/>
    <w:rsid w:val="0057604E"/>
    <w:rsid w:val="005767B5"/>
    <w:rsid w:val="0057681D"/>
    <w:rsid w:val="00576C18"/>
    <w:rsid w:val="00576D70"/>
    <w:rsid w:val="00577636"/>
    <w:rsid w:val="005777E3"/>
    <w:rsid w:val="00577E8A"/>
    <w:rsid w:val="00580FDF"/>
    <w:rsid w:val="005812C2"/>
    <w:rsid w:val="00581FC8"/>
    <w:rsid w:val="0058251F"/>
    <w:rsid w:val="0058261E"/>
    <w:rsid w:val="005829B7"/>
    <w:rsid w:val="00582BEC"/>
    <w:rsid w:val="005830FC"/>
    <w:rsid w:val="0058395F"/>
    <w:rsid w:val="00583CBE"/>
    <w:rsid w:val="00583F40"/>
    <w:rsid w:val="0058451C"/>
    <w:rsid w:val="00584BC8"/>
    <w:rsid w:val="005852B3"/>
    <w:rsid w:val="00585906"/>
    <w:rsid w:val="005861F2"/>
    <w:rsid w:val="0058632B"/>
    <w:rsid w:val="00586B8B"/>
    <w:rsid w:val="00586DBD"/>
    <w:rsid w:val="0058765D"/>
    <w:rsid w:val="00590189"/>
    <w:rsid w:val="00590992"/>
    <w:rsid w:val="005909CE"/>
    <w:rsid w:val="00590A04"/>
    <w:rsid w:val="00591074"/>
    <w:rsid w:val="00591374"/>
    <w:rsid w:val="00591EB5"/>
    <w:rsid w:val="00592769"/>
    <w:rsid w:val="00592F6A"/>
    <w:rsid w:val="005933BA"/>
    <w:rsid w:val="005935DB"/>
    <w:rsid w:val="00593890"/>
    <w:rsid w:val="00593B0E"/>
    <w:rsid w:val="00594187"/>
    <w:rsid w:val="00594530"/>
    <w:rsid w:val="005948A0"/>
    <w:rsid w:val="00595390"/>
    <w:rsid w:val="00595645"/>
    <w:rsid w:val="00595ACB"/>
    <w:rsid w:val="00595FC6"/>
    <w:rsid w:val="00595FCE"/>
    <w:rsid w:val="0059614C"/>
    <w:rsid w:val="005976EC"/>
    <w:rsid w:val="00597995"/>
    <w:rsid w:val="00597B52"/>
    <w:rsid w:val="005A030A"/>
    <w:rsid w:val="005A0336"/>
    <w:rsid w:val="005A0B21"/>
    <w:rsid w:val="005A0E48"/>
    <w:rsid w:val="005A0E9A"/>
    <w:rsid w:val="005A1296"/>
    <w:rsid w:val="005A22BB"/>
    <w:rsid w:val="005A246D"/>
    <w:rsid w:val="005A24FF"/>
    <w:rsid w:val="005A26C6"/>
    <w:rsid w:val="005A32EC"/>
    <w:rsid w:val="005A3351"/>
    <w:rsid w:val="005A36F8"/>
    <w:rsid w:val="005A3CAA"/>
    <w:rsid w:val="005A3F7A"/>
    <w:rsid w:val="005A40CB"/>
    <w:rsid w:val="005A46AF"/>
    <w:rsid w:val="005A4EC7"/>
    <w:rsid w:val="005A51E2"/>
    <w:rsid w:val="005A6BD1"/>
    <w:rsid w:val="005A6C7A"/>
    <w:rsid w:val="005A6D97"/>
    <w:rsid w:val="005A6EED"/>
    <w:rsid w:val="005A70A2"/>
    <w:rsid w:val="005A7161"/>
    <w:rsid w:val="005A72D2"/>
    <w:rsid w:val="005A7476"/>
    <w:rsid w:val="005B01BF"/>
    <w:rsid w:val="005B104F"/>
    <w:rsid w:val="005B10A2"/>
    <w:rsid w:val="005B10C3"/>
    <w:rsid w:val="005B13CF"/>
    <w:rsid w:val="005B17D7"/>
    <w:rsid w:val="005B1BA0"/>
    <w:rsid w:val="005B3044"/>
    <w:rsid w:val="005B3108"/>
    <w:rsid w:val="005B3A89"/>
    <w:rsid w:val="005B3BA7"/>
    <w:rsid w:val="005B3D8D"/>
    <w:rsid w:val="005B43C1"/>
    <w:rsid w:val="005B46C4"/>
    <w:rsid w:val="005B4716"/>
    <w:rsid w:val="005B479E"/>
    <w:rsid w:val="005B4DED"/>
    <w:rsid w:val="005B60C0"/>
    <w:rsid w:val="005B630D"/>
    <w:rsid w:val="005B6D8B"/>
    <w:rsid w:val="005B710E"/>
    <w:rsid w:val="005B75FA"/>
    <w:rsid w:val="005B799C"/>
    <w:rsid w:val="005C004E"/>
    <w:rsid w:val="005C0439"/>
    <w:rsid w:val="005C0C3D"/>
    <w:rsid w:val="005C0DEF"/>
    <w:rsid w:val="005C1380"/>
    <w:rsid w:val="005C17A9"/>
    <w:rsid w:val="005C20C7"/>
    <w:rsid w:val="005C219E"/>
    <w:rsid w:val="005C2656"/>
    <w:rsid w:val="005C2947"/>
    <w:rsid w:val="005C2A8C"/>
    <w:rsid w:val="005C2AE3"/>
    <w:rsid w:val="005C3A85"/>
    <w:rsid w:val="005C3ABD"/>
    <w:rsid w:val="005C3CBE"/>
    <w:rsid w:val="005C43B3"/>
    <w:rsid w:val="005C4773"/>
    <w:rsid w:val="005C54BF"/>
    <w:rsid w:val="005C5D3C"/>
    <w:rsid w:val="005C5DCB"/>
    <w:rsid w:val="005C5FDA"/>
    <w:rsid w:val="005C6562"/>
    <w:rsid w:val="005C665A"/>
    <w:rsid w:val="005C6A57"/>
    <w:rsid w:val="005C6E9C"/>
    <w:rsid w:val="005C754E"/>
    <w:rsid w:val="005C7F76"/>
    <w:rsid w:val="005C7FAA"/>
    <w:rsid w:val="005D014E"/>
    <w:rsid w:val="005D0745"/>
    <w:rsid w:val="005D086B"/>
    <w:rsid w:val="005D0964"/>
    <w:rsid w:val="005D0D75"/>
    <w:rsid w:val="005D12EA"/>
    <w:rsid w:val="005D1644"/>
    <w:rsid w:val="005D2ADC"/>
    <w:rsid w:val="005D32D1"/>
    <w:rsid w:val="005D3A0D"/>
    <w:rsid w:val="005D3ACD"/>
    <w:rsid w:val="005D3ADC"/>
    <w:rsid w:val="005D3D84"/>
    <w:rsid w:val="005D52A8"/>
    <w:rsid w:val="005D5435"/>
    <w:rsid w:val="005D57B8"/>
    <w:rsid w:val="005D5F10"/>
    <w:rsid w:val="005D612E"/>
    <w:rsid w:val="005D620B"/>
    <w:rsid w:val="005D7357"/>
    <w:rsid w:val="005D772A"/>
    <w:rsid w:val="005E07BB"/>
    <w:rsid w:val="005E0F6D"/>
    <w:rsid w:val="005E1493"/>
    <w:rsid w:val="005E19CA"/>
    <w:rsid w:val="005E1D81"/>
    <w:rsid w:val="005E1F2C"/>
    <w:rsid w:val="005E2069"/>
    <w:rsid w:val="005E2760"/>
    <w:rsid w:val="005E28E1"/>
    <w:rsid w:val="005E2A03"/>
    <w:rsid w:val="005E2C7E"/>
    <w:rsid w:val="005E2CE9"/>
    <w:rsid w:val="005E330C"/>
    <w:rsid w:val="005E43A7"/>
    <w:rsid w:val="005E4491"/>
    <w:rsid w:val="005E49E8"/>
    <w:rsid w:val="005E5D93"/>
    <w:rsid w:val="005E6DEB"/>
    <w:rsid w:val="005E701B"/>
    <w:rsid w:val="005E7326"/>
    <w:rsid w:val="005F08D9"/>
    <w:rsid w:val="005F114F"/>
    <w:rsid w:val="005F195D"/>
    <w:rsid w:val="005F1C7E"/>
    <w:rsid w:val="005F1C98"/>
    <w:rsid w:val="005F206F"/>
    <w:rsid w:val="005F2657"/>
    <w:rsid w:val="005F26FA"/>
    <w:rsid w:val="005F2E35"/>
    <w:rsid w:val="005F2F1D"/>
    <w:rsid w:val="005F3307"/>
    <w:rsid w:val="005F348A"/>
    <w:rsid w:val="005F3A54"/>
    <w:rsid w:val="005F3B57"/>
    <w:rsid w:val="005F41DF"/>
    <w:rsid w:val="005F48B5"/>
    <w:rsid w:val="005F4A4C"/>
    <w:rsid w:val="005F4B17"/>
    <w:rsid w:val="005F4E8F"/>
    <w:rsid w:val="005F516D"/>
    <w:rsid w:val="005F571D"/>
    <w:rsid w:val="005F5AB6"/>
    <w:rsid w:val="005F61FD"/>
    <w:rsid w:val="005F65A0"/>
    <w:rsid w:val="005F721C"/>
    <w:rsid w:val="005F7587"/>
    <w:rsid w:val="005F7AB3"/>
    <w:rsid w:val="005F7C34"/>
    <w:rsid w:val="005F7C53"/>
    <w:rsid w:val="006003C9"/>
    <w:rsid w:val="00600A3C"/>
    <w:rsid w:val="00600B6B"/>
    <w:rsid w:val="00600DD7"/>
    <w:rsid w:val="006011FB"/>
    <w:rsid w:val="00601D6A"/>
    <w:rsid w:val="00602960"/>
    <w:rsid w:val="0060298C"/>
    <w:rsid w:val="00602DA2"/>
    <w:rsid w:val="00603127"/>
    <w:rsid w:val="00603295"/>
    <w:rsid w:val="00603599"/>
    <w:rsid w:val="0060382F"/>
    <w:rsid w:val="00603E29"/>
    <w:rsid w:val="00604033"/>
    <w:rsid w:val="00604068"/>
    <w:rsid w:val="0060470E"/>
    <w:rsid w:val="00604BFC"/>
    <w:rsid w:val="0060532E"/>
    <w:rsid w:val="00605814"/>
    <w:rsid w:val="00605DD3"/>
    <w:rsid w:val="00606C3E"/>
    <w:rsid w:val="00606D25"/>
    <w:rsid w:val="00606D8F"/>
    <w:rsid w:val="00607247"/>
    <w:rsid w:val="006078E5"/>
    <w:rsid w:val="0061018B"/>
    <w:rsid w:val="00610397"/>
    <w:rsid w:val="00610A9A"/>
    <w:rsid w:val="006113F2"/>
    <w:rsid w:val="006115E3"/>
    <w:rsid w:val="006118B2"/>
    <w:rsid w:val="006121EB"/>
    <w:rsid w:val="006122B2"/>
    <w:rsid w:val="00612F21"/>
    <w:rsid w:val="00612FE0"/>
    <w:rsid w:val="00613247"/>
    <w:rsid w:val="00613B47"/>
    <w:rsid w:val="0061451D"/>
    <w:rsid w:val="006145A5"/>
    <w:rsid w:val="006149FA"/>
    <w:rsid w:val="00614F31"/>
    <w:rsid w:val="00615119"/>
    <w:rsid w:val="006158BC"/>
    <w:rsid w:val="00615937"/>
    <w:rsid w:val="00615BEC"/>
    <w:rsid w:val="00616292"/>
    <w:rsid w:val="006163FC"/>
    <w:rsid w:val="0061703D"/>
    <w:rsid w:val="00617653"/>
    <w:rsid w:val="00617868"/>
    <w:rsid w:val="00617CC1"/>
    <w:rsid w:val="00620155"/>
    <w:rsid w:val="006204D3"/>
    <w:rsid w:val="0062074D"/>
    <w:rsid w:val="00620B4F"/>
    <w:rsid w:val="00620F2E"/>
    <w:rsid w:val="00620F9C"/>
    <w:rsid w:val="006210A4"/>
    <w:rsid w:val="00621635"/>
    <w:rsid w:val="00621B38"/>
    <w:rsid w:val="0062278B"/>
    <w:rsid w:val="00622C71"/>
    <w:rsid w:val="00622F9A"/>
    <w:rsid w:val="0062335F"/>
    <w:rsid w:val="006233D2"/>
    <w:rsid w:val="00623CE9"/>
    <w:rsid w:val="00624011"/>
    <w:rsid w:val="006247DD"/>
    <w:rsid w:val="00624972"/>
    <w:rsid w:val="00624B3E"/>
    <w:rsid w:val="00624D67"/>
    <w:rsid w:val="00624F85"/>
    <w:rsid w:val="00625CA9"/>
    <w:rsid w:val="0062603D"/>
    <w:rsid w:val="00626197"/>
    <w:rsid w:val="006261E7"/>
    <w:rsid w:val="00626689"/>
    <w:rsid w:val="00626823"/>
    <w:rsid w:val="0062699A"/>
    <w:rsid w:val="0062773D"/>
    <w:rsid w:val="00630046"/>
    <w:rsid w:val="006319BA"/>
    <w:rsid w:val="006319C5"/>
    <w:rsid w:val="00631B8C"/>
    <w:rsid w:val="00631FCE"/>
    <w:rsid w:val="00632BB3"/>
    <w:rsid w:val="006333B5"/>
    <w:rsid w:val="00633449"/>
    <w:rsid w:val="00633646"/>
    <w:rsid w:val="00633BF9"/>
    <w:rsid w:val="00633C7E"/>
    <w:rsid w:val="0063580A"/>
    <w:rsid w:val="00635CBE"/>
    <w:rsid w:val="00635FE6"/>
    <w:rsid w:val="006360EA"/>
    <w:rsid w:val="00636742"/>
    <w:rsid w:val="0063695E"/>
    <w:rsid w:val="006371AE"/>
    <w:rsid w:val="00637C92"/>
    <w:rsid w:val="00637F6C"/>
    <w:rsid w:val="0064010B"/>
    <w:rsid w:val="006404B3"/>
    <w:rsid w:val="00640B8F"/>
    <w:rsid w:val="00642BEC"/>
    <w:rsid w:val="00642D22"/>
    <w:rsid w:val="00643BF9"/>
    <w:rsid w:val="006441BB"/>
    <w:rsid w:val="0064470E"/>
    <w:rsid w:val="00644807"/>
    <w:rsid w:val="00644999"/>
    <w:rsid w:val="0064537C"/>
    <w:rsid w:val="0064578A"/>
    <w:rsid w:val="00645F5B"/>
    <w:rsid w:val="006462E7"/>
    <w:rsid w:val="006467CA"/>
    <w:rsid w:val="00647712"/>
    <w:rsid w:val="006518A6"/>
    <w:rsid w:val="006519F3"/>
    <w:rsid w:val="00651ABD"/>
    <w:rsid w:val="00652391"/>
    <w:rsid w:val="00652D9A"/>
    <w:rsid w:val="0065365D"/>
    <w:rsid w:val="00653B26"/>
    <w:rsid w:val="00654221"/>
    <w:rsid w:val="00654E7B"/>
    <w:rsid w:val="006550A8"/>
    <w:rsid w:val="006550D8"/>
    <w:rsid w:val="006554D6"/>
    <w:rsid w:val="0065635A"/>
    <w:rsid w:val="00656440"/>
    <w:rsid w:val="00656A80"/>
    <w:rsid w:val="00656E23"/>
    <w:rsid w:val="006571FE"/>
    <w:rsid w:val="00657AA1"/>
    <w:rsid w:val="00657DF2"/>
    <w:rsid w:val="00661AC6"/>
    <w:rsid w:val="00662488"/>
    <w:rsid w:val="00662AB9"/>
    <w:rsid w:val="00662B89"/>
    <w:rsid w:val="0066334A"/>
    <w:rsid w:val="00663BD7"/>
    <w:rsid w:val="00663D9F"/>
    <w:rsid w:val="00663F5B"/>
    <w:rsid w:val="00664666"/>
    <w:rsid w:val="00664778"/>
    <w:rsid w:val="00664802"/>
    <w:rsid w:val="00664B1E"/>
    <w:rsid w:val="00664DCD"/>
    <w:rsid w:val="00665414"/>
    <w:rsid w:val="00665AA3"/>
    <w:rsid w:val="006671BE"/>
    <w:rsid w:val="00667AE5"/>
    <w:rsid w:val="00667D90"/>
    <w:rsid w:val="0067059C"/>
    <w:rsid w:val="006707E3"/>
    <w:rsid w:val="00670AB8"/>
    <w:rsid w:val="006710C0"/>
    <w:rsid w:val="006716CE"/>
    <w:rsid w:val="00671793"/>
    <w:rsid w:val="00671B15"/>
    <w:rsid w:val="00671ECD"/>
    <w:rsid w:val="006730F2"/>
    <w:rsid w:val="006741AF"/>
    <w:rsid w:val="00674415"/>
    <w:rsid w:val="006749F0"/>
    <w:rsid w:val="00674F24"/>
    <w:rsid w:val="0067548D"/>
    <w:rsid w:val="00675D7B"/>
    <w:rsid w:val="00676352"/>
    <w:rsid w:val="00677484"/>
    <w:rsid w:val="00677666"/>
    <w:rsid w:val="0068039B"/>
    <w:rsid w:val="006804BA"/>
    <w:rsid w:val="006807FA"/>
    <w:rsid w:val="00680B0E"/>
    <w:rsid w:val="00680EB2"/>
    <w:rsid w:val="00680FA5"/>
    <w:rsid w:val="0068142A"/>
    <w:rsid w:val="0068157D"/>
    <w:rsid w:val="0068190E"/>
    <w:rsid w:val="006819E9"/>
    <w:rsid w:val="00681C5D"/>
    <w:rsid w:val="00681EEE"/>
    <w:rsid w:val="0068209B"/>
    <w:rsid w:val="006820C3"/>
    <w:rsid w:val="0068222B"/>
    <w:rsid w:val="00682AB2"/>
    <w:rsid w:val="00683612"/>
    <w:rsid w:val="00684101"/>
    <w:rsid w:val="0068423A"/>
    <w:rsid w:val="006845BB"/>
    <w:rsid w:val="006846D1"/>
    <w:rsid w:val="00684AA4"/>
    <w:rsid w:val="006852E9"/>
    <w:rsid w:val="00685AC4"/>
    <w:rsid w:val="00685F95"/>
    <w:rsid w:val="00686D3A"/>
    <w:rsid w:val="00687205"/>
    <w:rsid w:val="006903D9"/>
    <w:rsid w:val="00690931"/>
    <w:rsid w:val="00691171"/>
    <w:rsid w:val="0069131C"/>
    <w:rsid w:val="00691EC1"/>
    <w:rsid w:val="00692B61"/>
    <w:rsid w:val="00692D5B"/>
    <w:rsid w:val="00692FAF"/>
    <w:rsid w:val="006931D4"/>
    <w:rsid w:val="0069346D"/>
    <w:rsid w:val="00693550"/>
    <w:rsid w:val="0069355A"/>
    <w:rsid w:val="00693B8D"/>
    <w:rsid w:val="00693E48"/>
    <w:rsid w:val="006940B0"/>
    <w:rsid w:val="006941AB"/>
    <w:rsid w:val="00694395"/>
    <w:rsid w:val="00694659"/>
    <w:rsid w:val="00695876"/>
    <w:rsid w:val="00695D6D"/>
    <w:rsid w:val="00695F60"/>
    <w:rsid w:val="0069645E"/>
    <w:rsid w:val="006969A4"/>
    <w:rsid w:val="00697308"/>
    <w:rsid w:val="006A0573"/>
    <w:rsid w:val="006A0867"/>
    <w:rsid w:val="006A11E1"/>
    <w:rsid w:val="006A1271"/>
    <w:rsid w:val="006A12D8"/>
    <w:rsid w:val="006A1468"/>
    <w:rsid w:val="006A14D0"/>
    <w:rsid w:val="006A16AE"/>
    <w:rsid w:val="006A2273"/>
    <w:rsid w:val="006A26C0"/>
    <w:rsid w:val="006A26C3"/>
    <w:rsid w:val="006A2DC7"/>
    <w:rsid w:val="006A2E90"/>
    <w:rsid w:val="006A3063"/>
    <w:rsid w:val="006A329F"/>
    <w:rsid w:val="006A3B3A"/>
    <w:rsid w:val="006A56AA"/>
    <w:rsid w:val="006A5A88"/>
    <w:rsid w:val="006A5CB0"/>
    <w:rsid w:val="006A6519"/>
    <w:rsid w:val="006A6D0C"/>
    <w:rsid w:val="006A6D43"/>
    <w:rsid w:val="006A7238"/>
    <w:rsid w:val="006A730B"/>
    <w:rsid w:val="006A76B8"/>
    <w:rsid w:val="006A7711"/>
    <w:rsid w:val="006A7B67"/>
    <w:rsid w:val="006A7D17"/>
    <w:rsid w:val="006B00BC"/>
    <w:rsid w:val="006B024C"/>
    <w:rsid w:val="006B089E"/>
    <w:rsid w:val="006B0DE5"/>
    <w:rsid w:val="006B109E"/>
    <w:rsid w:val="006B11B3"/>
    <w:rsid w:val="006B1547"/>
    <w:rsid w:val="006B1835"/>
    <w:rsid w:val="006B1EDB"/>
    <w:rsid w:val="006B2B29"/>
    <w:rsid w:val="006B2E87"/>
    <w:rsid w:val="006B2FB9"/>
    <w:rsid w:val="006B3314"/>
    <w:rsid w:val="006B3635"/>
    <w:rsid w:val="006B3C28"/>
    <w:rsid w:val="006B4909"/>
    <w:rsid w:val="006B53D9"/>
    <w:rsid w:val="006B5532"/>
    <w:rsid w:val="006B5560"/>
    <w:rsid w:val="006B5886"/>
    <w:rsid w:val="006B5E7C"/>
    <w:rsid w:val="006B6456"/>
    <w:rsid w:val="006B66AD"/>
    <w:rsid w:val="006B68FD"/>
    <w:rsid w:val="006B6B99"/>
    <w:rsid w:val="006B7096"/>
    <w:rsid w:val="006B7226"/>
    <w:rsid w:val="006B75F7"/>
    <w:rsid w:val="006B79CE"/>
    <w:rsid w:val="006B7E1F"/>
    <w:rsid w:val="006C01C8"/>
    <w:rsid w:val="006C0259"/>
    <w:rsid w:val="006C064C"/>
    <w:rsid w:val="006C1625"/>
    <w:rsid w:val="006C2146"/>
    <w:rsid w:val="006C2312"/>
    <w:rsid w:val="006C2A0E"/>
    <w:rsid w:val="006C2ACB"/>
    <w:rsid w:val="006C2EC6"/>
    <w:rsid w:val="006C2F54"/>
    <w:rsid w:val="006C32CA"/>
    <w:rsid w:val="006C3442"/>
    <w:rsid w:val="006C39DC"/>
    <w:rsid w:val="006C3C8F"/>
    <w:rsid w:val="006C3D03"/>
    <w:rsid w:val="006C3DB6"/>
    <w:rsid w:val="006C4DEF"/>
    <w:rsid w:val="006C57B6"/>
    <w:rsid w:val="006C5B0A"/>
    <w:rsid w:val="006C5F4A"/>
    <w:rsid w:val="006C669C"/>
    <w:rsid w:val="006C6927"/>
    <w:rsid w:val="006C6BA9"/>
    <w:rsid w:val="006C7AD0"/>
    <w:rsid w:val="006D025E"/>
    <w:rsid w:val="006D0546"/>
    <w:rsid w:val="006D0670"/>
    <w:rsid w:val="006D09BC"/>
    <w:rsid w:val="006D14CC"/>
    <w:rsid w:val="006D1B74"/>
    <w:rsid w:val="006D1C17"/>
    <w:rsid w:val="006D2508"/>
    <w:rsid w:val="006D292C"/>
    <w:rsid w:val="006D33BF"/>
    <w:rsid w:val="006D3B6F"/>
    <w:rsid w:val="006D3E88"/>
    <w:rsid w:val="006D3F32"/>
    <w:rsid w:val="006D450E"/>
    <w:rsid w:val="006D455A"/>
    <w:rsid w:val="006D45FA"/>
    <w:rsid w:val="006D4756"/>
    <w:rsid w:val="006D4D2B"/>
    <w:rsid w:val="006D4F46"/>
    <w:rsid w:val="006D57B7"/>
    <w:rsid w:val="006D629E"/>
    <w:rsid w:val="006D65EC"/>
    <w:rsid w:val="006D668B"/>
    <w:rsid w:val="006D6711"/>
    <w:rsid w:val="006D67F1"/>
    <w:rsid w:val="006D6829"/>
    <w:rsid w:val="006D6BAC"/>
    <w:rsid w:val="006D6D01"/>
    <w:rsid w:val="006D6D9A"/>
    <w:rsid w:val="006D719B"/>
    <w:rsid w:val="006D723D"/>
    <w:rsid w:val="006D7CC0"/>
    <w:rsid w:val="006D7E7A"/>
    <w:rsid w:val="006E03FE"/>
    <w:rsid w:val="006E104B"/>
    <w:rsid w:val="006E1838"/>
    <w:rsid w:val="006E197D"/>
    <w:rsid w:val="006E1DC4"/>
    <w:rsid w:val="006E2084"/>
    <w:rsid w:val="006E2411"/>
    <w:rsid w:val="006E3614"/>
    <w:rsid w:val="006E3D3A"/>
    <w:rsid w:val="006E3F9A"/>
    <w:rsid w:val="006E41CA"/>
    <w:rsid w:val="006E4DCA"/>
    <w:rsid w:val="006E4E5C"/>
    <w:rsid w:val="006E5599"/>
    <w:rsid w:val="006E5729"/>
    <w:rsid w:val="006E578A"/>
    <w:rsid w:val="006E5BC1"/>
    <w:rsid w:val="006E5E13"/>
    <w:rsid w:val="006E687D"/>
    <w:rsid w:val="006E6A28"/>
    <w:rsid w:val="006E6B3C"/>
    <w:rsid w:val="006E76B1"/>
    <w:rsid w:val="006E7921"/>
    <w:rsid w:val="006E7B61"/>
    <w:rsid w:val="006E7F76"/>
    <w:rsid w:val="006F063B"/>
    <w:rsid w:val="006F0C3F"/>
    <w:rsid w:val="006F0E6A"/>
    <w:rsid w:val="006F1C3A"/>
    <w:rsid w:val="006F1C61"/>
    <w:rsid w:val="006F2039"/>
    <w:rsid w:val="006F2A9E"/>
    <w:rsid w:val="006F31DA"/>
    <w:rsid w:val="006F36B3"/>
    <w:rsid w:val="006F36EF"/>
    <w:rsid w:val="006F407A"/>
    <w:rsid w:val="006F442A"/>
    <w:rsid w:val="006F473A"/>
    <w:rsid w:val="006F57AE"/>
    <w:rsid w:val="006F5DA7"/>
    <w:rsid w:val="006F703A"/>
    <w:rsid w:val="006F71DD"/>
    <w:rsid w:val="006F72B2"/>
    <w:rsid w:val="006F7B0F"/>
    <w:rsid w:val="006F7D65"/>
    <w:rsid w:val="0070009D"/>
    <w:rsid w:val="00700156"/>
    <w:rsid w:val="007007C3"/>
    <w:rsid w:val="00700D2A"/>
    <w:rsid w:val="0070138B"/>
    <w:rsid w:val="007015AE"/>
    <w:rsid w:val="00702421"/>
    <w:rsid w:val="007025FF"/>
    <w:rsid w:val="00702A56"/>
    <w:rsid w:val="00702E9D"/>
    <w:rsid w:val="007034AB"/>
    <w:rsid w:val="007038B2"/>
    <w:rsid w:val="00704012"/>
    <w:rsid w:val="00704188"/>
    <w:rsid w:val="00704653"/>
    <w:rsid w:val="00704852"/>
    <w:rsid w:val="00704F2E"/>
    <w:rsid w:val="00704F60"/>
    <w:rsid w:val="007053E7"/>
    <w:rsid w:val="007053EB"/>
    <w:rsid w:val="00705566"/>
    <w:rsid w:val="00705BAA"/>
    <w:rsid w:val="0070658C"/>
    <w:rsid w:val="007075DD"/>
    <w:rsid w:val="0070781C"/>
    <w:rsid w:val="00707B9D"/>
    <w:rsid w:val="00710601"/>
    <w:rsid w:val="0071078A"/>
    <w:rsid w:val="0071089F"/>
    <w:rsid w:val="007108D6"/>
    <w:rsid w:val="00710906"/>
    <w:rsid w:val="00710F79"/>
    <w:rsid w:val="00711355"/>
    <w:rsid w:val="00711B8B"/>
    <w:rsid w:val="007120F1"/>
    <w:rsid w:val="00712565"/>
    <w:rsid w:val="00712667"/>
    <w:rsid w:val="007128C9"/>
    <w:rsid w:val="00713007"/>
    <w:rsid w:val="0071359E"/>
    <w:rsid w:val="0071402F"/>
    <w:rsid w:val="00714368"/>
    <w:rsid w:val="007143D8"/>
    <w:rsid w:val="007144FA"/>
    <w:rsid w:val="0071471F"/>
    <w:rsid w:val="00715DBE"/>
    <w:rsid w:val="007169F6"/>
    <w:rsid w:val="00716B41"/>
    <w:rsid w:val="00716BFD"/>
    <w:rsid w:val="00717570"/>
    <w:rsid w:val="0071770F"/>
    <w:rsid w:val="00717F83"/>
    <w:rsid w:val="00720792"/>
    <w:rsid w:val="007207C2"/>
    <w:rsid w:val="0072126E"/>
    <w:rsid w:val="00721473"/>
    <w:rsid w:val="00721F5A"/>
    <w:rsid w:val="00722007"/>
    <w:rsid w:val="007222B1"/>
    <w:rsid w:val="00722D87"/>
    <w:rsid w:val="00723BA0"/>
    <w:rsid w:val="00723FA8"/>
    <w:rsid w:val="00724368"/>
    <w:rsid w:val="007244D0"/>
    <w:rsid w:val="00724786"/>
    <w:rsid w:val="00724CF0"/>
    <w:rsid w:val="00724DA3"/>
    <w:rsid w:val="00725068"/>
    <w:rsid w:val="007251F3"/>
    <w:rsid w:val="007254E8"/>
    <w:rsid w:val="00725DB8"/>
    <w:rsid w:val="007262FD"/>
    <w:rsid w:val="00726A5D"/>
    <w:rsid w:val="00726E17"/>
    <w:rsid w:val="00726EB9"/>
    <w:rsid w:val="00727A6A"/>
    <w:rsid w:val="00730A07"/>
    <w:rsid w:val="007313CF"/>
    <w:rsid w:val="00731EDB"/>
    <w:rsid w:val="00731F6C"/>
    <w:rsid w:val="007324D7"/>
    <w:rsid w:val="00732B2D"/>
    <w:rsid w:val="00732B72"/>
    <w:rsid w:val="00732DF0"/>
    <w:rsid w:val="007332AB"/>
    <w:rsid w:val="007342B1"/>
    <w:rsid w:val="00734AB3"/>
    <w:rsid w:val="00735152"/>
    <w:rsid w:val="0073533C"/>
    <w:rsid w:val="007356E0"/>
    <w:rsid w:val="0073589E"/>
    <w:rsid w:val="00735A84"/>
    <w:rsid w:val="00735E45"/>
    <w:rsid w:val="00736B66"/>
    <w:rsid w:val="00736F22"/>
    <w:rsid w:val="007378E8"/>
    <w:rsid w:val="00737D92"/>
    <w:rsid w:val="0074014E"/>
    <w:rsid w:val="0074066E"/>
    <w:rsid w:val="007407D8"/>
    <w:rsid w:val="00740E7D"/>
    <w:rsid w:val="007411D3"/>
    <w:rsid w:val="00741E22"/>
    <w:rsid w:val="007426FD"/>
    <w:rsid w:val="00742A48"/>
    <w:rsid w:val="00742E3A"/>
    <w:rsid w:val="007438D0"/>
    <w:rsid w:val="00743D8F"/>
    <w:rsid w:val="00744120"/>
    <w:rsid w:val="00745357"/>
    <w:rsid w:val="00746041"/>
    <w:rsid w:val="007461B0"/>
    <w:rsid w:val="007465B2"/>
    <w:rsid w:val="00746DFC"/>
    <w:rsid w:val="0074707D"/>
    <w:rsid w:val="00747195"/>
    <w:rsid w:val="007471C0"/>
    <w:rsid w:val="007472A1"/>
    <w:rsid w:val="007474C6"/>
    <w:rsid w:val="00750B05"/>
    <w:rsid w:val="00750F9C"/>
    <w:rsid w:val="00751660"/>
    <w:rsid w:val="0075169B"/>
    <w:rsid w:val="00751760"/>
    <w:rsid w:val="00751A58"/>
    <w:rsid w:val="00752901"/>
    <w:rsid w:val="00752BCC"/>
    <w:rsid w:val="007533EE"/>
    <w:rsid w:val="00753623"/>
    <w:rsid w:val="00753F48"/>
    <w:rsid w:val="0075452F"/>
    <w:rsid w:val="00754538"/>
    <w:rsid w:val="00754664"/>
    <w:rsid w:val="00755D47"/>
    <w:rsid w:val="00756136"/>
    <w:rsid w:val="007569E5"/>
    <w:rsid w:val="00760F70"/>
    <w:rsid w:val="007611E8"/>
    <w:rsid w:val="00761212"/>
    <w:rsid w:val="00761644"/>
    <w:rsid w:val="00761BEE"/>
    <w:rsid w:val="00762178"/>
    <w:rsid w:val="007622F2"/>
    <w:rsid w:val="00762801"/>
    <w:rsid w:val="00763A89"/>
    <w:rsid w:val="00763BA4"/>
    <w:rsid w:val="00763C14"/>
    <w:rsid w:val="0076419B"/>
    <w:rsid w:val="007644D7"/>
    <w:rsid w:val="007645CD"/>
    <w:rsid w:val="00764F35"/>
    <w:rsid w:val="0076542F"/>
    <w:rsid w:val="007656D3"/>
    <w:rsid w:val="007657D0"/>
    <w:rsid w:val="00765A68"/>
    <w:rsid w:val="0076642C"/>
    <w:rsid w:val="007665E4"/>
    <w:rsid w:val="0076675D"/>
    <w:rsid w:val="0076767F"/>
    <w:rsid w:val="0077015C"/>
    <w:rsid w:val="007708A0"/>
    <w:rsid w:val="00770FE8"/>
    <w:rsid w:val="00771DF0"/>
    <w:rsid w:val="007722B0"/>
    <w:rsid w:val="00772761"/>
    <w:rsid w:val="007727A1"/>
    <w:rsid w:val="0077284E"/>
    <w:rsid w:val="00772A0D"/>
    <w:rsid w:val="00772AD8"/>
    <w:rsid w:val="00772DE1"/>
    <w:rsid w:val="00773969"/>
    <w:rsid w:val="00773B22"/>
    <w:rsid w:val="00774477"/>
    <w:rsid w:val="00774901"/>
    <w:rsid w:val="007753E0"/>
    <w:rsid w:val="007754DF"/>
    <w:rsid w:val="007759EB"/>
    <w:rsid w:val="00775FAA"/>
    <w:rsid w:val="007762E9"/>
    <w:rsid w:val="0077673A"/>
    <w:rsid w:val="00776813"/>
    <w:rsid w:val="00776A62"/>
    <w:rsid w:val="00776EF1"/>
    <w:rsid w:val="00777D88"/>
    <w:rsid w:val="0078066B"/>
    <w:rsid w:val="00780DE0"/>
    <w:rsid w:val="0078186B"/>
    <w:rsid w:val="00782187"/>
    <w:rsid w:val="00782A2E"/>
    <w:rsid w:val="00782C8B"/>
    <w:rsid w:val="00782CFB"/>
    <w:rsid w:val="00783A12"/>
    <w:rsid w:val="0078494A"/>
    <w:rsid w:val="00784A80"/>
    <w:rsid w:val="00785873"/>
    <w:rsid w:val="007858DB"/>
    <w:rsid w:val="007858DE"/>
    <w:rsid w:val="00786DFB"/>
    <w:rsid w:val="00786F70"/>
    <w:rsid w:val="007870B3"/>
    <w:rsid w:val="00787EE0"/>
    <w:rsid w:val="00790CB9"/>
    <w:rsid w:val="00791303"/>
    <w:rsid w:val="00791543"/>
    <w:rsid w:val="007915F6"/>
    <w:rsid w:val="007916E3"/>
    <w:rsid w:val="00791DC3"/>
    <w:rsid w:val="00792019"/>
    <w:rsid w:val="00792BA3"/>
    <w:rsid w:val="007934E1"/>
    <w:rsid w:val="0079358A"/>
    <w:rsid w:val="007937B1"/>
    <w:rsid w:val="00793F8C"/>
    <w:rsid w:val="00794102"/>
    <w:rsid w:val="0079546C"/>
    <w:rsid w:val="007956C6"/>
    <w:rsid w:val="007956F7"/>
    <w:rsid w:val="0079592B"/>
    <w:rsid w:val="00795F0E"/>
    <w:rsid w:val="0079629A"/>
    <w:rsid w:val="007966D7"/>
    <w:rsid w:val="00797310"/>
    <w:rsid w:val="0079752F"/>
    <w:rsid w:val="007977EE"/>
    <w:rsid w:val="007A03C7"/>
    <w:rsid w:val="007A04F5"/>
    <w:rsid w:val="007A07B5"/>
    <w:rsid w:val="007A1E58"/>
    <w:rsid w:val="007A2474"/>
    <w:rsid w:val="007A2726"/>
    <w:rsid w:val="007A2933"/>
    <w:rsid w:val="007A2C56"/>
    <w:rsid w:val="007A2C58"/>
    <w:rsid w:val="007A2D82"/>
    <w:rsid w:val="007A345D"/>
    <w:rsid w:val="007A34A7"/>
    <w:rsid w:val="007A3665"/>
    <w:rsid w:val="007A389D"/>
    <w:rsid w:val="007A3FA8"/>
    <w:rsid w:val="007A455A"/>
    <w:rsid w:val="007A4EDF"/>
    <w:rsid w:val="007A5CF4"/>
    <w:rsid w:val="007A5F65"/>
    <w:rsid w:val="007A6599"/>
    <w:rsid w:val="007A6764"/>
    <w:rsid w:val="007A6FBF"/>
    <w:rsid w:val="007A7715"/>
    <w:rsid w:val="007A7B9B"/>
    <w:rsid w:val="007A7CF8"/>
    <w:rsid w:val="007A7E24"/>
    <w:rsid w:val="007B09CB"/>
    <w:rsid w:val="007B0DF5"/>
    <w:rsid w:val="007B0F4D"/>
    <w:rsid w:val="007B29C3"/>
    <w:rsid w:val="007B32C1"/>
    <w:rsid w:val="007B34DF"/>
    <w:rsid w:val="007B4271"/>
    <w:rsid w:val="007B4334"/>
    <w:rsid w:val="007B4ABE"/>
    <w:rsid w:val="007B4D95"/>
    <w:rsid w:val="007B5304"/>
    <w:rsid w:val="007B562F"/>
    <w:rsid w:val="007B6258"/>
    <w:rsid w:val="007B6502"/>
    <w:rsid w:val="007B67A7"/>
    <w:rsid w:val="007B6805"/>
    <w:rsid w:val="007B69FB"/>
    <w:rsid w:val="007B6B3B"/>
    <w:rsid w:val="007B6D92"/>
    <w:rsid w:val="007B6F5A"/>
    <w:rsid w:val="007B7A9D"/>
    <w:rsid w:val="007B7CD7"/>
    <w:rsid w:val="007B7FDE"/>
    <w:rsid w:val="007C0063"/>
    <w:rsid w:val="007C0486"/>
    <w:rsid w:val="007C0B39"/>
    <w:rsid w:val="007C0EBC"/>
    <w:rsid w:val="007C134B"/>
    <w:rsid w:val="007C13C8"/>
    <w:rsid w:val="007C17CE"/>
    <w:rsid w:val="007C1C2E"/>
    <w:rsid w:val="007C210F"/>
    <w:rsid w:val="007C2D69"/>
    <w:rsid w:val="007C38B6"/>
    <w:rsid w:val="007C39B7"/>
    <w:rsid w:val="007C3E9B"/>
    <w:rsid w:val="007C4B7E"/>
    <w:rsid w:val="007C4F64"/>
    <w:rsid w:val="007C53F4"/>
    <w:rsid w:val="007C5427"/>
    <w:rsid w:val="007C648F"/>
    <w:rsid w:val="007C7CDE"/>
    <w:rsid w:val="007C7E23"/>
    <w:rsid w:val="007C7FC0"/>
    <w:rsid w:val="007D024A"/>
    <w:rsid w:val="007D05D2"/>
    <w:rsid w:val="007D0D40"/>
    <w:rsid w:val="007D100D"/>
    <w:rsid w:val="007D1905"/>
    <w:rsid w:val="007D200A"/>
    <w:rsid w:val="007D222E"/>
    <w:rsid w:val="007D22A3"/>
    <w:rsid w:val="007D24C1"/>
    <w:rsid w:val="007D257C"/>
    <w:rsid w:val="007D25A1"/>
    <w:rsid w:val="007D27CA"/>
    <w:rsid w:val="007D282A"/>
    <w:rsid w:val="007D3EE2"/>
    <w:rsid w:val="007D4F01"/>
    <w:rsid w:val="007D5023"/>
    <w:rsid w:val="007D5C3F"/>
    <w:rsid w:val="007D649A"/>
    <w:rsid w:val="007D6592"/>
    <w:rsid w:val="007D6B57"/>
    <w:rsid w:val="007D6E37"/>
    <w:rsid w:val="007D73D0"/>
    <w:rsid w:val="007D7DFE"/>
    <w:rsid w:val="007E0555"/>
    <w:rsid w:val="007E0AA6"/>
    <w:rsid w:val="007E12B0"/>
    <w:rsid w:val="007E14EE"/>
    <w:rsid w:val="007E2060"/>
    <w:rsid w:val="007E2770"/>
    <w:rsid w:val="007E347B"/>
    <w:rsid w:val="007E3637"/>
    <w:rsid w:val="007E37E1"/>
    <w:rsid w:val="007E3B3B"/>
    <w:rsid w:val="007E3DD9"/>
    <w:rsid w:val="007E3FE2"/>
    <w:rsid w:val="007E4077"/>
    <w:rsid w:val="007E40F6"/>
    <w:rsid w:val="007E4D2C"/>
    <w:rsid w:val="007E5347"/>
    <w:rsid w:val="007E5DCC"/>
    <w:rsid w:val="007E66D8"/>
    <w:rsid w:val="007E671C"/>
    <w:rsid w:val="007E6744"/>
    <w:rsid w:val="007E6999"/>
    <w:rsid w:val="007E6ECE"/>
    <w:rsid w:val="007E70A8"/>
    <w:rsid w:val="007E7765"/>
    <w:rsid w:val="007E7775"/>
    <w:rsid w:val="007E792C"/>
    <w:rsid w:val="007F017C"/>
    <w:rsid w:val="007F018A"/>
    <w:rsid w:val="007F0C43"/>
    <w:rsid w:val="007F11D8"/>
    <w:rsid w:val="007F13B3"/>
    <w:rsid w:val="007F16B9"/>
    <w:rsid w:val="007F23C9"/>
    <w:rsid w:val="007F2506"/>
    <w:rsid w:val="007F2CB8"/>
    <w:rsid w:val="007F4640"/>
    <w:rsid w:val="007F47FB"/>
    <w:rsid w:val="007F488F"/>
    <w:rsid w:val="007F52AD"/>
    <w:rsid w:val="007F5582"/>
    <w:rsid w:val="007F6B4D"/>
    <w:rsid w:val="007F6B67"/>
    <w:rsid w:val="007F7AB4"/>
    <w:rsid w:val="007F7F20"/>
    <w:rsid w:val="008008FF"/>
    <w:rsid w:val="00800CF6"/>
    <w:rsid w:val="00800F02"/>
    <w:rsid w:val="008016F2"/>
    <w:rsid w:val="00801F6E"/>
    <w:rsid w:val="00801FB0"/>
    <w:rsid w:val="00802471"/>
    <w:rsid w:val="00803309"/>
    <w:rsid w:val="00803C8B"/>
    <w:rsid w:val="008041FA"/>
    <w:rsid w:val="00804323"/>
    <w:rsid w:val="008045EC"/>
    <w:rsid w:val="00804855"/>
    <w:rsid w:val="00804AD2"/>
    <w:rsid w:val="00804B93"/>
    <w:rsid w:val="008059B7"/>
    <w:rsid w:val="0080606A"/>
    <w:rsid w:val="00806DF3"/>
    <w:rsid w:val="00807834"/>
    <w:rsid w:val="00810496"/>
    <w:rsid w:val="0081070F"/>
    <w:rsid w:val="00810877"/>
    <w:rsid w:val="00810D31"/>
    <w:rsid w:val="00811760"/>
    <w:rsid w:val="00811BAE"/>
    <w:rsid w:val="00811FFA"/>
    <w:rsid w:val="00812032"/>
    <w:rsid w:val="0081288C"/>
    <w:rsid w:val="00812DF6"/>
    <w:rsid w:val="008132AE"/>
    <w:rsid w:val="008132DE"/>
    <w:rsid w:val="00813B88"/>
    <w:rsid w:val="00813BE4"/>
    <w:rsid w:val="00814557"/>
    <w:rsid w:val="0081491B"/>
    <w:rsid w:val="00814E37"/>
    <w:rsid w:val="00815307"/>
    <w:rsid w:val="00815A23"/>
    <w:rsid w:val="00816677"/>
    <w:rsid w:val="00816A8C"/>
    <w:rsid w:val="0081762E"/>
    <w:rsid w:val="0082048A"/>
    <w:rsid w:val="008204D7"/>
    <w:rsid w:val="00820CCE"/>
    <w:rsid w:val="0082112D"/>
    <w:rsid w:val="008212D6"/>
    <w:rsid w:val="008215E4"/>
    <w:rsid w:val="00821F5F"/>
    <w:rsid w:val="008229EA"/>
    <w:rsid w:val="00822BC9"/>
    <w:rsid w:val="00822F4D"/>
    <w:rsid w:val="008234FA"/>
    <w:rsid w:val="00823719"/>
    <w:rsid w:val="008237DB"/>
    <w:rsid w:val="00823F49"/>
    <w:rsid w:val="008240ED"/>
    <w:rsid w:val="008245CB"/>
    <w:rsid w:val="00825030"/>
    <w:rsid w:val="008257DC"/>
    <w:rsid w:val="00826BCF"/>
    <w:rsid w:val="00826E42"/>
    <w:rsid w:val="00826FAE"/>
    <w:rsid w:val="00830D92"/>
    <w:rsid w:val="00831068"/>
    <w:rsid w:val="0083114A"/>
    <w:rsid w:val="0083179D"/>
    <w:rsid w:val="0083190E"/>
    <w:rsid w:val="00831A89"/>
    <w:rsid w:val="00831AC0"/>
    <w:rsid w:val="00831AC1"/>
    <w:rsid w:val="00831F40"/>
    <w:rsid w:val="008329B5"/>
    <w:rsid w:val="00832C05"/>
    <w:rsid w:val="008330CE"/>
    <w:rsid w:val="0083377B"/>
    <w:rsid w:val="0083389E"/>
    <w:rsid w:val="008338DF"/>
    <w:rsid w:val="00834F99"/>
    <w:rsid w:val="00835DBC"/>
    <w:rsid w:val="0083625E"/>
    <w:rsid w:val="00836B81"/>
    <w:rsid w:val="00836BF0"/>
    <w:rsid w:val="00836DDA"/>
    <w:rsid w:val="00836F36"/>
    <w:rsid w:val="0083703B"/>
    <w:rsid w:val="00837605"/>
    <w:rsid w:val="0083780A"/>
    <w:rsid w:val="00837EA1"/>
    <w:rsid w:val="00837F2E"/>
    <w:rsid w:val="00840133"/>
    <w:rsid w:val="008402CC"/>
    <w:rsid w:val="00840C2B"/>
    <w:rsid w:val="008420D3"/>
    <w:rsid w:val="008422D3"/>
    <w:rsid w:val="00842CD1"/>
    <w:rsid w:val="00843343"/>
    <w:rsid w:val="00843D01"/>
    <w:rsid w:val="00844283"/>
    <w:rsid w:val="008443C0"/>
    <w:rsid w:val="0084452A"/>
    <w:rsid w:val="00844AF5"/>
    <w:rsid w:val="00844AF8"/>
    <w:rsid w:val="00844FB5"/>
    <w:rsid w:val="0084581C"/>
    <w:rsid w:val="00845B8B"/>
    <w:rsid w:val="00846D52"/>
    <w:rsid w:val="00846D9D"/>
    <w:rsid w:val="00847487"/>
    <w:rsid w:val="008475D3"/>
    <w:rsid w:val="008510E3"/>
    <w:rsid w:val="00851E02"/>
    <w:rsid w:val="00852905"/>
    <w:rsid w:val="00852A5C"/>
    <w:rsid w:val="00852C32"/>
    <w:rsid w:val="008540D2"/>
    <w:rsid w:val="00855160"/>
    <w:rsid w:val="0085595B"/>
    <w:rsid w:val="00855EC7"/>
    <w:rsid w:val="00856626"/>
    <w:rsid w:val="00856676"/>
    <w:rsid w:val="008567B8"/>
    <w:rsid w:val="00856FC8"/>
    <w:rsid w:val="008570CF"/>
    <w:rsid w:val="00857258"/>
    <w:rsid w:val="008577C1"/>
    <w:rsid w:val="008577C4"/>
    <w:rsid w:val="00857D9A"/>
    <w:rsid w:val="008600D2"/>
    <w:rsid w:val="008604B8"/>
    <w:rsid w:val="008606B2"/>
    <w:rsid w:val="00860BB9"/>
    <w:rsid w:val="00862678"/>
    <w:rsid w:val="0086283F"/>
    <w:rsid w:val="008628CB"/>
    <w:rsid w:val="00862A10"/>
    <w:rsid w:val="00862C06"/>
    <w:rsid w:val="00862CE1"/>
    <w:rsid w:val="00863173"/>
    <w:rsid w:val="00863348"/>
    <w:rsid w:val="00863478"/>
    <w:rsid w:val="00864999"/>
    <w:rsid w:val="00864FB9"/>
    <w:rsid w:val="008650A1"/>
    <w:rsid w:val="00865168"/>
    <w:rsid w:val="0086569C"/>
    <w:rsid w:val="00865EB1"/>
    <w:rsid w:val="008665F9"/>
    <w:rsid w:val="0086672D"/>
    <w:rsid w:val="008669A1"/>
    <w:rsid w:val="00866DE2"/>
    <w:rsid w:val="00867089"/>
    <w:rsid w:val="00867C77"/>
    <w:rsid w:val="0087095A"/>
    <w:rsid w:val="00870EE1"/>
    <w:rsid w:val="008714EE"/>
    <w:rsid w:val="00871568"/>
    <w:rsid w:val="008715E8"/>
    <w:rsid w:val="00871E9B"/>
    <w:rsid w:val="00871F65"/>
    <w:rsid w:val="008727E9"/>
    <w:rsid w:val="0087306A"/>
    <w:rsid w:val="0087322F"/>
    <w:rsid w:val="00874068"/>
    <w:rsid w:val="00875484"/>
    <w:rsid w:val="00875BD2"/>
    <w:rsid w:val="00875D66"/>
    <w:rsid w:val="00875DBA"/>
    <w:rsid w:val="00875EF6"/>
    <w:rsid w:val="00876A2C"/>
    <w:rsid w:val="00876CDA"/>
    <w:rsid w:val="008777A1"/>
    <w:rsid w:val="008778D4"/>
    <w:rsid w:val="008810CE"/>
    <w:rsid w:val="008811BB"/>
    <w:rsid w:val="008822E6"/>
    <w:rsid w:val="0088256F"/>
    <w:rsid w:val="00882AF5"/>
    <w:rsid w:val="00882B25"/>
    <w:rsid w:val="00882F92"/>
    <w:rsid w:val="00884E13"/>
    <w:rsid w:val="008856B5"/>
    <w:rsid w:val="00885A14"/>
    <w:rsid w:val="00885CCD"/>
    <w:rsid w:val="00885FE6"/>
    <w:rsid w:val="008860AF"/>
    <w:rsid w:val="00886507"/>
    <w:rsid w:val="00886578"/>
    <w:rsid w:val="008866B1"/>
    <w:rsid w:val="008866E1"/>
    <w:rsid w:val="008868F0"/>
    <w:rsid w:val="00886AE8"/>
    <w:rsid w:val="0088753C"/>
    <w:rsid w:val="00887958"/>
    <w:rsid w:val="008879B6"/>
    <w:rsid w:val="008879F9"/>
    <w:rsid w:val="00887BE3"/>
    <w:rsid w:val="008903D8"/>
    <w:rsid w:val="008904A3"/>
    <w:rsid w:val="00890809"/>
    <w:rsid w:val="00890943"/>
    <w:rsid w:val="008909E4"/>
    <w:rsid w:val="008913A5"/>
    <w:rsid w:val="00891711"/>
    <w:rsid w:val="0089244F"/>
    <w:rsid w:val="00892721"/>
    <w:rsid w:val="00892E62"/>
    <w:rsid w:val="008946B6"/>
    <w:rsid w:val="00894C97"/>
    <w:rsid w:val="00895E9F"/>
    <w:rsid w:val="0089650B"/>
    <w:rsid w:val="008A08D2"/>
    <w:rsid w:val="008A0D8C"/>
    <w:rsid w:val="008A0DDD"/>
    <w:rsid w:val="008A1249"/>
    <w:rsid w:val="008A1AB6"/>
    <w:rsid w:val="008A2057"/>
    <w:rsid w:val="008A20E8"/>
    <w:rsid w:val="008A2165"/>
    <w:rsid w:val="008A217D"/>
    <w:rsid w:val="008A22D0"/>
    <w:rsid w:val="008A2D62"/>
    <w:rsid w:val="008A2E7C"/>
    <w:rsid w:val="008A3223"/>
    <w:rsid w:val="008A35FE"/>
    <w:rsid w:val="008A3A62"/>
    <w:rsid w:val="008A414E"/>
    <w:rsid w:val="008A421B"/>
    <w:rsid w:val="008A4279"/>
    <w:rsid w:val="008A4CC6"/>
    <w:rsid w:val="008A5B04"/>
    <w:rsid w:val="008A5C00"/>
    <w:rsid w:val="008A6139"/>
    <w:rsid w:val="008A6552"/>
    <w:rsid w:val="008A6748"/>
    <w:rsid w:val="008A681C"/>
    <w:rsid w:val="008A6CC1"/>
    <w:rsid w:val="008A6E1C"/>
    <w:rsid w:val="008A700C"/>
    <w:rsid w:val="008A7110"/>
    <w:rsid w:val="008A764F"/>
    <w:rsid w:val="008A799B"/>
    <w:rsid w:val="008B0794"/>
    <w:rsid w:val="008B0906"/>
    <w:rsid w:val="008B0DA7"/>
    <w:rsid w:val="008B147E"/>
    <w:rsid w:val="008B1B07"/>
    <w:rsid w:val="008B2DDB"/>
    <w:rsid w:val="008B2FE0"/>
    <w:rsid w:val="008B33C8"/>
    <w:rsid w:val="008B3911"/>
    <w:rsid w:val="008B3AE4"/>
    <w:rsid w:val="008B3FBF"/>
    <w:rsid w:val="008B4257"/>
    <w:rsid w:val="008B45AE"/>
    <w:rsid w:val="008B4C56"/>
    <w:rsid w:val="008B563A"/>
    <w:rsid w:val="008B5D6D"/>
    <w:rsid w:val="008B63BA"/>
    <w:rsid w:val="008B6470"/>
    <w:rsid w:val="008B65A7"/>
    <w:rsid w:val="008B6F38"/>
    <w:rsid w:val="008B75C2"/>
    <w:rsid w:val="008B78D0"/>
    <w:rsid w:val="008B7C18"/>
    <w:rsid w:val="008C0E14"/>
    <w:rsid w:val="008C1C8F"/>
    <w:rsid w:val="008C2128"/>
    <w:rsid w:val="008C3044"/>
    <w:rsid w:val="008C3BDE"/>
    <w:rsid w:val="008C41FF"/>
    <w:rsid w:val="008C45F5"/>
    <w:rsid w:val="008C499A"/>
    <w:rsid w:val="008C5467"/>
    <w:rsid w:val="008C55F2"/>
    <w:rsid w:val="008C60F6"/>
    <w:rsid w:val="008C6324"/>
    <w:rsid w:val="008C641C"/>
    <w:rsid w:val="008C6685"/>
    <w:rsid w:val="008C6A1F"/>
    <w:rsid w:val="008C6FC6"/>
    <w:rsid w:val="008C739B"/>
    <w:rsid w:val="008C765A"/>
    <w:rsid w:val="008D02C1"/>
    <w:rsid w:val="008D09C5"/>
    <w:rsid w:val="008D0CBD"/>
    <w:rsid w:val="008D1194"/>
    <w:rsid w:val="008D1267"/>
    <w:rsid w:val="008D1590"/>
    <w:rsid w:val="008D1E01"/>
    <w:rsid w:val="008D2BCB"/>
    <w:rsid w:val="008D2CFE"/>
    <w:rsid w:val="008D2D09"/>
    <w:rsid w:val="008D2E6D"/>
    <w:rsid w:val="008D3097"/>
    <w:rsid w:val="008D3375"/>
    <w:rsid w:val="008D3ECD"/>
    <w:rsid w:val="008D46ED"/>
    <w:rsid w:val="008D539D"/>
    <w:rsid w:val="008D6333"/>
    <w:rsid w:val="008D696B"/>
    <w:rsid w:val="008D7137"/>
    <w:rsid w:val="008D7535"/>
    <w:rsid w:val="008D75EA"/>
    <w:rsid w:val="008D7DB8"/>
    <w:rsid w:val="008D7E52"/>
    <w:rsid w:val="008D7FB8"/>
    <w:rsid w:val="008E098F"/>
    <w:rsid w:val="008E1286"/>
    <w:rsid w:val="008E13F5"/>
    <w:rsid w:val="008E142E"/>
    <w:rsid w:val="008E154F"/>
    <w:rsid w:val="008E16B2"/>
    <w:rsid w:val="008E17D4"/>
    <w:rsid w:val="008E1E6B"/>
    <w:rsid w:val="008E23B8"/>
    <w:rsid w:val="008E23D3"/>
    <w:rsid w:val="008E2A3E"/>
    <w:rsid w:val="008E2C25"/>
    <w:rsid w:val="008E411D"/>
    <w:rsid w:val="008E536F"/>
    <w:rsid w:val="008E54A8"/>
    <w:rsid w:val="008E54CF"/>
    <w:rsid w:val="008E5561"/>
    <w:rsid w:val="008E56A2"/>
    <w:rsid w:val="008E5B59"/>
    <w:rsid w:val="008E5C75"/>
    <w:rsid w:val="008E5EF5"/>
    <w:rsid w:val="008E617D"/>
    <w:rsid w:val="008E6615"/>
    <w:rsid w:val="008E6A6A"/>
    <w:rsid w:val="008E6AEC"/>
    <w:rsid w:val="008E77EE"/>
    <w:rsid w:val="008E7C00"/>
    <w:rsid w:val="008F04F4"/>
    <w:rsid w:val="008F0657"/>
    <w:rsid w:val="008F0B93"/>
    <w:rsid w:val="008F0E6E"/>
    <w:rsid w:val="008F1697"/>
    <w:rsid w:val="008F1BDF"/>
    <w:rsid w:val="008F1E30"/>
    <w:rsid w:val="008F20C6"/>
    <w:rsid w:val="008F263A"/>
    <w:rsid w:val="008F2B98"/>
    <w:rsid w:val="008F2D01"/>
    <w:rsid w:val="008F31E3"/>
    <w:rsid w:val="008F382C"/>
    <w:rsid w:val="008F3D84"/>
    <w:rsid w:val="008F3EF6"/>
    <w:rsid w:val="008F4733"/>
    <w:rsid w:val="008F4982"/>
    <w:rsid w:val="008F4FEC"/>
    <w:rsid w:val="008F750B"/>
    <w:rsid w:val="008F77E0"/>
    <w:rsid w:val="008F7AFB"/>
    <w:rsid w:val="00900674"/>
    <w:rsid w:val="0090070A"/>
    <w:rsid w:val="00902864"/>
    <w:rsid w:val="00902E63"/>
    <w:rsid w:val="00903318"/>
    <w:rsid w:val="00903405"/>
    <w:rsid w:val="00903445"/>
    <w:rsid w:val="00903617"/>
    <w:rsid w:val="00903637"/>
    <w:rsid w:val="0090395B"/>
    <w:rsid w:val="00903EA1"/>
    <w:rsid w:val="0090408D"/>
    <w:rsid w:val="0090514A"/>
    <w:rsid w:val="00906172"/>
    <w:rsid w:val="00906CDD"/>
    <w:rsid w:val="00907010"/>
    <w:rsid w:val="009072B4"/>
    <w:rsid w:val="0090749D"/>
    <w:rsid w:val="00907A5A"/>
    <w:rsid w:val="0091013A"/>
    <w:rsid w:val="009105A8"/>
    <w:rsid w:val="009109BA"/>
    <w:rsid w:val="00910BDF"/>
    <w:rsid w:val="0091168D"/>
    <w:rsid w:val="009118CE"/>
    <w:rsid w:val="00911F2A"/>
    <w:rsid w:val="00911F9A"/>
    <w:rsid w:val="009127B8"/>
    <w:rsid w:val="009128EB"/>
    <w:rsid w:val="00912E9A"/>
    <w:rsid w:val="009132B8"/>
    <w:rsid w:val="0091368C"/>
    <w:rsid w:val="009138E6"/>
    <w:rsid w:val="00913AED"/>
    <w:rsid w:val="00914038"/>
    <w:rsid w:val="009140AD"/>
    <w:rsid w:val="00914230"/>
    <w:rsid w:val="0091488F"/>
    <w:rsid w:val="009155C3"/>
    <w:rsid w:val="00915C05"/>
    <w:rsid w:val="0091612F"/>
    <w:rsid w:val="00916ACC"/>
    <w:rsid w:val="00916FC7"/>
    <w:rsid w:val="00917F96"/>
    <w:rsid w:val="00920C5D"/>
    <w:rsid w:val="00920C8E"/>
    <w:rsid w:val="00921464"/>
    <w:rsid w:val="009217C3"/>
    <w:rsid w:val="00922391"/>
    <w:rsid w:val="0092257F"/>
    <w:rsid w:val="009227E9"/>
    <w:rsid w:val="00922EBD"/>
    <w:rsid w:val="00922FD8"/>
    <w:rsid w:val="00923829"/>
    <w:rsid w:val="00924900"/>
    <w:rsid w:val="00925269"/>
    <w:rsid w:val="009256C1"/>
    <w:rsid w:val="00925C4B"/>
    <w:rsid w:val="0092625A"/>
    <w:rsid w:val="00926748"/>
    <w:rsid w:val="00927E2B"/>
    <w:rsid w:val="00927E36"/>
    <w:rsid w:val="00930FCD"/>
    <w:rsid w:val="00931059"/>
    <w:rsid w:val="009317F3"/>
    <w:rsid w:val="00931EA2"/>
    <w:rsid w:val="00932058"/>
    <w:rsid w:val="009327B8"/>
    <w:rsid w:val="00933C6F"/>
    <w:rsid w:val="00934067"/>
    <w:rsid w:val="0093438A"/>
    <w:rsid w:val="00934583"/>
    <w:rsid w:val="00935FEF"/>
    <w:rsid w:val="0093645C"/>
    <w:rsid w:val="00936A82"/>
    <w:rsid w:val="00936B5D"/>
    <w:rsid w:val="00936F5A"/>
    <w:rsid w:val="0094034B"/>
    <w:rsid w:val="0094041D"/>
    <w:rsid w:val="00940554"/>
    <w:rsid w:val="00941220"/>
    <w:rsid w:val="00941694"/>
    <w:rsid w:val="0094253D"/>
    <w:rsid w:val="00942C59"/>
    <w:rsid w:val="00942D9C"/>
    <w:rsid w:val="009431A4"/>
    <w:rsid w:val="0094360E"/>
    <w:rsid w:val="00943D81"/>
    <w:rsid w:val="0094432A"/>
    <w:rsid w:val="0094534C"/>
    <w:rsid w:val="00945451"/>
    <w:rsid w:val="00945ACF"/>
    <w:rsid w:val="00945C0F"/>
    <w:rsid w:val="00945C48"/>
    <w:rsid w:val="009462F2"/>
    <w:rsid w:val="00946750"/>
    <w:rsid w:val="00947662"/>
    <w:rsid w:val="00947753"/>
    <w:rsid w:val="00947E9A"/>
    <w:rsid w:val="0095064B"/>
    <w:rsid w:val="009508FE"/>
    <w:rsid w:val="00950AB5"/>
    <w:rsid w:val="00951732"/>
    <w:rsid w:val="009522F7"/>
    <w:rsid w:val="00952902"/>
    <w:rsid w:val="00953DB5"/>
    <w:rsid w:val="009548E4"/>
    <w:rsid w:val="00954E59"/>
    <w:rsid w:val="00956BB2"/>
    <w:rsid w:val="0095703F"/>
    <w:rsid w:val="0095774B"/>
    <w:rsid w:val="00960075"/>
    <w:rsid w:val="009600E9"/>
    <w:rsid w:val="00960A99"/>
    <w:rsid w:val="00960FA4"/>
    <w:rsid w:val="009611E7"/>
    <w:rsid w:val="0096193B"/>
    <w:rsid w:val="00961AD5"/>
    <w:rsid w:val="00961B1C"/>
    <w:rsid w:val="00962419"/>
    <w:rsid w:val="00963F1D"/>
    <w:rsid w:val="00964A18"/>
    <w:rsid w:val="009653F3"/>
    <w:rsid w:val="00965733"/>
    <w:rsid w:val="00965DB0"/>
    <w:rsid w:val="009662EF"/>
    <w:rsid w:val="00966B03"/>
    <w:rsid w:val="00967220"/>
    <w:rsid w:val="009675AA"/>
    <w:rsid w:val="00967EFB"/>
    <w:rsid w:val="0097044D"/>
    <w:rsid w:val="00970C57"/>
    <w:rsid w:val="00970F3D"/>
    <w:rsid w:val="00971434"/>
    <w:rsid w:val="009714B4"/>
    <w:rsid w:val="00971E6D"/>
    <w:rsid w:val="00971F44"/>
    <w:rsid w:val="009721A9"/>
    <w:rsid w:val="00972580"/>
    <w:rsid w:val="00972AFE"/>
    <w:rsid w:val="009733EC"/>
    <w:rsid w:val="00973786"/>
    <w:rsid w:val="00973FCD"/>
    <w:rsid w:val="009745F3"/>
    <w:rsid w:val="00974809"/>
    <w:rsid w:val="00974D09"/>
    <w:rsid w:val="0097548B"/>
    <w:rsid w:val="0097549F"/>
    <w:rsid w:val="00975794"/>
    <w:rsid w:val="00975B74"/>
    <w:rsid w:val="00975F5F"/>
    <w:rsid w:val="0097673C"/>
    <w:rsid w:val="009769E1"/>
    <w:rsid w:val="009770F0"/>
    <w:rsid w:val="0097718A"/>
    <w:rsid w:val="00977502"/>
    <w:rsid w:val="0097763E"/>
    <w:rsid w:val="0097779A"/>
    <w:rsid w:val="00977A37"/>
    <w:rsid w:val="00977CE2"/>
    <w:rsid w:val="0098007A"/>
    <w:rsid w:val="00980082"/>
    <w:rsid w:val="00980636"/>
    <w:rsid w:val="0098063D"/>
    <w:rsid w:val="00980C65"/>
    <w:rsid w:val="00981249"/>
    <w:rsid w:val="00981389"/>
    <w:rsid w:val="0098191A"/>
    <w:rsid w:val="00981EC6"/>
    <w:rsid w:val="009829C1"/>
    <w:rsid w:val="009830C3"/>
    <w:rsid w:val="00983D81"/>
    <w:rsid w:val="00983E3F"/>
    <w:rsid w:val="009841E0"/>
    <w:rsid w:val="00984257"/>
    <w:rsid w:val="009843C4"/>
    <w:rsid w:val="009854DA"/>
    <w:rsid w:val="00986A9E"/>
    <w:rsid w:val="00986D8B"/>
    <w:rsid w:val="009870DD"/>
    <w:rsid w:val="009872D9"/>
    <w:rsid w:val="0098758F"/>
    <w:rsid w:val="009877E9"/>
    <w:rsid w:val="00987D24"/>
    <w:rsid w:val="009902C8"/>
    <w:rsid w:val="00990916"/>
    <w:rsid w:val="00990A39"/>
    <w:rsid w:val="00991111"/>
    <w:rsid w:val="009913AA"/>
    <w:rsid w:val="009916FC"/>
    <w:rsid w:val="00991AD9"/>
    <w:rsid w:val="00991F31"/>
    <w:rsid w:val="00992AED"/>
    <w:rsid w:val="00992C58"/>
    <w:rsid w:val="00993097"/>
    <w:rsid w:val="00993906"/>
    <w:rsid w:val="00993FC6"/>
    <w:rsid w:val="00993FD3"/>
    <w:rsid w:val="00993FEB"/>
    <w:rsid w:val="009943CB"/>
    <w:rsid w:val="00994469"/>
    <w:rsid w:val="009955E4"/>
    <w:rsid w:val="009956FC"/>
    <w:rsid w:val="009965F2"/>
    <w:rsid w:val="009975E8"/>
    <w:rsid w:val="00997666"/>
    <w:rsid w:val="00997702"/>
    <w:rsid w:val="00997755"/>
    <w:rsid w:val="009A07B0"/>
    <w:rsid w:val="009A0BA0"/>
    <w:rsid w:val="009A0E3F"/>
    <w:rsid w:val="009A1045"/>
    <w:rsid w:val="009A1091"/>
    <w:rsid w:val="009A13DB"/>
    <w:rsid w:val="009A16DC"/>
    <w:rsid w:val="009A262B"/>
    <w:rsid w:val="009A2C51"/>
    <w:rsid w:val="009A34B1"/>
    <w:rsid w:val="009A42CC"/>
    <w:rsid w:val="009A479C"/>
    <w:rsid w:val="009A48C7"/>
    <w:rsid w:val="009A4B03"/>
    <w:rsid w:val="009A4F10"/>
    <w:rsid w:val="009A5159"/>
    <w:rsid w:val="009A538D"/>
    <w:rsid w:val="009A53CE"/>
    <w:rsid w:val="009A579A"/>
    <w:rsid w:val="009A6992"/>
    <w:rsid w:val="009A69E6"/>
    <w:rsid w:val="009A6EC3"/>
    <w:rsid w:val="009A6ED4"/>
    <w:rsid w:val="009A7815"/>
    <w:rsid w:val="009B110D"/>
    <w:rsid w:val="009B1750"/>
    <w:rsid w:val="009B21A6"/>
    <w:rsid w:val="009B2B18"/>
    <w:rsid w:val="009B3473"/>
    <w:rsid w:val="009B367C"/>
    <w:rsid w:val="009B3704"/>
    <w:rsid w:val="009B373A"/>
    <w:rsid w:val="009B3AF5"/>
    <w:rsid w:val="009B3C03"/>
    <w:rsid w:val="009B3D74"/>
    <w:rsid w:val="009B3E48"/>
    <w:rsid w:val="009B4045"/>
    <w:rsid w:val="009B46F3"/>
    <w:rsid w:val="009B4E15"/>
    <w:rsid w:val="009B53B5"/>
    <w:rsid w:val="009B558B"/>
    <w:rsid w:val="009B565D"/>
    <w:rsid w:val="009B5AA7"/>
    <w:rsid w:val="009B6303"/>
    <w:rsid w:val="009B6400"/>
    <w:rsid w:val="009B66FE"/>
    <w:rsid w:val="009B6771"/>
    <w:rsid w:val="009B6ADE"/>
    <w:rsid w:val="009B6B6F"/>
    <w:rsid w:val="009B6D8B"/>
    <w:rsid w:val="009B7B96"/>
    <w:rsid w:val="009B7D53"/>
    <w:rsid w:val="009C01A2"/>
    <w:rsid w:val="009C074E"/>
    <w:rsid w:val="009C086A"/>
    <w:rsid w:val="009C1CB5"/>
    <w:rsid w:val="009C1F25"/>
    <w:rsid w:val="009C26DD"/>
    <w:rsid w:val="009C27E7"/>
    <w:rsid w:val="009C2AAA"/>
    <w:rsid w:val="009C3513"/>
    <w:rsid w:val="009C366A"/>
    <w:rsid w:val="009C396A"/>
    <w:rsid w:val="009C3D33"/>
    <w:rsid w:val="009C51DF"/>
    <w:rsid w:val="009C5506"/>
    <w:rsid w:val="009C63AB"/>
    <w:rsid w:val="009C683D"/>
    <w:rsid w:val="009C6D2C"/>
    <w:rsid w:val="009C70F4"/>
    <w:rsid w:val="009D014B"/>
    <w:rsid w:val="009D0307"/>
    <w:rsid w:val="009D1506"/>
    <w:rsid w:val="009D1767"/>
    <w:rsid w:val="009D1CC9"/>
    <w:rsid w:val="009D1D5B"/>
    <w:rsid w:val="009D280F"/>
    <w:rsid w:val="009D2863"/>
    <w:rsid w:val="009D2C33"/>
    <w:rsid w:val="009D3D32"/>
    <w:rsid w:val="009D3DE0"/>
    <w:rsid w:val="009D4188"/>
    <w:rsid w:val="009D4E34"/>
    <w:rsid w:val="009D5B80"/>
    <w:rsid w:val="009D61DB"/>
    <w:rsid w:val="009D645E"/>
    <w:rsid w:val="009D66A5"/>
    <w:rsid w:val="009D70E9"/>
    <w:rsid w:val="009D7F42"/>
    <w:rsid w:val="009E077B"/>
    <w:rsid w:val="009E0A14"/>
    <w:rsid w:val="009E0AD9"/>
    <w:rsid w:val="009E1784"/>
    <w:rsid w:val="009E1F80"/>
    <w:rsid w:val="009E236D"/>
    <w:rsid w:val="009E27C0"/>
    <w:rsid w:val="009E2EC5"/>
    <w:rsid w:val="009E302C"/>
    <w:rsid w:val="009E3634"/>
    <w:rsid w:val="009E3D61"/>
    <w:rsid w:val="009E3D92"/>
    <w:rsid w:val="009E4246"/>
    <w:rsid w:val="009E4CA4"/>
    <w:rsid w:val="009E4EF2"/>
    <w:rsid w:val="009E5BB9"/>
    <w:rsid w:val="009E6563"/>
    <w:rsid w:val="009E6C13"/>
    <w:rsid w:val="009E7822"/>
    <w:rsid w:val="009E7A99"/>
    <w:rsid w:val="009E7ADF"/>
    <w:rsid w:val="009F039E"/>
    <w:rsid w:val="009F1154"/>
    <w:rsid w:val="009F11F6"/>
    <w:rsid w:val="009F18DF"/>
    <w:rsid w:val="009F1AD2"/>
    <w:rsid w:val="009F1B2C"/>
    <w:rsid w:val="009F1DD7"/>
    <w:rsid w:val="009F207F"/>
    <w:rsid w:val="009F26A2"/>
    <w:rsid w:val="009F39D1"/>
    <w:rsid w:val="009F3CF8"/>
    <w:rsid w:val="009F4136"/>
    <w:rsid w:val="009F4491"/>
    <w:rsid w:val="009F4A67"/>
    <w:rsid w:val="009F5E78"/>
    <w:rsid w:val="009F5EAC"/>
    <w:rsid w:val="009F5FCF"/>
    <w:rsid w:val="009F6E75"/>
    <w:rsid w:val="009F788C"/>
    <w:rsid w:val="009F7959"/>
    <w:rsid w:val="009F7EBA"/>
    <w:rsid w:val="00A00B48"/>
    <w:rsid w:val="00A00F44"/>
    <w:rsid w:val="00A02C9F"/>
    <w:rsid w:val="00A0324F"/>
    <w:rsid w:val="00A032D2"/>
    <w:rsid w:val="00A032E7"/>
    <w:rsid w:val="00A0382D"/>
    <w:rsid w:val="00A03B4A"/>
    <w:rsid w:val="00A04210"/>
    <w:rsid w:val="00A0457C"/>
    <w:rsid w:val="00A04587"/>
    <w:rsid w:val="00A04C9B"/>
    <w:rsid w:val="00A05971"/>
    <w:rsid w:val="00A06145"/>
    <w:rsid w:val="00A06253"/>
    <w:rsid w:val="00A06CAB"/>
    <w:rsid w:val="00A06E59"/>
    <w:rsid w:val="00A076F2"/>
    <w:rsid w:val="00A07F64"/>
    <w:rsid w:val="00A101C5"/>
    <w:rsid w:val="00A10239"/>
    <w:rsid w:val="00A109A8"/>
    <w:rsid w:val="00A10DDC"/>
    <w:rsid w:val="00A10FF0"/>
    <w:rsid w:val="00A11731"/>
    <w:rsid w:val="00A11D6F"/>
    <w:rsid w:val="00A12247"/>
    <w:rsid w:val="00A123A5"/>
    <w:rsid w:val="00A12BF6"/>
    <w:rsid w:val="00A12CC6"/>
    <w:rsid w:val="00A13CF4"/>
    <w:rsid w:val="00A13EAA"/>
    <w:rsid w:val="00A14243"/>
    <w:rsid w:val="00A142ED"/>
    <w:rsid w:val="00A14463"/>
    <w:rsid w:val="00A1448B"/>
    <w:rsid w:val="00A14691"/>
    <w:rsid w:val="00A14BCA"/>
    <w:rsid w:val="00A14BE3"/>
    <w:rsid w:val="00A14E74"/>
    <w:rsid w:val="00A14FDD"/>
    <w:rsid w:val="00A1514D"/>
    <w:rsid w:val="00A15783"/>
    <w:rsid w:val="00A15DA5"/>
    <w:rsid w:val="00A1751C"/>
    <w:rsid w:val="00A17C77"/>
    <w:rsid w:val="00A17D5C"/>
    <w:rsid w:val="00A17F13"/>
    <w:rsid w:val="00A203B9"/>
    <w:rsid w:val="00A2068E"/>
    <w:rsid w:val="00A20CCB"/>
    <w:rsid w:val="00A20ED2"/>
    <w:rsid w:val="00A20F46"/>
    <w:rsid w:val="00A21021"/>
    <w:rsid w:val="00A21DB1"/>
    <w:rsid w:val="00A2249B"/>
    <w:rsid w:val="00A22D7F"/>
    <w:rsid w:val="00A234EF"/>
    <w:rsid w:val="00A236A0"/>
    <w:rsid w:val="00A239E2"/>
    <w:rsid w:val="00A240B2"/>
    <w:rsid w:val="00A24397"/>
    <w:rsid w:val="00A25478"/>
    <w:rsid w:val="00A25B14"/>
    <w:rsid w:val="00A2695D"/>
    <w:rsid w:val="00A26D24"/>
    <w:rsid w:val="00A26EEA"/>
    <w:rsid w:val="00A2728A"/>
    <w:rsid w:val="00A27467"/>
    <w:rsid w:val="00A27C3F"/>
    <w:rsid w:val="00A305D5"/>
    <w:rsid w:val="00A308D7"/>
    <w:rsid w:val="00A31078"/>
    <w:rsid w:val="00A31251"/>
    <w:rsid w:val="00A319C6"/>
    <w:rsid w:val="00A3285E"/>
    <w:rsid w:val="00A3344A"/>
    <w:rsid w:val="00A3387E"/>
    <w:rsid w:val="00A338B7"/>
    <w:rsid w:val="00A33D8F"/>
    <w:rsid w:val="00A346CA"/>
    <w:rsid w:val="00A34904"/>
    <w:rsid w:val="00A35D75"/>
    <w:rsid w:val="00A35DD4"/>
    <w:rsid w:val="00A36578"/>
    <w:rsid w:val="00A372DD"/>
    <w:rsid w:val="00A37AB9"/>
    <w:rsid w:val="00A40447"/>
    <w:rsid w:val="00A40C43"/>
    <w:rsid w:val="00A41184"/>
    <w:rsid w:val="00A415BC"/>
    <w:rsid w:val="00A41A27"/>
    <w:rsid w:val="00A41C94"/>
    <w:rsid w:val="00A41F63"/>
    <w:rsid w:val="00A42A1D"/>
    <w:rsid w:val="00A42BED"/>
    <w:rsid w:val="00A42D94"/>
    <w:rsid w:val="00A4308F"/>
    <w:rsid w:val="00A436FF"/>
    <w:rsid w:val="00A43C34"/>
    <w:rsid w:val="00A442A4"/>
    <w:rsid w:val="00A442BF"/>
    <w:rsid w:val="00A443A4"/>
    <w:rsid w:val="00A4441B"/>
    <w:rsid w:val="00A44604"/>
    <w:rsid w:val="00A44D05"/>
    <w:rsid w:val="00A456DB"/>
    <w:rsid w:val="00A46428"/>
    <w:rsid w:val="00A4739C"/>
    <w:rsid w:val="00A47487"/>
    <w:rsid w:val="00A47D29"/>
    <w:rsid w:val="00A47DB8"/>
    <w:rsid w:val="00A502F0"/>
    <w:rsid w:val="00A5074B"/>
    <w:rsid w:val="00A50D8D"/>
    <w:rsid w:val="00A512D6"/>
    <w:rsid w:val="00A5165C"/>
    <w:rsid w:val="00A51A30"/>
    <w:rsid w:val="00A52234"/>
    <w:rsid w:val="00A52289"/>
    <w:rsid w:val="00A5233B"/>
    <w:rsid w:val="00A5274A"/>
    <w:rsid w:val="00A52B73"/>
    <w:rsid w:val="00A52EE2"/>
    <w:rsid w:val="00A53489"/>
    <w:rsid w:val="00A542EB"/>
    <w:rsid w:val="00A54A26"/>
    <w:rsid w:val="00A551BE"/>
    <w:rsid w:val="00A55E8D"/>
    <w:rsid w:val="00A55FEC"/>
    <w:rsid w:val="00A569A2"/>
    <w:rsid w:val="00A56D3D"/>
    <w:rsid w:val="00A57385"/>
    <w:rsid w:val="00A5792A"/>
    <w:rsid w:val="00A6054E"/>
    <w:rsid w:val="00A607C1"/>
    <w:rsid w:val="00A612AF"/>
    <w:rsid w:val="00A61C08"/>
    <w:rsid w:val="00A61CD8"/>
    <w:rsid w:val="00A621DA"/>
    <w:rsid w:val="00A62372"/>
    <w:rsid w:val="00A62526"/>
    <w:rsid w:val="00A62A05"/>
    <w:rsid w:val="00A62AE9"/>
    <w:rsid w:val="00A6301E"/>
    <w:rsid w:val="00A636D3"/>
    <w:rsid w:val="00A63793"/>
    <w:rsid w:val="00A63ABA"/>
    <w:rsid w:val="00A63CCC"/>
    <w:rsid w:val="00A64624"/>
    <w:rsid w:val="00A64D91"/>
    <w:rsid w:val="00A65A9C"/>
    <w:rsid w:val="00A65AE5"/>
    <w:rsid w:val="00A65ED8"/>
    <w:rsid w:val="00A66C48"/>
    <w:rsid w:val="00A66EED"/>
    <w:rsid w:val="00A66F4E"/>
    <w:rsid w:val="00A67041"/>
    <w:rsid w:val="00A67933"/>
    <w:rsid w:val="00A67998"/>
    <w:rsid w:val="00A6799A"/>
    <w:rsid w:val="00A70E90"/>
    <w:rsid w:val="00A71582"/>
    <w:rsid w:val="00A71FE2"/>
    <w:rsid w:val="00A7218B"/>
    <w:rsid w:val="00A72680"/>
    <w:rsid w:val="00A72832"/>
    <w:rsid w:val="00A72E26"/>
    <w:rsid w:val="00A73022"/>
    <w:rsid w:val="00A7366F"/>
    <w:rsid w:val="00A74D17"/>
    <w:rsid w:val="00A75149"/>
    <w:rsid w:val="00A75FC2"/>
    <w:rsid w:val="00A76C6A"/>
    <w:rsid w:val="00A77172"/>
    <w:rsid w:val="00A77519"/>
    <w:rsid w:val="00A777DD"/>
    <w:rsid w:val="00A8000F"/>
    <w:rsid w:val="00A809E6"/>
    <w:rsid w:val="00A80AEF"/>
    <w:rsid w:val="00A82C6D"/>
    <w:rsid w:val="00A82D12"/>
    <w:rsid w:val="00A8304D"/>
    <w:rsid w:val="00A830C4"/>
    <w:rsid w:val="00A83555"/>
    <w:rsid w:val="00A84211"/>
    <w:rsid w:val="00A84334"/>
    <w:rsid w:val="00A84861"/>
    <w:rsid w:val="00A84A1E"/>
    <w:rsid w:val="00A84CFE"/>
    <w:rsid w:val="00A84E53"/>
    <w:rsid w:val="00A851A9"/>
    <w:rsid w:val="00A8578E"/>
    <w:rsid w:val="00A859CF"/>
    <w:rsid w:val="00A86339"/>
    <w:rsid w:val="00A865F6"/>
    <w:rsid w:val="00A87AEA"/>
    <w:rsid w:val="00A90D42"/>
    <w:rsid w:val="00A911E2"/>
    <w:rsid w:val="00A9181A"/>
    <w:rsid w:val="00A92531"/>
    <w:rsid w:val="00A929FB"/>
    <w:rsid w:val="00A92C0F"/>
    <w:rsid w:val="00A936E8"/>
    <w:rsid w:val="00A93C12"/>
    <w:rsid w:val="00A94A28"/>
    <w:rsid w:val="00A95368"/>
    <w:rsid w:val="00A9555C"/>
    <w:rsid w:val="00A95D66"/>
    <w:rsid w:val="00A96633"/>
    <w:rsid w:val="00A9685D"/>
    <w:rsid w:val="00A96F33"/>
    <w:rsid w:val="00A96F8A"/>
    <w:rsid w:val="00A97595"/>
    <w:rsid w:val="00A975F3"/>
    <w:rsid w:val="00A97652"/>
    <w:rsid w:val="00A97F05"/>
    <w:rsid w:val="00AA006A"/>
    <w:rsid w:val="00AA0929"/>
    <w:rsid w:val="00AA0A0B"/>
    <w:rsid w:val="00AA199D"/>
    <w:rsid w:val="00AA1AFB"/>
    <w:rsid w:val="00AA1D8D"/>
    <w:rsid w:val="00AA1E69"/>
    <w:rsid w:val="00AA24AE"/>
    <w:rsid w:val="00AA3180"/>
    <w:rsid w:val="00AA3428"/>
    <w:rsid w:val="00AA3B85"/>
    <w:rsid w:val="00AA3D60"/>
    <w:rsid w:val="00AA466C"/>
    <w:rsid w:val="00AA47A6"/>
    <w:rsid w:val="00AA4FD3"/>
    <w:rsid w:val="00AA4FDB"/>
    <w:rsid w:val="00AA514D"/>
    <w:rsid w:val="00AA5342"/>
    <w:rsid w:val="00AA587A"/>
    <w:rsid w:val="00AA58B6"/>
    <w:rsid w:val="00AA5D47"/>
    <w:rsid w:val="00AA6A5A"/>
    <w:rsid w:val="00AA6ED2"/>
    <w:rsid w:val="00AA703F"/>
    <w:rsid w:val="00AA74EC"/>
    <w:rsid w:val="00AA7619"/>
    <w:rsid w:val="00AA7B8C"/>
    <w:rsid w:val="00AA7DFA"/>
    <w:rsid w:val="00AB0067"/>
    <w:rsid w:val="00AB00BD"/>
    <w:rsid w:val="00AB08A8"/>
    <w:rsid w:val="00AB0ED4"/>
    <w:rsid w:val="00AB0F4E"/>
    <w:rsid w:val="00AB0FF8"/>
    <w:rsid w:val="00AB1122"/>
    <w:rsid w:val="00AB1389"/>
    <w:rsid w:val="00AB2471"/>
    <w:rsid w:val="00AB2563"/>
    <w:rsid w:val="00AB2758"/>
    <w:rsid w:val="00AB28EA"/>
    <w:rsid w:val="00AB316D"/>
    <w:rsid w:val="00AB3390"/>
    <w:rsid w:val="00AB38F7"/>
    <w:rsid w:val="00AB3B37"/>
    <w:rsid w:val="00AB4D4C"/>
    <w:rsid w:val="00AB55A2"/>
    <w:rsid w:val="00AB56AF"/>
    <w:rsid w:val="00AB5990"/>
    <w:rsid w:val="00AB5BB1"/>
    <w:rsid w:val="00AB5C3F"/>
    <w:rsid w:val="00AB6C75"/>
    <w:rsid w:val="00AB6F22"/>
    <w:rsid w:val="00AB7469"/>
    <w:rsid w:val="00AB7A38"/>
    <w:rsid w:val="00AB7A5C"/>
    <w:rsid w:val="00AB7DC8"/>
    <w:rsid w:val="00AC0DF0"/>
    <w:rsid w:val="00AC0FB3"/>
    <w:rsid w:val="00AC237E"/>
    <w:rsid w:val="00AC2625"/>
    <w:rsid w:val="00AC28A3"/>
    <w:rsid w:val="00AC29E7"/>
    <w:rsid w:val="00AC310F"/>
    <w:rsid w:val="00AC3468"/>
    <w:rsid w:val="00AC3882"/>
    <w:rsid w:val="00AC4485"/>
    <w:rsid w:val="00AC4816"/>
    <w:rsid w:val="00AC50F7"/>
    <w:rsid w:val="00AC5134"/>
    <w:rsid w:val="00AC516D"/>
    <w:rsid w:val="00AC5C8B"/>
    <w:rsid w:val="00AC5C91"/>
    <w:rsid w:val="00AC6B6D"/>
    <w:rsid w:val="00AC73D4"/>
    <w:rsid w:val="00AC7685"/>
    <w:rsid w:val="00AC7BFF"/>
    <w:rsid w:val="00AC7D30"/>
    <w:rsid w:val="00AD0070"/>
    <w:rsid w:val="00AD03BB"/>
    <w:rsid w:val="00AD05EA"/>
    <w:rsid w:val="00AD0D75"/>
    <w:rsid w:val="00AD0ED7"/>
    <w:rsid w:val="00AD1077"/>
    <w:rsid w:val="00AD16ED"/>
    <w:rsid w:val="00AD17EE"/>
    <w:rsid w:val="00AD2C31"/>
    <w:rsid w:val="00AD2CA5"/>
    <w:rsid w:val="00AD4D26"/>
    <w:rsid w:val="00AD5347"/>
    <w:rsid w:val="00AD54BE"/>
    <w:rsid w:val="00AD6271"/>
    <w:rsid w:val="00AD6748"/>
    <w:rsid w:val="00AD6D18"/>
    <w:rsid w:val="00AD7374"/>
    <w:rsid w:val="00AD7433"/>
    <w:rsid w:val="00AD7EBF"/>
    <w:rsid w:val="00AD7FA6"/>
    <w:rsid w:val="00AE04F0"/>
    <w:rsid w:val="00AE051D"/>
    <w:rsid w:val="00AE0F85"/>
    <w:rsid w:val="00AE13B5"/>
    <w:rsid w:val="00AE141C"/>
    <w:rsid w:val="00AE166C"/>
    <w:rsid w:val="00AE19DA"/>
    <w:rsid w:val="00AE2B0E"/>
    <w:rsid w:val="00AE3C7E"/>
    <w:rsid w:val="00AE4240"/>
    <w:rsid w:val="00AE43B9"/>
    <w:rsid w:val="00AE602B"/>
    <w:rsid w:val="00AE6101"/>
    <w:rsid w:val="00AE617D"/>
    <w:rsid w:val="00AE630A"/>
    <w:rsid w:val="00AE6439"/>
    <w:rsid w:val="00AE6A93"/>
    <w:rsid w:val="00AE6B47"/>
    <w:rsid w:val="00AE6FFC"/>
    <w:rsid w:val="00AE77F1"/>
    <w:rsid w:val="00AE7C51"/>
    <w:rsid w:val="00AE7E2E"/>
    <w:rsid w:val="00AF0EA0"/>
    <w:rsid w:val="00AF11BF"/>
    <w:rsid w:val="00AF14BA"/>
    <w:rsid w:val="00AF1D23"/>
    <w:rsid w:val="00AF1F63"/>
    <w:rsid w:val="00AF2436"/>
    <w:rsid w:val="00AF2699"/>
    <w:rsid w:val="00AF2C60"/>
    <w:rsid w:val="00AF30BC"/>
    <w:rsid w:val="00AF33DE"/>
    <w:rsid w:val="00AF347D"/>
    <w:rsid w:val="00AF38FD"/>
    <w:rsid w:val="00AF3FB9"/>
    <w:rsid w:val="00AF4A0C"/>
    <w:rsid w:val="00AF4D4E"/>
    <w:rsid w:val="00AF539B"/>
    <w:rsid w:val="00AF549B"/>
    <w:rsid w:val="00AF54C4"/>
    <w:rsid w:val="00AF61A4"/>
    <w:rsid w:val="00AF6918"/>
    <w:rsid w:val="00AF6C00"/>
    <w:rsid w:val="00AF6FF0"/>
    <w:rsid w:val="00AF759F"/>
    <w:rsid w:val="00AF766D"/>
    <w:rsid w:val="00AF7861"/>
    <w:rsid w:val="00AF7981"/>
    <w:rsid w:val="00B00CBF"/>
    <w:rsid w:val="00B00F06"/>
    <w:rsid w:val="00B00F67"/>
    <w:rsid w:val="00B010C0"/>
    <w:rsid w:val="00B0157F"/>
    <w:rsid w:val="00B0166B"/>
    <w:rsid w:val="00B01D12"/>
    <w:rsid w:val="00B023FD"/>
    <w:rsid w:val="00B02776"/>
    <w:rsid w:val="00B03ED7"/>
    <w:rsid w:val="00B044B7"/>
    <w:rsid w:val="00B0480C"/>
    <w:rsid w:val="00B050FA"/>
    <w:rsid w:val="00B0540F"/>
    <w:rsid w:val="00B0570C"/>
    <w:rsid w:val="00B05AC8"/>
    <w:rsid w:val="00B05B16"/>
    <w:rsid w:val="00B0641E"/>
    <w:rsid w:val="00B06B8E"/>
    <w:rsid w:val="00B06C76"/>
    <w:rsid w:val="00B1164F"/>
    <w:rsid w:val="00B11CB8"/>
    <w:rsid w:val="00B129A5"/>
    <w:rsid w:val="00B12F03"/>
    <w:rsid w:val="00B13511"/>
    <w:rsid w:val="00B137EC"/>
    <w:rsid w:val="00B1393B"/>
    <w:rsid w:val="00B13B31"/>
    <w:rsid w:val="00B13CA5"/>
    <w:rsid w:val="00B13FD0"/>
    <w:rsid w:val="00B141C4"/>
    <w:rsid w:val="00B168C4"/>
    <w:rsid w:val="00B17112"/>
    <w:rsid w:val="00B179BE"/>
    <w:rsid w:val="00B204AE"/>
    <w:rsid w:val="00B216BB"/>
    <w:rsid w:val="00B21703"/>
    <w:rsid w:val="00B21BFF"/>
    <w:rsid w:val="00B21C42"/>
    <w:rsid w:val="00B21FC3"/>
    <w:rsid w:val="00B22AEE"/>
    <w:rsid w:val="00B22C3E"/>
    <w:rsid w:val="00B231BF"/>
    <w:rsid w:val="00B24AEA"/>
    <w:rsid w:val="00B24C2C"/>
    <w:rsid w:val="00B25114"/>
    <w:rsid w:val="00B257DA"/>
    <w:rsid w:val="00B25835"/>
    <w:rsid w:val="00B25A8A"/>
    <w:rsid w:val="00B25BFB"/>
    <w:rsid w:val="00B266B2"/>
    <w:rsid w:val="00B268A8"/>
    <w:rsid w:val="00B26C15"/>
    <w:rsid w:val="00B27060"/>
    <w:rsid w:val="00B27DE1"/>
    <w:rsid w:val="00B3172D"/>
    <w:rsid w:val="00B317FB"/>
    <w:rsid w:val="00B31EA8"/>
    <w:rsid w:val="00B31EFE"/>
    <w:rsid w:val="00B32774"/>
    <w:rsid w:val="00B32BF9"/>
    <w:rsid w:val="00B3311C"/>
    <w:rsid w:val="00B332E6"/>
    <w:rsid w:val="00B3362B"/>
    <w:rsid w:val="00B33A11"/>
    <w:rsid w:val="00B33BE9"/>
    <w:rsid w:val="00B34470"/>
    <w:rsid w:val="00B34774"/>
    <w:rsid w:val="00B34B40"/>
    <w:rsid w:val="00B35599"/>
    <w:rsid w:val="00B35C1A"/>
    <w:rsid w:val="00B35E16"/>
    <w:rsid w:val="00B35F3F"/>
    <w:rsid w:val="00B35F7C"/>
    <w:rsid w:val="00B368F9"/>
    <w:rsid w:val="00B36D7A"/>
    <w:rsid w:val="00B37188"/>
    <w:rsid w:val="00B372BB"/>
    <w:rsid w:val="00B37468"/>
    <w:rsid w:val="00B37A71"/>
    <w:rsid w:val="00B40019"/>
    <w:rsid w:val="00B4061E"/>
    <w:rsid w:val="00B407F2"/>
    <w:rsid w:val="00B4087E"/>
    <w:rsid w:val="00B40AA4"/>
    <w:rsid w:val="00B40B62"/>
    <w:rsid w:val="00B41112"/>
    <w:rsid w:val="00B411C8"/>
    <w:rsid w:val="00B421C6"/>
    <w:rsid w:val="00B42295"/>
    <w:rsid w:val="00B42410"/>
    <w:rsid w:val="00B42675"/>
    <w:rsid w:val="00B42A9C"/>
    <w:rsid w:val="00B42E03"/>
    <w:rsid w:val="00B430A3"/>
    <w:rsid w:val="00B430EC"/>
    <w:rsid w:val="00B43638"/>
    <w:rsid w:val="00B437C1"/>
    <w:rsid w:val="00B438B9"/>
    <w:rsid w:val="00B44659"/>
    <w:rsid w:val="00B450E1"/>
    <w:rsid w:val="00B45271"/>
    <w:rsid w:val="00B4557A"/>
    <w:rsid w:val="00B45B7B"/>
    <w:rsid w:val="00B45C78"/>
    <w:rsid w:val="00B45E9A"/>
    <w:rsid w:val="00B4622D"/>
    <w:rsid w:val="00B46270"/>
    <w:rsid w:val="00B46A26"/>
    <w:rsid w:val="00B46A31"/>
    <w:rsid w:val="00B47DB8"/>
    <w:rsid w:val="00B50159"/>
    <w:rsid w:val="00B51DD2"/>
    <w:rsid w:val="00B51E18"/>
    <w:rsid w:val="00B52FD9"/>
    <w:rsid w:val="00B530AD"/>
    <w:rsid w:val="00B530B6"/>
    <w:rsid w:val="00B54098"/>
    <w:rsid w:val="00B5438F"/>
    <w:rsid w:val="00B545E0"/>
    <w:rsid w:val="00B54D87"/>
    <w:rsid w:val="00B54E02"/>
    <w:rsid w:val="00B55038"/>
    <w:rsid w:val="00B55E21"/>
    <w:rsid w:val="00B56073"/>
    <w:rsid w:val="00B56591"/>
    <w:rsid w:val="00B57182"/>
    <w:rsid w:val="00B57251"/>
    <w:rsid w:val="00B57565"/>
    <w:rsid w:val="00B57931"/>
    <w:rsid w:val="00B60FC5"/>
    <w:rsid w:val="00B61238"/>
    <w:rsid w:val="00B61A4D"/>
    <w:rsid w:val="00B61C83"/>
    <w:rsid w:val="00B61F5E"/>
    <w:rsid w:val="00B62122"/>
    <w:rsid w:val="00B627EE"/>
    <w:rsid w:val="00B6361A"/>
    <w:rsid w:val="00B64077"/>
    <w:rsid w:val="00B6417B"/>
    <w:rsid w:val="00B6442F"/>
    <w:rsid w:val="00B64D15"/>
    <w:rsid w:val="00B651CD"/>
    <w:rsid w:val="00B65450"/>
    <w:rsid w:val="00B65617"/>
    <w:rsid w:val="00B6582C"/>
    <w:rsid w:val="00B65841"/>
    <w:rsid w:val="00B65878"/>
    <w:rsid w:val="00B65E61"/>
    <w:rsid w:val="00B664C0"/>
    <w:rsid w:val="00B66978"/>
    <w:rsid w:val="00B66BBB"/>
    <w:rsid w:val="00B67101"/>
    <w:rsid w:val="00B67BE0"/>
    <w:rsid w:val="00B67C9F"/>
    <w:rsid w:val="00B67CD3"/>
    <w:rsid w:val="00B706DC"/>
    <w:rsid w:val="00B70E60"/>
    <w:rsid w:val="00B710D7"/>
    <w:rsid w:val="00B71336"/>
    <w:rsid w:val="00B71403"/>
    <w:rsid w:val="00B71ADE"/>
    <w:rsid w:val="00B71FE4"/>
    <w:rsid w:val="00B7279C"/>
    <w:rsid w:val="00B7297E"/>
    <w:rsid w:val="00B73346"/>
    <w:rsid w:val="00B73556"/>
    <w:rsid w:val="00B73B17"/>
    <w:rsid w:val="00B73F24"/>
    <w:rsid w:val="00B744BC"/>
    <w:rsid w:val="00B748F9"/>
    <w:rsid w:val="00B74AAA"/>
    <w:rsid w:val="00B74F7D"/>
    <w:rsid w:val="00B75268"/>
    <w:rsid w:val="00B75798"/>
    <w:rsid w:val="00B759FE"/>
    <w:rsid w:val="00B7647D"/>
    <w:rsid w:val="00B768D2"/>
    <w:rsid w:val="00B76AF7"/>
    <w:rsid w:val="00B76B37"/>
    <w:rsid w:val="00B770CE"/>
    <w:rsid w:val="00B77AD0"/>
    <w:rsid w:val="00B77E7C"/>
    <w:rsid w:val="00B80085"/>
    <w:rsid w:val="00B80099"/>
    <w:rsid w:val="00B801AC"/>
    <w:rsid w:val="00B80380"/>
    <w:rsid w:val="00B8046F"/>
    <w:rsid w:val="00B81A3F"/>
    <w:rsid w:val="00B81DB8"/>
    <w:rsid w:val="00B825E9"/>
    <w:rsid w:val="00B82663"/>
    <w:rsid w:val="00B82D76"/>
    <w:rsid w:val="00B82E8A"/>
    <w:rsid w:val="00B82ED1"/>
    <w:rsid w:val="00B83018"/>
    <w:rsid w:val="00B83395"/>
    <w:rsid w:val="00B835A7"/>
    <w:rsid w:val="00B83876"/>
    <w:rsid w:val="00B83DE5"/>
    <w:rsid w:val="00B8428A"/>
    <w:rsid w:val="00B847F8"/>
    <w:rsid w:val="00B8490B"/>
    <w:rsid w:val="00B84CED"/>
    <w:rsid w:val="00B84DDA"/>
    <w:rsid w:val="00B850B3"/>
    <w:rsid w:val="00B85902"/>
    <w:rsid w:val="00B8593F"/>
    <w:rsid w:val="00B86660"/>
    <w:rsid w:val="00B8722C"/>
    <w:rsid w:val="00B8755E"/>
    <w:rsid w:val="00B87F06"/>
    <w:rsid w:val="00B90053"/>
    <w:rsid w:val="00B90ADF"/>
    <w:rsid w:val="00B9110A"/>
    <w:rsid w:val="00B921D6"/>
    <w:rsid w:val="00B9232F"/>
    <w:rsid w:val="00B92660"/>
    <w:rsid w:val="00B92BC9"/>
    <w:rsid w:val="00B930C9"/>
    <w:rsid w:val="00B931D2"/>
    <w:rsid w:val="00B9381E"/>
    <w:rsid w:val="00B938AF"/>
    <w:rsid w:val="00B93CE9"/>
    <w:rsid w:val="00B9438F"/>
    <w:rsid w:val="00B9456C"/>
    <w:rsid w:val="00B94726"/>
    <w:rsid w:val="00B94C8F"/>
    <w:rsid w:val="00B95369"/>
    <w:rsid w:val="00B95E5A"/>
    <w:rsid w:val="00B97EB2"/>
    <w:rsid w:val="00BA0118"/>
    <w:rsid w:val="00BA15C6"/>
    <w:rsid w:val="00BA184E"/>
    <w:rsid w:val="00BA1C5A"/>
    <w:rsid w:val="00BA1F9C"/>
    <w:rsid w:val="00BA3B55"/>
    <w:rsid w:val="00BA3DA3"/>
    <w:rsid w:val="00BA41B9"/>
    <w:rsid w:val="00BA441D"/>
    <w:rsid w:val="00BA4FAC"/>
    <w:rsid w:val="00BA50D2"/>
    <w:rsid w:val="00BA54A0"/>
    <w:rsid w:val="00BA55C8"/>
    <w:rsid w:val="00BA5D80"/>
    <w:rsid w:val="00BA5E93"/>
    <w:rsid w:val="00BA5F97"/>
    <w:rsid w:val="00BA6129"/>
    <w:rsid w:val="00BA6165"/>
    <w:rsid w:val="00BA625C"/>
    <w:rsid w:val="00BA650D"/>
    <w:rsid w:val="00BA685A"/>
    <w:rsid w:val="00BA6ABD"/>
    <w:rsid w:val="00BA6ACE"/>
    <w:rsid w:val="00BA6DE8"/>
    <w:rsid w:val="00BA74B1"/>
    <w:rsid w:val="00BA7890"/>
    <w:rsid w:val="00BA7990"/>
    <w:rsid w:val="00BB0633"/>
    <w:rsid w:val="00BB0821"/>
    <w:rsid w:val="00BB0E14"/>
    <w:rsid w:val="00BB0EEC"/>
    <w:rsid w:val="00BB14F9"/>
    <w:rsid w:val="00BB1829"/>
    <w:rsid w:val="00BB28BD"/>
    <w:rsid w:val="00BB2990"/>
    <w:rsid w:val="00BB29C8"/>
    <w:rsid w:val="00BB3839"/>
    <w:rsid w:val="00BB3A35"/>
    <w:rsid w:val="00BB3B4F"/>
    <w:rsid w:val="00BB3F48"/>
    <w:rsid w:val="00BB42EB"/>
    <w:rsid w:val="00BB43BF"/>
    <w:rsid w:val="00BB49AB"/>
    <w:rsid w:val="00BB5097"/>
    <w:rsid w:val="00BB51EE"/>
    <w:rsid w:val="00BB52CD"/>
    <w:rsid w:val="00BB56CC"/>
    <w:rsid w:val="00BB674D"/>
    <w:rsid w:val="00BB6926"/>
    <w:rsid w:val="00BB713F"/>
    <w:rsid w:val="00BB7CE3"/>
    <w:rsid w:val="00BC0718"/>
    <w:rsid w:val="00BC0AC6"/>
    <w:rsid w:val="00BC167B"/>
    <w:rsid w:val="00BC1B34"/>
    <w:rsid w:val="00BC1FBD"/>
    <w:rsid w:val="00BC208E"/>
    <w:rsid w:val="00BC257D"/>
    <w:rsid w:val="00BC296D"/>
    <w:rsid w:val="00BC3373"/>
    <w:rsid w:val="00BC3FE5"/>
    <w:rsid w:val="00BC4421"/>
    <w:rsid w:val="00BC489E"/>
    <w:rsid w:val="00BC5FBF"/>
    <w:rsid w:val="00BC6693"/>
    <w:rsid w:val="00BC69E2"/>
    <w:rsid w:val="00BC6A34"/>
    <w:rsid w:val="00BC743E"/>
    <w:rsid w:val="00BC7BBF"/>
    <w:rsid w:val="00BC7CB9"/>
    <w:rsid w:val="00BC7DCA"/>
    <w:rsid w:val="00BD0255"/>
    <w:rsid w:val="00BD0871"/>
    <w:rsid w:val="00BD0D05"/>
    <w:rsid w:val="00BD10B4"/>
    <w:rsid w:val="00BD1C60"/>
    <w:rsid w:val="00BD21A3"/>
    <w:rsid w:val="00BD27A1"/>
    <w:rsid w:val="00BD3AF7"/>
    <w:rsid w:val="00BD4500"/>
    <w:rsid w:val="00BD472F"/>
    <w:rsid w:val="00BD495B"/>
    <w:rsid w:val="00BD4DF2"/>
    <w:rsid w:val="00BD54B3"/>
    <w:rsid w:val="00BD561F"/>
    <w:rsid w:val="00BD586F"/>
    <w:rsid w:val="00BD5AFE"/>
    <w:rsid w:val="00BD657F"/>
    <w:rsid w:val="00BD6A2D"/>
    <w:rsid w:val="00BD6F55"/>
    <w:rsid w:val="00BD76BA"/>
    <w:rsid w:val="00BD78B8"/>
    <w:rsid w:val="00BE01BB"/>
    <w:rsid w:val="00BE0476"/>
    <w:rsid w:val="00BE05B8"/>
    <w:rsid w:val="00BE0D8D"/>
    <w:rsid w:val="00BE1C23"/>
    <w:rsid w:val="00BE1CEF"/>
    <w:rsid w:val="00BE2BCA"/>
    <w:rsid w:val="00BE2E26"/>
    <w:rsid w:val="00BE47CC"/>
    <w:rsid w:val="00BE48B4"/>
    <w:rsid w:val="00BE533C"/>
    <w:rsid w:val="00BE6006"/>
    <w:rsid w:val="00BE609C"/>
    <w:rsid w:val="00BE6A30"/>
    <w:rsid w:val="00BE72C6"/>
    <w:rsid w:val="00BE75EC"/>
    <w:rsid w:val="00BE793C"/>
    <w:rsid w:val="00BE7F57"/>
    <w:rsid w:val="00BE7F89"/>
    <w:rsid w:val="00BF019A"/>
    <w:rsid w:val="00BF0577"/>
    <w:rsid w:val="00BF066B"/>
    <w:rsid w:val="00BF06FD"/>
    <w:rsid w:val="00BF1205"/>
    <w:rsid w:val="00BF1A5D"/>
    <w:rsid w:val="00BF1F67"/>
    <w:rsid w:val="00BF26D7"/>
    <w:rsid w:val="00BF299A"/>
    <w:rsid w:val="00BF31BA"/>
    <w:rsid w:val="00BF3D6F"/>
    <w:rsid w:val="00BF4667"/>
    <w:rsid w:val="00BF4BBB"/>
    <w:rsid w:val="00BF54F7"/>
    <w:rsid w:val="00BF5934"/>
    <w:rsid w:val="00BF59A9"/>
    <w:rsid w:val="00BF59AB"/>
    <w:rsid w:val="00BF5D50"/>
    <w:rsid w:val="00BF62CF"/>
    <w:rsid w:val="00BF64F4"/>
    <w:rsid w:val="00BF6F2C"/>
    <w:rsid w:val="00BF6F7F"/>
    <w:rsid w:val="00BF71DB"/>
    <w:rsid w:val="00BF7696"/>
    <w:rsid w:val="00BF7F4D"/>
    <w:rsid w:val="00C008E5"/>
    <w:rsid w:val="00C00B9B"/>
    <w:rsid w:val="00C00C54"/>
    <w:rsid w:val="00C016BC"/>
    <w:rsid w:val="00C0223F"/>
    <w:rsid w:val="00C029D6"/>
    <w:rsid w:val="00C02A64"/>
    <w:rsid w:val="00C03710"/>
    <w:rsid w:val="00C041D2"/>
    <w:rsid w:val="00C04337"/>
    <w:rsid w:val="00C0594B"/>
    <w:rsid w:val="00C05B0B"/>
    <w:rsid w:val="00C05B4D"/>
    <w:rsid w:val="00C07554"/>
    <w:rsid w:val="00C0788F"/>
    <w:rsid w:val="00C07A5B"/>
    <w:rsid w:val="00C07D8B"/>
    <w:rsid w:val="00C1001F"/>
    <w:rsid w:val="00C10704"/>
    <w:rsid w:val="00C10B02"/>
    <w:rsid w:val="00C117D0"/>
    <w:rsid w:val="00C11FAA"/>
    <w:rsid w:val="00C1211D"/>
    <w:rsid w:val="00C12134"/>
    <w:rsid w:val="00C123A0"/>
    <w:rsid w:val="00C125CB"/>
    <w:rsid w:val="00C12989"/>
    <w:rsid w:val="00C1321D"/>
    <w:rsid w:val="00C13473"/>
    <w:rsid w:val="00C13488"/>
    <w:rsid w:val="00C1351E"/>
    <w:rsid w:val="00C13C89"/>
    <w:rsid w:val="00C142B9"/>
    <w:rsid w:val="00C14552"/>
    <w:rsid w:val="00C15E77"/>
    <w:rsid w:val="00C161C7"/>
    <w:rsid w:val="00C16DCC"/>
    <w:rsid w:val="00C1725D"/>
    <w:rsid w:val="00C17980"/>
    <w:rsid w:val="00C203CE"/>
    <w:rsid w:val="00C2065D"/>
    <w:rsid w:val="00C20792"/>
    <w:rsid w:val="00C20AD6"/>
    <w:rsid w:val="00C20B57"/>
    <w:rsid w:val="00C2106D"/>
    <w:rsid w:val="00C21201"/>
    <w:rsid w:val="00C21234"/>
    <w:rsid w:val="00C215B6"/>
    <w:rsid w:val="00C21C3D"/>
    <w:rsid w:val="00C21EA9"/>
    <w:rsid w:val="00C21EF7"/>
    <w:rsid w:val="00C2265C"/>
    <w:rsid w:val="00C22CC5"/>
    <w:rsid w:val="00C23D4D"/>
    <w:rsid w:val="00C243FE"/>
    <w:rsid w:val="00C2441B"/>
    <w:rsid w:val="00C246AD"/>
    <w:rsid w:val="00C2473B"/>
    <w:rsid w:val="00C25333"/>
    <w:rsid w:val="00C25405"/>
    <w:rsid w:val="00C25AD6"/>
    <w:rsid w:val="00C25CD3"/>
    <w:rsid w:val="00C25F81"/>
    <w:rsid w:val="00C26705"/>
    <w:rsid w:val="00C269C5"/>
    <w:rsid w:val="00C27110"/>
    <w:rsid w:val="00C275A8"/>
    <w:rsid w:val="00C27876"/>
    <w:rsid w:val="00C30626"/>
    <w:rsid w:val="00C309F1"/>
    <w:rsid w:val="00C3157D"/>
    <w:rsid w:val="00C317B5"/>
    <w:rsid w:val="00C319C6"/>
    <w:rsid w:val="00C31C53"/>
    <w:rsid w:val="00C321C7"/>
    <w:rsid w:val="00C32B79"/>
    <w:rsid w:val="00C33153"/>
    <w:rsid w:val="00C335B7"/>
    <w:rsid w:val="00C33633"/>
    <w:rsid w:val="00C3380A"/>
    <w:rsid w:val="00C33C2F"/>
    <w:rsid w:val="00C33D9F"/>
    <w:rsid w:val="00C342D3"/>
    <w:rsid w:val="00C34AB5"/>
    <w:rsid w:val="00C34E15"/>
    <w:rsid w:val="00C34E8D"/>
    <w:rsid w:val="00C353BD"/>
    <w:rsid w:val="00C35748"/>
    <w:rsid w:val="00C35E15"/>
    <w:rsid w:val="00C36EB4"/>
    <w:rsid w:val="00C37110"/>
    <w:rsid w:val="00C371B8"/>
    <w:rsid w:val="00C3759C"/>
    <w:rsid w:val="00C3778E"/>
    <w:rsid w:val="00C37B02"/>
    <w:rsid w:val="00C40FD9"/>
    <w:rsid w:val="00C419BC"/>
    <w:rsid w:val="00C42792"/>
    <w:rsid w:val="00C42D92"/>
    <w:rsid w:val="00C435FA"/>
    <w:rsid w:val="00C43B4E"/>
    <w:rsid w:val="00C43CA6"/>
    <w:rsid w:val="00C43DCB"/>
    <w:rsid w:val="00C44AC6"/>
    <w:rsid w:val="00C44B68"/>
    <w:rsid w:val="00C452EC"/>
    <w:rsid w:val="00C46107"/>
    <w:rsid w:val="00C46413"/>
    <w:rsid w:val="00C4651D"/>
    <w:rsid w:val="00C469DE"/>
    <w:rsid w:val="00C47520"/>
    <w:rsid w:val="00C47B66"/>
    <w:rsid w:val="00C508C5"/>
    <w:rsid w:val="00C5095A"/>
    <w:rsid w:val="00C51301"/>
    <w:rsid w:val="00C515E9"/>
    <w:rsid w:val="00C520A4"/>
    <w:rsid w:val="00C52543"/>
    <w:rsid w:val="00C525A9"/>
    <w:rsid w:val="00C52ABC"/>
    <w:rsid w:val="00C52B7B"/>
    <w:rsid w:val="00C5329B"/>
    <w:rsid w:val="00C5338F"/>
    <w:rsid w:val="00C53D4D"/>
    <w:rsid w:val="00C53D90"/>
    <w:rsid w:val="00C5516C"/>
    <w:rsid w:val="00C557A4"/>
    <w:rsid w:val="00C55D09"/>
    <w:rsid w:val="00C565B8"/>
    <w:rsid w:val="00C577B4"/>
    <w:rsid w:val="00C57D03"/>
    <w:rsid w:val="00C6004A"/>
    <w:rsid w:val="00C602FE"/>
    <w:rsid w:val="00C60823"/>
    <w:rsid w:val="00C6088C"/>
    <w:rsid w:val="00C6110F"/>
    <w:rsid w:val="00C611BF"/>
    <w:rsid w:val="00C62D4A"/>
    <w:rsid w:val="00C643F3"/>
    <w:rsid w:val="00C64448"/>
    <w:rsid w:val="00C65111"/>
    <w:rsid w:val="00C6555B"/>
    <w:rsid w:val="00C6576A"/>
    <w:rsid w:val="00C65A0A"/>
    <w:rsid w:val="00C65B40"/>
    <w:rsid w:val="00C65BD0"/>
    <w:rsid w:val="00C65C48"/>
    <w:rsid w:val="00C65D83"/>
    <w:rsid w:val="00C66284"/>
    <w:rsid w:val="00C662E5"/>
    <w:rsid w:val="00C664B7"/>
    <w:rsid w:val="00C66773"/>
    <w:rsid w:val="00C67693"/>
    <w:rsid w:val="00C703E6"/>
    <w:rsid w:val="00C7103F"/>
    <w:rsid w:val="00C71C34"/>
    <w:rsid w:val="00C71DA9"/>
    <w:rsid w:val="00C71FBD"/>
    <w:rsid w:val="00C72033"/>
    <w:rsid w:val="00C72876"/>
    <w:rsid w:val="00C729D9"/>
    <w:rsid w:val="00C72BEF"/>
    <w:rsid w:val="00C7317E"/>
    <w:rsid w:val="00C739A3"/>
    <w:rsid w:val="00C73C52"/>
    <w:rsid w:val="00C73D70"/>
    <w:rsid w:val="00C73EE0"/>
    <w:rsid w:val="00C744D2"/>
    <w:rsid w:val="00C749E2"/>
    <w:rsid w:val="00C753D2"/>
    <w:rsid w:val="00C75A28"/>
    <w:rsid w:val="00C75F8C"/>
    <w:rsid w:val="00C765AD"/>
    <w:rsid w:val="00C768A1"/>
    <w:rsid w:val="00C77367"/>
    <w:rsid w:val="00C77508"/>
    <w:rsid w:val="00C80177"/>
    <w:rsid w:val="00C80E0A"/>
    <w:rsid w:val="00C812D4"/>
    <w:rsid w:val="00C814F7"/>
    <w:rsid w:val="00C81836"/>
    <w:rsid w:val="00C8236A"/>
    <w:rsid w:val="00C824DA"/>
    <w:rsid w:val="00C82D9C"/>
    <w:rsid w:val="00C83A60"/>
    <w:rsid w:val="00C84208"/>
    <w:rsid w:val="00C85A6D"/>
    <w:rsid w:val="00C85F65"/>
    <w:rsid w:val="00C861AF"/>
    <w:rsid w:val="00C8623B"/>
    <w:rsid w:val="00C86A08"/>
    <w:rsid w:val="00C86CD0"/>
    <w:rsid w:val="00C86DB9"/>
    <w:rsid w:val="00C87000"/>
    <w:rsid w:val="00C87620"/>
    <w:rsid w:val="00C90565"/>
    <w:rsid w:val="00C90E00"/>
    <w:rsid w:val="00C90F91"/>
    <w:rsid w:val="00C91957"/>
    <w:rsid w:val="00C91DDA"/>
    <w:rsid w:val="00C92B30"/>
    <w:rsid w:val="00C92B99"/>
    <w:rsid w:val="00C92F20"/>
    <w:rsid w:val="00C9327F"/>
    <w:rsid w:val="00C93F6A"/>
    <w:rsid w:val="00C940DF"/>
    <w:rsid w:val="00C94127"/>
    <w:rsid w:val="00C94A78"/>
    <w:rsid w:val="00C951C6"/>
    <w:rsid w:val="00C95498"/>
    <w:rsid w:val="00C96162"/>
    <w:rsid w:val="00C96963"/>
    <w:rsid w:val="00C96CB3"/>
    <w:rsid w:val="00C96D6A"/>
    <w:rsid w:val="00C97295"/>
    <w:rsid w:val="00C97C1F"/>
    <w:rsid w:val="00CA082C"/>
    <w:rsid w:val="00CA0E3F"/>
    <w:rsid w:val="00CA0FE4"/>
    <w:rsid w:val="00CA133F"/>
    <w:rsid w:val="00CA141F"/>
    <w:rsid w:val="00CA1698"/>
    <w:rsid w:val="00CA1832"/>
    <w:rsid w:val="00CA1DA9"/>
    <w:rsid w:val="00CA2042"/>
    <w:rsid w:val="00CA2A13"/>
    <w:rsid w:val="00CA3356"/>
    <w:rsid w:val="00CA3A5E"/>
    <w:rsid w:val="00CA413C"/>
    <w:rsid w:val="00CA5938"/>
    <w:rsid w:val="00CA59C6"/>
    <w:rsid w:val="00CA5C2B"/>
    <w:rsid w:val="00CA61EF"/>
    <w:rsid w:val="00CA6343"/>
    <w:rsid w:val="00CA63B3"/>
    <w:rsid w:val="00CA66C8"/>
    <w:rsid w:val="00CA7FA6"/>
    <w:rsid w:val="00CB05F6"/>
    <w:rsid w:val="00CB069F"/>
    <w:rsid w:val="00CB0D73"/>
    <w:rsid w:val="00CB1A77"/>
    <w:rsid w:val="00CB1B7E"/>
    <w:rsid w:val="00CB2A65"/>
    <w:rsid w:val="00CB350A"/>
    <w:rsid w:val="00CB3F46"/>
    <w:rsid w:val="00CB3FC1"/>
    <w:rsid w:val="00CB4683"/>
    <w:rsid w:val="00CB5502"/>
    <w:rsid w:val="00CB57C7"/>
    <w:rsid w:val="00CB5990"/>
    <w:rsid w:val="00CB6533"/>
    <w:rsid w:val="00CB6836"/>
    <w:rsid w:val="00CB6990"/>
    <w:rsid w:val="00CB69FA"/>
    <w:rsid w:val="00CB7980"/>
    <w:rsid w:val="00CC021A"/>
    <w:rsid w:val="00CC0F64"/>
    <w:rsid w:val="00CC186A"/>
    <w:rsid w:val="00CC18F3"/>
    <w:rsid w:val="00CC223D"/>
    <w:rsid w:val="00CC2917"/>
    <w:rsid w:val="00CC2EE7"/>
    <w:rsid w:val="00CC310E"/>
    <w:rsid w:val="00CC35D0"/>
    <w:rsid w:val="00CC380D"/>
    <w:rsid w:val="00CC3D73"/>
    <w:rsid w:val="00CC4010"/>
    <w:rsid w:val="00CC4845"/>
    <w:rsid w:val="00CC4D1A"/>
    <w:rsid w:val="00CC60E6"/>
    <w:rsid w:val="00CC6389"/>
    <w:rsid w:val="00CC6C83"/>
    <w:rsid w:val="00CC72F4"/>
    <w:rsid w:val="00CC7445"/>
    <w:rsid w:val="00CC748C"/>
    <w:rsid w:val="00CC7975"/>
    <w:rsid w:val="00CC7C2A"/>
    <w:rsid w:val="00CC7D48"/>
    <w:rsid w:val="00CC7ED6"/>
    <w:rsid w:val="00CD01E0"/>
    <w:rsid w:val="00CD01E2"/>
    <w:rsid w:val="00CD059A"/>
    <w:rsid w:val="00CD078D"/>
    <w:rsid w:val="00CD0A21"/>
    <w:rsid w:val="00CD0B36"/>
    <w:rsid w:val="00CD116F"/>
    <w:rsid w:val="00CD2031"/>
    <w:rsid w:val="00CD231C"/>
    <w:rsid w:val="00CD2616"/>
    <w:rsid w:val="00CD26BB"/>
    <w:rsid w:val="00CD2CEF"/>
    <w:rsid w:val="00CD2E47"/>
    <w:rsid w:val="00CD36FF"/>
    <w:rsid w:val="00CD37D5"/>
    <w:rsid w:val="00CD3A7B"/>
    <w:rsid w:val="00CD3C01"/>
    <w:rsid w:val="00CD3FE6"/>
    <w:rsid w:val="00CD465F"/>
    <w:rsid w:val="00CD4E8D"/>
    <w:rsid w:val="00CD521F"/>
    <w:rsid w:val="00CD5657"/>
    <w:rsid w:val="00CD5732"/>
    <w:rsid w:val="00CD584E"/>
    <w:rsid w:val="00CD5947"/>
    <w:rsid w:val="00CD59DB"/>
    <w:rsid w:val="00CD5E77"/>
    <w:rsid w:val="00CD6630"/>
    <w:rsid w:val="00CD6744"/>
    <w:rsid w:val="00CD6A04"/>
    <w:rsid w:val="00CD6A1F"/>
    <w:rsid w:val="00CD6F32"/>
    <w:rsid w:val="00CD78C4"/>
    <w:rsid w:val="00CD79CB"/>
    <w:rsid w:val="00CD7C7B"/>
    <w:rsid w:val="00CE0682"/>
    <w:rsid w:val="00CE09F1"/>
    <w:rsid w:val="00CE106F"/>
    <w:rsid w:val="00CE119A"/>
    <w:rsid w:val="00CE1443"/>
    <w:rsid w:val="00CE149C"/>
    <w:rsid w:val="00CE14A7"/>
    <w:rsid w:val="00CE1710"/>
    <w:rsid w:val="00CE22F2"/>
    <w:rsid w:val="00CE2965"/>
    <w:rsid w:val="00CE2B88"/>
    <w:rsid w:val="00CE2CFB"/>
    <w:rsid w:val="00CE2DEB"/>
    <w:rsid w:val="00CE2E20"/>
    <w:rsid w:val="00CE30E8"/>
    <w:rsid w:val="00CE32E0"/>
    <w:rsid w:val="00CE450F"/>
    <w:rsid w:val="00CE4D79"/>
    <w:rsid w:val="00CE4E69"/>
    <w:rsid w:val="00CE5F99"/>
    <w:rsid w:val="00CE6261"/>
    <w:rsid w:val="00CE6727"/>
    <w:rsid w:val="00CE6ADE"/>
    <w:rsid w:val="00CE7099"/>
    <w:rsid w:val="00CE744C"/>
    <w:rsid w:val="00CE7482"/>
    <w:rsid w:val="00CE7483"/>
    <w:rsid w:val="00CE7F17"/>
    <w:rsid w:val="00CE7F96"/>
    <w:rsid w:val="00CF01FD"/>
    <w:rsid w:val="00CF1B95"/>
    <w:rsid w:val="00CF2420"/>
    <w:rsid w:val="00CF24AC"/>
    <w:rsid w:val="00CF277D"/>
    <w:rsid w:val="00CF29B2"/>
    <w:rsid w:val="00CF34FE"/>
    <w:rsid w:val="00CF3B95"/>
    <w:rsid w:val="00CF4845"/>
    <w:rsid w:val="00CF486D"/>
    <w:rsid w:val="00CF48ED"/>
    <w:rsid w:val="00CF4EB0"/>
    <w:rsid w:val="00CF551F"/>
    <w:rsid w:val="00CF5780"/>
    <w:rsid w:val="00CF57B7"/>
    <w:rsid w:val="00CF5DA7"/>
    <w:rsid w:val="00CF6233"/>
    <w:rsid w:val="00CF647A"/>
    <w:rsid w:val="00CF6C5C"/>
    <w:rsid w:val="00CF6CEE"/>
    <w:rsid w:val="00CF6E9D"/>
    <w:rsid w:val="00CF6EC7"/>
    <w:rsid w:val="00CF7122"/>
    <w:rsid w:val="00CF7217"/>
    <w:rsid w:val="00D001DD"/>
    <w:rsid w:val="00D001EB"/>
    <w:rsid w:val="00D00389"/>
    <w:rsid w:val="00D0068A"/>
    <w:rsid w:val="00D008F1"/>
    <w:rsid w:val="00D00A42"/>
    <w:rsid w:val="00D00B6C"/>
    <w:rsid w:val="00D011B6"/>
    <w:rsid w:val="00D0127F"/>
    <w:rsid w:val="00D014FB"/>
    <w:rsid w:val="00D01681"/>
    <w:rsid w:val="00D0182D"/>
    <w:rsid w:val="00D018EA"/>
    <w:rsid w:val="00D01CFF"/>
    <w:rsid w:val="00D0260D"/>
    <w:rsid w:val="00D029F0"/>
    <w:rsid w:val="00D02D04"/>
    <w:rsid w:val="00D03353"/>
    <w:rsid w:val="00D03C52"/>
    <w:rsid w:val="00D04C3D"/>
    <w:rsid w:val="00D04CA9"/>
    <w:rsid w:val="00D04E11"/>
    <w:rsid w:val="00D0546C"/>
    <w:rsid w:val="00D05E2B"/>
    <w:rsid w:val="00D05FD0"/>
    <w:rsid w:val="00D06579"/>
    <w:rsid w:val="00D06797"/>
    <w:rsid w:val="00D06A6A"/>
    <w:rsid w:val="00D06F32"/>
    <w:rsid w:val="00D07234"/>
    <w:rsid w:val="00D07AEB"/>
    <w:rsid w:val="00D07ED5"/>
    <w:rsid w:val="00D1019D"/>
    <w:rsid w:val="00D10433"/>
    <w:rsid w:val="00D105AB"/>
    <w:rsid w:val="00D1060B"/>
    <w:rsid w:val="00D10A1F"/>
    <w:rsid w:val="00D10EB3"/>
    <w:rsid w:val="00D11235"/>
    <w:rsid w:val="00D112E3"/>
    <w:rsid w:val="00D11650"/>
    <w:rsid w:val="00D11F55"/>
    <w:rsid w:val="00D13254"/>
    <w:rsid w:val="00D132C4"/>
    <w:rsid w:val="00D14110"/>
    <w:rsid w:val="00D1526A"/>
    <w:rsid w:val="00D153AB"/>
    <w:rsid w:val="00D15A5B"/>
    <w:rsid w:val="00D16177"/>
    <w:rsid w:val="00D16351"/>
    <w:rsid w:val="00D1661B"/>
    <w:rsid w:val="00D1701C"/>
    <w:rsid w:val="00D17062"/>
    <w:rsid w:val="00D17F09"/>
    <w:rsid w:val="00D2015E"/>
    <w:rsid w:val="00D202BA"/>
    <w:rsid w:val="00D21498"/>
    <w:rsid w:val="00D21777"/>
    <w:rsid w:val="00D22031"/>
    <w:rsid w:val="00D222E8"/>
    <w:rsid w:val="00D22DE8"/>
    <w:rsid w:val="00D23261"/>
    <w:rsid w:val="00D23A79"/>
    <w:rsid w:val="00D2421B"/>
    <w:rsid w:val="00D24E9D"/>
    <w:rsid w:val="00D25819"/>
    <w:rsid w:val="00D26202"/>
    <w:rsid w:val="00D2659F"/>
    <w:rsid w:val="00D26EA3"/>
    <w:rsid w:val="00D2704D"/>
    <w:rsid w:val="00D270B9"/>
    <w:rsid w:val="00D276DB"/>
    <w:rsid w:val="00D30C01"/>
    <w:rsid w:val="00D3152A"/>
    <w:rsid w:val="00D31607"/>
    <w:rsid w:val="00D32130"/>
    <w:rsid w:val="00D32315"/>
    <w:rsid w:val="00D3324C"/>
    <w:rsid w:val="00D33577"/>
    <w:rsid w:val="00D33B85"/>
    <w:rsid w:val="00D3403F"/>
    <w:rsid w:val="00D3484E"/>
    <w:rsid w:val="00D34A98"/>
    <w:rsid w:val="00D35073"/>
    <w:rsid w:val="00D351C5"/>
    <w:rsid w:val="00D35BBB"/>
    <w:rsid w:val="00D36F99"/>
    <w:rsid w:val="00D3702F"/>
    <w:rsid w:val="00D3746E"/>
    <w:rsid w:val="00D37CB1"/>
    <w:rsid w:val="00D37F76"/>
    <w:rsid w:val="00D400AD"/>
    <w:rsid w:val="00D40A7E"/>
    <w:rsid w:val="00D4107D"/>
    <w:rsid w:val="00D41358"/>
    <w:rsid w:val="00D41CBA"/>
    <w:rsid w:val="00D41CF7"/>
    <w:rsid w:val="00D4277C"/>
    <w:rsid w:val="00D4316B"/>
    <w:rsid w:val="00D43753"/>
    <w:rsid w:val="00D4423C"/>
    <w:rsid w:val="00D4435A"/>
    <w:rsid w:val="00D4458E"/>
    <w:rsid w:val="00D4468A"/>
    <w:rsid w:val="00D44814"/>
    <w:rsid w:val="00D44B74"/>
    <w:rsid w:val="00D45530"/>
    <w:rsid w:val="00D458E1"/>
    <w:rsid w:val="00D45C85"/>
    <w:rsid w:val="00D45D12"/>
    <w:rsid w:val="00D462E1"/>
    <w:rsid w:val="00D463A0"/>
    <w:rsid w:val="00D4739B"/>
    <w:rsid w:val="00D47418"/>
    <w:rsid w:val="00D474F2"/>
    <w:rsid w:val="00D47718"/>
    <w:rsid w:val="00D479D5"/>
    <w:rsid w:val="00D47E43"/>
    <w:rsid w:val="00D47E60"/>
    <w:rsid w:val="00D50994"/>
    <w:rsid w:val="00D50A86"/>
    <w:rsid w:val="00D51C59"/>
    <w:rsid w:val="00D52CC4"/>
    <w:rsid w:val="00D53054"/>
    <w:rsid w:val="00D5382E"/>
    <w:rsid w:val="00D53F13"/>
    <w:rsid w:val="00D5405D"/>
    <w:rsid w:val="00D54704"/>
    <w:rsid w:val="00D55226"/>
    <w:rsid w:val="00D552A1"/>
    <w:rsid w:val="00D5556F"/>
    <w:rsid w:val="00D557E7"/>
    <w:rsid w:val="00D55981"/>
    <w:rsid w:val="00D55E87"/>
    <w:rsid w:val="00D55F0B"/>
    <w:rsid w:val="00D56577"/>
    <w:rsid w:val="00D5661D"/>
    <w:rsid w:val="00D56CB6"/>
    <w:rsid w:val="00D57074"/>
    <w:rsid w:val="00D57591"/>
    <w:rsid w:val="00D57FD7"/>
    <w:rsid w:val="00D6035C"/>
    <w:rsid w:val="00D6038C"/>
    <w:rsid w:val="00D605EC"/>
    <w:rsid w:val="00D60ABF"/>
    <w:rsid w:val="00D60B9C"/>
    <w:rsid w:val="00D60DAB"/>
    <w:rsid w:val="00D61658"/>
    <w:rsid w:val="00D61754"/>
    <w:rsid w:val="00D61D14"/>
    <w:rsid w:val="00D61E24"/>
    <w:rsid w:val="00D6352D"/>
    <w:rsid w:val="00D63F8B"/>
    <w:rsid w:val="00D642AA"/>
    <w:rsid w:val="00D6430A"/>
    <w:rsid w:val="00D652F3"/>
    <w:rsid w:val="00D6546D"/>
    <w:rsid w:val="00D65CCE"/>
    <w:rsid w:val="00D66267"/>
    <w:rsid w:val="00D6655B"/>
    <w:rsid w:val="00D66F23"/>
    <w:rsid w:val="00D67028"/>
    <w:rsid w:val="00D6737D"/>
    <w:rsid w:val="00D6769E"/>
    <w:rsid w:val="00D676D1"/>
    <w:rsid w:val="00D67AA4"/>
    <w:rsid w:val="00D67B92"/>
    <w:rsid w:val="00D67C8C"/>
    <w:rsid w:val="00D71335"/>
    <w:rsid w:val="00D7159F"/>
    <w:rsid w:val="00D71B80"/>
    <w:rsid w:val="00D72223"/>
    <w:rsid w:val="00D726BD"/>
    <w:rsid w:val="00D727F2"/>
    <w:rsid w:val="00D73F85"/>
    <w:rsid w:val="00D74014"/>
    <w:rsid w:val="00D75C9A"/>
    <w:rsid w:val="00D767AF"/>
    <w:rsid w:val="00D768EB"/>
    <w:rsid w:val="00D76BD8"/>
    <w:rsid w:val="00D76E62"/>
    <w:rsid w:val="00D76F1E"/>
    <w:rsid w:val="00D777BE"/>
    <w:rsid w:val="00D77B0F"/>
    <w:rsid w:val="00D77B23"/>
    <w:rsid w:val="00D77B78"/>
    <w:rsid w:val="00D800DA"/>
    <w:rsid w:val="00D806DA"/>
    <w:rsid w:val="00D807D1"/>
    <w:rsid w:val="00D812FD"/>
    <w:rsid w:val="00D81BD2"/>
    <w:rsid w:val="00D82244"/>
    <w:rsid w:val="00D84236"/>
    <w:rsid w:val="00D84A85"/>
    <w:rsid w:val="00D84C2C"/>
    <w:rsid w:val="00D84FC2"/>
    <w:rsid w:val="00D85FE8"/>
    <w:rsid w:val="00D86037"/>
    <w:rsid w:val="00D86409"/>
    <w:rsid w:val="00D86AAD"/>
    <w:rsid w:val="00D86E83"/>
    <w:rsid w:val="00D87965"/>
    <w:rsid w:val="00D87AF0"/>
    <w:rsid w:val="00D902B6"/>
    <w:rsid w:val="00D90AD9"/>
    <w:rsid w:val="00D92120"/>
    <w:rsid w:val="00D923C8"/>
    <w:rsid w:val="00D930C8"/>
    <w:rsid w:val="00D9366B"/>
    <w:rsid w:val="00D93BC6"/>
    <w:rsid w:val="00D9402E"/>
    <w:rsid w:val="00D94211"/>
    <w:rsid w:val="00D94598"/>
    <w:rsid w:val="00D95BB4"/>
    <w:rsid w:val="00D961E5"/>
    <w:rsid w:val="00D968DF"/>
    <w:rsid w:val="00D96DA3"/>
    <w:rsid w:val="00D9731C"/>
    <w:rsid w:val="00D97E68"/>
    <w:rsid w:val="00DA0339"/>
    <w:rsid w:val="00DA0510"/>
    <w:rsid w:val="00DA0638"/>
    <w:rsid w:val="00DA0DF6"/>
    <w:rsid w:val="00DA119C"/>
    <w:rsid w:val="00DA161F"/>
    <w:rsid w:val="00DA2706"/>
    <w:rsid w:val="00DA28CA"/>
    <w:rsid w:val="00DA28F4"/>
    <w:rsid w:val="00DA2B75"/>
    <w:rsid w:val="00DA3B61"/>
    <w:rsid w:val="00DA428C"/>
    <w:rsid w:val="00DA46A5"/>
    <w:rsid w:val="00DA46CD"/>
    <w:rsid w:val="00DA482D"/>
    <w:rsid w:val="00DA49DD"/>
    <w:rsid w:val="00DA4F2F"/>
    <w:rsid w:val="00DA5777"/>
    <w:rsid w:val="00DA5C23"/>
    <w:rsid w:val="00DA6739"/>
    <w:rsid w:val="00DA731C"/>
    <w:rsid w:val="00DB05E6"/>
    <w:rsid w:val="00DB1F7F"/>
    <w:rsid w:val="00DB2238"/>
    <w:rsid w:val="00DB250A"/>
    <w:rsid w:val="00DB2B74"/>
    <w:rsid w:val="00DB2C18"/>
    <w:rsid w:val="00DB3CD7"/>
    <w:rsid w:val="00DB3DE4"/>
    <w:rsid w:val="00DB3EF0"/>
    <w:rsid w:val="00DB3F7C"/>
    <w:rsid w:val="00DB4967"/>
    <w:rsid w:val="00DB4972"/>
    <w:rsid w:val="00DB50FD"/>
    <w:rsid w:val="00DB54C7"/>
    <w:rsid w:val="00DB6079"/>
    <w:rsid w:val="00DB6D05"/>
    <w:rsid w:val="00DB6E52"/>
    <w:rsid w:val="00DB705E"/>
    <w:rsid w:val="00DB765B"/>
    <w:rsid w:val="00DC021A"/>
    <w:rsid w:val="00DC0DCB"/>
    <w:rsid w:val="00DC10D1"/>
    <w:rsid w:val="00DC11F2"/>
    <w:rsid w:val="00DC1EF6"/>
    <w:rsid w:val="00DC247E"/>
    <w:rsid w:val="00DC295A"/>
    <w:rsid w:val="00DC3704"/>
    <w:rsid w:val="00DC3996"/>
    <w:rsid w:val="00DC3C04"/>
    <w:rsid w:val="00DC3FC8"/>
    <w:rsid w:val="00DC4905"/>
    <w:rsid w:val="00DC4D09"/>
    <w:rsid w:val="00DC4E80"/>
    <w:rsid w:val="00DC5464"/>
    <w:rsid w:val="00DC5833"/>
    <w:rsid w:val="00DC6ACB"/>
    <w:rsid w:val="00DC6C58"/>
    <w:rsid w:val="00DC74E6"/>
    <w:rsid w:val="00DC74F1"/>
    <w:rsid w:val="00DC7A8B"/>
    <w:rsid w:val="00DD038F"/>
    <w:rsid w:val="00DD03AF"/>
    <w:rsid w:val="00DD03F5"/>
    <w:rsid w:val="00DD0842"/>
    <w:rsid w:val="00DD0AF8"/>
    <w:rsid w:val="00DD17EF"/>
    <w:rsid w:val="00DD1C92"/>
    <w:rsid w:val="00DD2021"/>
    <w:rsid w:val="00DD2806"/>
    <w:rsid w:val="00DD372B"/>
    <w:rsid w:val="00DD4280"/>
    <w:rsid w:val="00DD472C"/>
    <w:rsid w:val="00DD4882"/>
    <w:rsid w:val="00DD4A3D"/>
    <w:rsid w:val="00DD4BD3"/>
    <w:rsid w:val="00DD53C9"/>
    <w:rsid w:val="00DD5C46"/>
    <w:rsid w:val="00DD6822"/>
    <w:rsid w:val="00DD6B0B"/>
    <w:rsid w:val="00DD6E46"/>
    <w:rsid w:val="00DD6F41"/>
    <w:rsid w:val="00DD7423"/>
    <w:rsid w:val="00DD78DD"/>
    <w:rsid w:val="00DD7ABF"/>
    <w:rsid w:val="00DE1376"/>
    <w:rsid w:val="00DE188A"/>
    <w:rsid w:val="00DE18A7"/>
    <w:rsid w:val="00DE19C1"/>
    <w:rsid w:val="00DE1EA4"/>
    <w:rsid w:val="00DE26AF"/>
    <w:rsid w:val="00DE2A6A"/>
    <w:rsid w:val="00DE2B1B"/>
    <w:rsid w:val="00DE3048"/>
    <w:rsid w:val="00DE38D2"/>
    <w:rsid w:val="00DE4178"/>
    <w:rsid w:val="00DE4A37"/>
    <w:rsid w:val="00DE5243"/>
    <w:rsid w:val="00DE5399"/>
    <w:rsid w:val="00DE5683"/>
    <w:rsid w:val="00DE596A"/>
    <w:rsid w:val="00DE6611"/>
    <w:rsid w:val="00DE6C46"/>
    <w:rsid w:val="00DF0922"/>
    <w:rsid w:val="00DF0F84"/>
    <w:rsid w:val="00DF18E2"/>
    <w:rsid w:val="00DF2911"/>
    <w:rsid w:val="00DF2B4B"/>
    <w:rsid w:val="00DF33F9"/>
    <w:rsid w:val="00DF34B0"/>
    <w:rsid w:val="00DF36F0"/>
    <w:rsid w:val="00DF39EC"/>
    <w:rsid w:val="00DF5606"/>
    <w:rsid w:val="00DF569C"/>
    <w:rsid w:val="00DF5E92"/>
    <w:rsid w:val="00DF5FC6"/>
    <w:rsid w:val="00DF5FDC"/>
    <w:rsid w:val="00DF612F"/>
    <w:rsid w:val="00DF6BA3"/>
    <w:rsid w:val="00DF6EE7"/>
    <w:rsid w:val="00DF6FB8"/>
    <w:rsid w:val="00DF7CAF"/>
    <w:rsid w:val="00DF7D48"/>
    <w:rsid w:val="00E00CBB"/>
    <w:rsid w:val="00E00FAC"/>
    <w:rsid w:val="00E026F2"/>
    <w:rsid w:val="00E028E4"/>
    <w:rsid w:val="00E02F82"/>
    <w:rsid w:val="00E030CB"/>
    <w:rsid w:val="00E032E1"/>
    <w:rsid w:val="00E0337A"/>
    <w:rsid w:val="00E03825"/>
    <w:rsid w:val="00E0399E"/>
    <w:rsid w:val="00E03A2D"/>
    <w:rsid w:val="00E03AD3"/>
    <w:rsid w:val="00E03F76"/>
    <w:rsid w:val="00E04D9F"/>
    <w:rsid w:val="00E0506C"/>
    <w:rsid w:val="00E05412"/>
    <w:rsid w:val="00E05A8F"/>
    <w:rsid w:val="00E061D5"/>
    <w:rsid w:val="00E06BF1"/>
    <w:rsid w:val="00E072DC"/>
    <w:rsid w:val="00E10916"/>
    <w:rsid w:val="00E10C77"/>
    <w:rsid w:val="00E10D02"/>
    <w:rsid w:val="00E1102B"/>
    <w:rsid w:val="00E11A58"/>
    <w:rsid w:val="00E12654"/>
    <w:rsid w:val="00E13C3C"/>
    <w:rsid w:val="00E14918"/>
    <w:rsid w:val="00E15585"/>
    <w:rsid w:val="00E15A2E"/>
    <w:rsid w:val="00E15B25"/>
    <w:rsid w:val="00E16397"/>
    <w:rsid w:val="00E16899"/>
    <w:rsid w:val="00E16B04"/>
    <w:rsid w:val="00E17F11"/>
    <w:rsid w:val="00E17F6C"/>
    <w:rsid w:val="00E20838"/>
    <w:rsid w:val="00E2094D"/>
    <w:rsid w:val="00E20A52"/>
    <w:rsid w:val="00E20E41"/>
    <w:rsid w:val="00E21C26"/>
    <w:rsid w:val="00E22015"/>
    <w:rsid w:val="00E222D6"/>
    <w:rsid w:val="00E2241D"/>
    <w:rsid w:val="00E22FB0"/>
    <w:rsid w:val="00E23388"/>
    <w:rsid w:val="00E23F3F"/>
    <w:rsid w:val="00E240E5"/>
    <w:rsid w:val="00E24210"/>
    <w:rsid w:val="00E2553F"/>
    <w:rsid w:val="00E2626D"/>
    <w:rsid w:val="00E26A76"/>
    <w:rsid w:val="00E26EC2"/>
    <w:rsid w:val="00E277B7"/>
    <w:rsid w:val="00E27A26"/>
    <w:rsid w:val="00E27CE0"/>
    <w:rsid w:val="00E27DCD"/>
    <w:rsid w:val="00E30C70"/>
    <w:rsid w:val="00E30EDB"/>
    <w:rsid w:val="00E31A09"/>
    <w:rsid w:val="00E31F3A"/>
    <w:rsid w:val="00E32912"/>
    <w:rsid w:val="00E32E2E"/>
    <w:rsid w:val="00E33A4A"/>
    <w:rsid w:val="00E345A3"/>
    <w:rsid w:val="00E345ED"/>
    <w:rsid w:val="00E34622"/>
    <w:rsid w:val="00E35173"/>
    <w:rsid w:val="00E35B50"/>
    <w:rsid w:val="00E3622C"/>
    <w:rsid w:val="00E364E2"/>
    <w:rsid w:val="00E3683F"/>
    <w:rsid w:val="00E3685D"/>
    <w:rsid w:val="00E377A2"/>
    <w:rsid w:val="00E40599"/>
    <w:rsid w:val="00E40AB1"/>
    <w:rsid w:val="00E40F80"/>
    <w:rsid w:val="00E41A8E"/>
    <w:rsid w:val="00E41D54"/>
    <w:rsid w:val="00E4244F"/>
    <w:rsid w:val="00E42489"/>
    <w:rsid w:val="00E426D2"/>
    <w:rsid w:val="00E42A37"/>
    <w:rsid w:val="00E42A3C"/>
    <w:rsid w:val="00E42B2D"/>
    <w:rsid w:val="00E43040"/>
    <w:rsid w:val="00E4307B"/>
    <w:rsid w:val="00E439A0"/>
    <w:rsid w:val="00E43C1E"/>
    <w:rsid w:val="00E43FD9"/>
    <w:rsid w:val="00E44158"/>
    <w:rsid w:val="00E447B2"/>
    <w:rsid w:val="00E44BB0"/>
    <w:rsid w:val="00E44F09"/>
    <w:rsid w:val="00E44F41"/>
    <w:rsid w:val="00E45211"/>
    <w:rsid w:val="00E45EF9"/>
    <w:rsid w:val="00E46B48"/>
    <w:rsid w:val="00E472AC"/>
    <w:rsid w:val="00E4765F"/>
    <w:rsid w:val="00E476D9"/>
    <w:rsid w:val="00E479C4"/>
    <w:rsid w:val="00E5149E"/>
    <w:rsid w:val="00E529D2"/>
    <w:rsid w:val="00E52BEE"/>
    <w:rsid w:val="00E5429B"/>
    <w:rsid w:val="00E54BAC"/>
    <w:rsid w:val="00E5516D"/>
    <w:rsid w:val="00E5527D"/>
    <w:rsid w:val="00E552E9"/>
    <w:rsid w:val="00E574B9"/>
    <w:rsid w:val="00E57F15"/>
    <w:rsid w:val="00E57F2F"/>
    <w:rsid w:val="00E57F76"/>
    <w:rsid w:val="00E57FA4"/>
    <w:rsid w:val="00E60AFB"/>
    <w:rsid w:val="00E61814"/>
    <w:rsid w:val="00E61FE8"/>
    <w:rsid w:val="00E622C8"/>
    <w:rsid w:val="00E622F4"/>
    <w:rsid w:val="00E62AB2"/>
    <w:rsid w:val="00E62B8B"/>
    <w:rsid w:val="00E62E7E"/>
    <w:rsid w:val="00E63BD1"/>
    <w:rsid w:val="00E63C18"/>
    <w:rsid w:val="00E64612"/>
    <w:rsid w:val="00E64C51"/>
    <w:rsid w:val="00E64D80"/>
    <w:rsid w:val="00E66177"/>
    <w:rsid w:val="00E66799"/>
    <w:rsid w:val="00E66BDF"/>
    <w:rsid w:val="00E66FAD"/>
    <w:rsid w:val="00E67054"/>
    <w:rsid w:val="00E7181D"/>
    <w:rsid w:val="00E71F4F"/>
    <w:rsid w:val="00E720E1"/>
    <w:rsid w:val="00E722D2"/>
    <w:rsid w:val="00E723B8"/>
    <w:rsid w:val="00E7240F"/>
    <w:rsid w:val="00E72C85"/>
    <w:rsid w:val="00E72EB8"/>
    <w:rsid w:val="00E73892"/>
    <w:rsid w:val="00E744DA"/>
    <w:rsid w:val="00E74C10"/>
    <w:rsid w:val="00E74E5C"/>
    <w:rsid w:val="00E75BEE"/>
    <w:rsid w:val="00E75E30"/>
    <w:rsid w:val="00E761A7"/>
    <w:rsid w:val="00E76A8B"/>
    <w:rsid w:val="00E76B2A"/>
    <w:rsid w:val="00E770FD"/>
    <w:rsid w:val="00E77219"/>
    <w:rsid w:val="00E774CF"/>
    <w:rsid w:val="00E775C8"/>
    <w:rsid w:val="00E80263"/>
    <w:rsid w:val="00E80B42"/>
    <w:rsid w:val="00E8116A"/>
    <w:rsid w:val="00E82566"/>
    <w:rsid w:val="00E82BD7"/>
    <w:rsid w:val="00E8308D"/>
    <w:rsid w:val="00E834C0"/>
    <w:rsid w:val="00E846B4"/>
    <w:rsid w:val="00E84A2C"/>
    <w:rsid w:val="00E84B8C"/>
    <w:rsid w:val="00E85304"/>
    <w:rsid w:val="00E85474"/>
    <w:rsid w:val="00E85BEF"/>
    <w:rsid w:val="00E86C91"/>
    <w:rsid w:val="00E86F67"/>
    <w:rsid w:val="00E877FA"/>
    <w:rsid w:val="00E90552"/>
    <w:rsid w:val="00E907C0"/>
    <w:rsid w:val="00E9124B"/>
    <w:rsid w:val="00E914C7"/>
    <w:rsid w:val="00E91D9C"/>
    <w:rsid w:val="00E92392"/>
    <w:rsid w:val="00E92A11"/>
    <w:rsid w:val="00E9325F"/>
    <w:rsid w:val="00E93A4A"/>
    <w:rsid w:val="00E93B6E"/>
    <w:rsid w:val="00E93BB3"/>
    <w:rsid w:val="00E93BD9"/>
    <w:rsid w:val="00E94195"/>
    <w:rsid w:val="00E94680"/>
    <w:rsid w:val="00E94E67"/>
    <w:rsid w:val="00E961B5"/>
    <w:rsid w:val="00E962E4"/>
    <w:rsid w:val="00E96D90"/>
    <w:rsid w:val="00E97BDE"/>
    <w:rsid w:val="00E97CDA"/>
    <w:rsid w:val="00E97E74"/>
    <w:rsid w:val="00EA1005"/>
    <w:rsid w:val="00EA19BA"/>
    <w:rsid w:val="00EA1ADD"/>
    <w:rsid w:val="00EA1FBC"/>
    <w:rsid w:val="00EA2D7B"/>
    <w:rsid w:val="00EA2EAB"/>
    <w:rsid w:val="00EA3AC7"/>
    <w:rsid w:val="00EA41DE"/>
    <w:rsid w:val="00EA45A4"/>
    <w:rsid w:val="00EA4B48"/>
    <w:rsid w:val="00EA4E3C"/>
    <w:rsid w:val="00EA4E66"/>
    <w:rsid w:val="00EA4EC8"/>
    <w:rsid w:val="00EA673B"/>
    <w:rsid w:val="00EA68D6"/>
    <w:rsid w:val="00EA6DBF"/>
    <w:rsid w:val="00EA6EC0"/>
    <w:rsid w:val="00EA6F0A"/>
    <w:rsid w:val="00EA7458"/>
    <w:rsid w:val="00EB025B"/>
    <w:rsid w:val="00EB02F9"/>
    <w:rsid w:val="00EB03DA"/>
    <w:rsid w:val="00EB053E"/>
    <w:rsid w:val="00EB1ED1"/>
    <w:rsid w:val="00EB25F7"/>
    <w:rsid w:val="00EB2D39"/>
    <w:rsid w:val="00EB3166"/>
    <w:rsid w:val="00EB36D0"/>
    <w:rsid w:val="00EB39D3"/>
    <w:rsid w:val="00EB3F94"/>
    <w:rsid w:val="00EB407A"/>
    <w:rsid w:val="00EB4245"/>
    <w:rsid w:val="00EB4265"/>
    <w:rsid w:val="00EB454B"/>
    <w:rsid w:val="00EB455E"/>
    <w:rsid w:val="00EB4EE9"/>
    <w:rsid w:val="00EB5404"/>
    <w:rsid w:val="00EB56A4"/>
    <w:rsid w:val="00EB57D2"/>
    <w:rsid w:val="00EB5944"/>
    <w:rsid w:val="00EB5E6B"/>
    <w:rsid w:val="00EB6A00"/>
    <w:rsid w:val="00EB716D"/>
    <w:rsid w:val="00EB7226"/>
    <w:rsid w:val="00EB78B1"/>
    <w:rsid w:val="00EB7929"/>
    <w:rsid w:val="00EB7C84"/>
    <w:rsid w:val="00EC0571"/>
    <w:rsid w:val="00EC0990"/>
    <w:rsid w:val="00EC0D61"/>
    <w:rsid w:val="00EC0D73"/>
    <w:rsid w:val="00EC17B5"/>
    <w:rsid w:val="00EC1813"/>
    <w:rsid w:val="00EC1D93"/>
    <w:rsid w:val="00EC1ECC"/>
    <w:rsid w:val="00EC2766"/>
    <w:rsid w:val="00EC2A67"/>
    <w:rsid w:val="00EC2D8B"/>
    <w:rsid w:val="00EC307C"/>
    <w:rsid w:val="00EC334E"/>
    <w:rsid w:val="00EC371A"/>
    <w:rsid w:val="00EC3804"/>
    <w:rsid w:val="00EC419D"/>
    <w:rsid w:val="00EC4C8F"/>
    <w:rsid w:val="00EC50F4"/>
    <w:rsid w:val="00EC5341"/>
    <w:rsid w:val="00EC566F"/>
    <w:rsid w:val="00EC56B6"/>
    <w:rsid w:val="00EC5A3F"/>
    <w:rsid w:val="00EC5FF4"/>
    <w:rsid w:val="00EC6211"/>
    <w:rsid w:val="00EC6CDD"/>
    <w:rsid w:val="00EC7036"/>
    <w:rsid w:val="00EC71A9"/>
    <w:rsid w:val="00EC739F"/>
    <w:rsid w:val="00EC7406"/>
    <w:rsid w:val="00ED0344"/>
    <w:rsid w:val="00ED0771"/>
    <w:rsid w:val="00ED0B70"/>
    <w:rsid w:val="00ED13ED"/>
    <w:rsid w:val="00ED1815"/>
    <w:rsid w:val="00ED1D6A"/>
    <w:rsid w:val="00ED2209"/>
    <w:rsid w:val="00ED2AA3"/>
    <w:rsid w:val="00ED2EAE"/>
    <w:rsid w:val="00ED4711"/>
    <w:rsid w:val="00ED4A72"/>
    <w:rsid w:val="00ED4DE8"/>
    <w:rsid w:val="00ED4EB9"/>
    <w:rsid w:val="00ED4FE4"/>
    <w:rsid w:val="00ED599A"/>
    <w:rsid w:val="00ED5FE0"/>
    <w:rsid w:val="00ED661C"/>
    <w:rsid w:val="00ED72AA"/>
    <w:rsid w:val="00ED7737"/>
    <w:rsid w:val="00EE0298"/>
    <w:rsid w:val="00EE041D"/>
    <w:rsid w:val="00EE05DB"/>
    <w:rsid w:val="00EE0DFD"/>
    <w:rsid w:val="00EE16F3"/>
    <w:rsid w:val="00EE17C7"/>
    <w:rsid w:val="00EE2775"/>
    <w:rsid w:val="00EE282E"/>
    <w:rsid w:val="00EE2A16"/>
    <w:rsid w:val="00EE4657"/>
    <w:rsid w:val="00EE4717"/>
    <w:rsid w:val="00EE47E1"/>
    <w:rsid w:val="00EE49B0"/>
    <w:rsid w:val="00EE4A05"/>
    <w:rsid w:val="00EE5438"/>
    <w:rsid w:val="00EE5521"/>
    <w:rsid w:val="00EE5574"/>
    <w:rsid w:val="00EE634D"/>
    <w:rsid w:val="00EE6A5F"/>
    <w:rsid w:val="00EE6DC8"/>
    <w:rsid w:val="00EE6E7C"/>
    <w:rsid w:val="00EE71A5"/>
    <w:rsid w:val="00EE720E"/>
    <w:rsid w:val="00EE7B47"/>
    <w:rsid w:val="00EF04B6"/>
    <w:rsid w:val="00EF06BD"/>
    <w:rsid w:val="00EF0969"/>
    <w:rsid w:val="00EF0EAF"/>
    <w:rsid w:val="00EF1236"/>
    <w:rsid w:val="00EF1495"/>
    <w:rsid w:val="00EF1726"/>
    <w:rsid w:val="00EF1873"/>
    <w:rsid w:val="00EF1BA2"/>
    <w:rsid w:val="00EF222E"/>
    <w:rsid w:val="00EF23A7"/>
    <w:rsid w:val="00EF2642"/>
    <w:rsid w:val="00EF31B5"/>
    <w:rsid w:val="00EF36D7"/>
    <w:rsid w:val="00EF39F8"/>
    <w:rsid w:val="00EF3AC2"/>
    <w:rsid w:val="00EF44CE"/>
    <w:rsid w:val="00EF4B2C"/>
    <w:rsid w:val="00EF5052"/>
    <w:rsid w:val="00EF538C"/>
    <w:rsid w:val="00EF5865"/>
    <w:rsid w:val="00EF5DED"/>
    <w:rsid w:val="00EF5FDB"/>
    <w:rsid w:val="00EF6072"/>
    <w:rsid w:val="00EF7281"/>
    <w:rsid w:val="00EF7538"/>
    <w:rsid w:val="00F00A19"/>
    <w:rsid w:val="00F00FAC"/>
    <w:rsid w:val="00F01272"/>
    <w:rsid w:val="00F021C2"/>
    <w:rsid w:val="00F023C0"/>
    <w:rsid w:val="00F02B86"/>
    <w:rsid w:val="00F02E2B"/>
    <w:rsid w:val="00F02F91"/>
    <w:rsid w:val="00F03000"/>
    <w:rsid w:val="00F0378F"/>
    <w:rsid w:val="00F03A64"/>
    <w:rsid w:val="00F03BFB"/>
    <w:rsid w:val="00F03C88"/>
    <w:rsid w:val="00F04224"/>
    <w:rsid w:val="00F04610"/>
    <w:rsid w:val="00F04670"/>
    <w:rsid w:val="00F04A35"/>
    <w:rsid w:val="00F05C54"/>
    <w:rsid w:val="00F06994"/>
    <w:rsid w:val="00F06D9D"/>
    <w:rsid w:val="00F06FE7"/>
    <w:rsid w:val="00F07317"/>
    <w:rsid w:val="00F0756B"/>
    <w:rsid w:val="00F101DC"/>
    <w:rsid w:val="00F10555"/>
    <w:rsid w:val="00F118CB"/>
    <w:rsid w:val="00F11A99"/>
    <w:rsid w:val="00F11DBC"/>
    <w:rsid w:val="00F11E6D"/>
    <w:rsid w:val="00F11F4C"/>
    <w:rsid w:val="00F1260D"/>
    <w:rsid w:val="00F13948"/>
    <w:rsid w:val="00F1410E"/>
    <w:rsid w:val="00F14145"/>
    <w:rsid w:val="00F145A0"/>
    <w:rsid w:val="00F1495D"/>
    <w:rsid w:val="00F14A8C"/>
    <w:rsid w:val="00F14B04"/>
    <w:rsid w:val="00F14E1B"/>
    <w:rsid w:val="00F152B3"/>
    <w:rsid w:val="00F163EC"/>
    <w:rsid w:val="00F16919"/>
    <w:rsid w:val="00F16999"/>
    <w:rsid w:val="00F16B05"/>
    <w:rsid w:val="00F16EB0"/>
    <w:rsid w:val="00F179A5"/>
    <w:rsid w:val="00F203E4"/>
    <w:rsid w:val="00F20615"/>
    <w:rsid w:val="00F21086"/>
    <w:rsid w:val="00F22187"/>
    <w:rsid w:val="00F2229C"/>
    <w:rsid w:val="00F222EE"/>
    <w:rsid w:val="00F22D66"/>
    <w:rsid w:val="00F24CF4"/>
    <w:rsid w:val="00F25168"/>
    <w:rsid w:val="00F25BC2"/>
    <w:rsid w:val="00F25E89"/>
    <w:rsid w:val="00F26C71"/>
    <w:rsid w:val="00F26EB1"/>
    <w:rsid w:val="00F271DB"/>
    <w:rsid w:val="00F27A15"/>
    <w:rsid w:val="00F3043F"/>
    <w:rsid w:val="00F30B36"/>
    <w:rsid w:val="00F30CC3"/>
    <w:rsid w:val="00F30E74"/>
    <w:rsid w:val="00F30F29"/>
    <w:rsid w:val="00F31992"/>
    <w:rsid w:val="00F31CC1"/>
    <w:rsid w:val="00F323FD"/>
    <w:rsid w:val="00F32A85"/>
    <w:rsid w:val="00F32CA9"/>
    <w:rsid w:val="00F3447A"/>
    <w:rsid w:val="00F34AD2"/>
    <w:rsid w:val="00F3577A"/>
    <w:rsid w:val="00F35FBA"/>
    <w:rsid w:val="00F36443"/>
    <w:rsid w:val="00F368FE"/>
    <w:rsid w:val="00F36E3A"/>
    <w:rsid w:val="00F36EFA"/>
    <w:rsid w:val="00F3795D"/>
    <w:rsid w:val="00F37EEC"/>
    <w:rsid w:val="00F40F06"/>
    <w:rsid w:val="00F411A5"/>
    <w:rsid w:val="00F415E9"/>
    <w:rsid w:val="00F4169D"/>
    <w:rsid w:val="00F4229A"/>
    <w:rsid w:val="00F42777"/>
    <w:rsid w:val="00F43FFC"/>
    <w:rsid w:val="00F4412C"/>
    <w:rsid w:val="00F4444E"/>
    <w:rsid w:val="00F444A5"/>
    <w:rsid w:val="00F455BC"/>
    <w:rsid w:val="00F455CB"/>
    <w:rsid w:val="00F45DE5"/>
    <w:rsid w:val="00F4603D"/>
    <w:rsid w:val="00F469B8"/>
    <w:rsid w:val="00F4795A"/>
    <w:rsid w:val="00F47EC4"/>
    <w:rsid w:val="00F5002F"/>
    <w:rsid w:val="00F502BF"/>
    <w:rsid w:val="00F502C0"/>
    <w:rsid w:val="00F50384"/>
    <w:rsid w:val="00F50688"/>
    <w:rsid w:val="00F5171B"/>
    <w:rsid w:val="00F529D8"/>
    <w:rsid w:val="00F52C30"/>
    <w:rsid w:val="00F52DD2"/>
    <w:rsid w:val="00F53196"/>
    <w:rsid w:val="00F53483"/>
    <w:rsid w:val="00F5427B"/>
    <w:rsid w:val="00F54392"/>
    <w:rsid w:val="00F54C4C"/>
    <w:rsid w:val="00F54EBF"/>
    <w:rsid w:val="00F55C59"/>
    <w:rsid w:val="00F55F8E"/>
    <w:rsid w:val="00F57174"/>
    <w:rsid w:val="00F575BD"/>
    <w:rsid w:val="00F57CDA"/>
    <w:rsid w:val="00F60059"/>
    <w:rsid w:val="00F6033C"/>
    <w:rsid w:val="00F607C6"/>
    <w:rsid w:val="00F60A59"/>
    <w:rsid w:val="00F61CE8"/>
    <w:rsid w:val="00F61E1A"/>
    <w:rsid w:val="00F621AD"/>
    <w:rsid w:val="00F62227"/>
    <w:rsid w:val="00F62713"/>
    <w:rsid w:val="00F631A6"/>
    <w:rsid w:val="00F63284"/>
    <w:rsid w:val="00F63984"/>
    <w:rsid w:val="00F63A9A"/>
    <w:rsid w:val="00F63C98"/>
    <w:rsid w:val="00F6408E"/>
    <w:rsid w:val="00F64518"/>
    <w:rsid w:val="00F65354"/>
    <w:rsid w:val="00F65FBA"/>
    <w:rsid w:val="00F66138"/>
    <w:rsid w:val="00F664CF"/>
    <w:rsid w:val="00F6690E"/>
    <w:rsid w:val="00F66A6D"/>
    <w:rsid w:val="00F66B14"/>
    <w:rsid w:val="00F66F6E"/>
    <w:rsid w:val="00F66FAA"/>
    <w:rsid w:val="00F67293"/>
    <w:rsid w:val="00F674DC"/>
    <w:rsid w:val="00F67737"/>
    <w:rsid w:val="00F67F9D"/>
    <w:rsid w:val="00F7016B"/>
    <w:rsid w:val="00F705AE"/>
    <w:rsid w:val="00F705D1"/>
    <w:rsid w:val="00F70C77"/>
    <w:rsid w:val="00F70D3D"/>
    <w:rsid w:val="00F711BD"/>
    <w:rsid w:val="00F71341"/>
    <w:rsid w:val="00F7135C"/>
    <w:rsid w:val="00F716DA"/>
    <w:rsid w:val="00F717F7"/>
    <w:rsid w:val="00F71956"/>
    <w:rsid w:val="00F726E3"/>
    <w:rsid w:val="00F72FDA"/>
    <w:rsid w:val="00F73D06"/>
    <w:rsid w:val="00F73E96"/>
    <w:rsid w:val="00F73F16"/>
    <w:rsid w:val="00F73F54"/>
    <w:rsid w:val="00F74E4E"/>
    <w:rsid w:val="00F74EE5"/>
    <w:rsid w:val="00F7553E"/>
    <w:rsid w:val="00F76372"/>
    <w:rsid w:val="00F76A8A"/>
    <w:rsid w:val="00F76B8B"/>
    <w:rsid w:val="00F77004"/>
    <w:rsid w:val="00F7712D"/>
    <w:rsid w:val="00F77AFC"/>
    <w:rsid w:val="00F77FB1"/>
    <w:rsid w:val="00F800A6"/>
    <w:rsid w:val="00F803A7"/>
    <w:rsid w:val="00F819CD"/>
    <w:rsid w:val="00F82BA5"/>
    <w:rsid w:val="00F82DD7"/>
    <w:rsid w:val="00F83490"/>
    <w:rsid w:val="00F834FA"/>
    <w:rsid w:val="00F8371E"/>
    <w:rsid w:val="00F83A85"/>
    <w:rsid w:val="00F83E55"/>
    <w:rsid w:val="00F84830"/>
    <w:rsid w:val="00F84ACB"/>
    <w:rsid w:val="00F85901"/>
    <w:rsid w:val="00F85B32"/>
    <w:rsid w:val="00F85C5E"/>
    <w:rsid w:val="00F860E0"/>
    <w:rsid w:val="00F861DC"/>
    <w:rsid w:val="00F866C5"/>
    <w:rsid w:val="00F86A72"/>
    <w:rsid w:val="00F86F1E"/>
    <w:rsid w:val="00F87567"/>
    <w:rsid w:val="00F876B9"/>
    <w:rsid w:val="00F87ADC"/>
    <w:rsid w:val="00F907E7"/>
    <w:rsid w:val="00F9088C"/>
    <w:rsid w:val="00F909C4"/>
    <w:rsid w:val="00F90ED7"/>
    <w:rsid w:val="00F9232B"/>
    <w:rsid w:val="00F92E7B"/>
    <w:rsid w:val="00F95847"/>
    <w:rsid w:val="00F95906"/>
    <w:rsid w:val="00F95A0B"/>
    <w:rsid w:val="00F95B13"/>
    <w:rsid w:val="00F95D92"/>
    <w:rsid w:val="00F95FD2"/>
    <w:rsid w:val="00F96038"/>
    <w:rsid w:val="00F96376"/>
    <w:rsid w:val="00F96C4A"/>
    <w:rsid w:val="00F972E3"/>
    <w:rsid w:val="00F97C75"/>
    <w:rsid w:val="00F97CFE"/>
    <w:rsid w:val="00FA027B"/>
    <w:rsid w:val="00FA04A5"/>
    <w:rsid w:val="00FA13E1"/>
    <w:rsid w:val="00FA1412"/>
    <w:rsid w:val="00FA15DC"/>
    <w:rsid w:val="00FA1B4C"/>
    <w:rsid w:val="00FA2B89"/>
    <w:rsid w:val="00FA2BD4"/>
    <w:rsid w:val="00FA2C37"/>
    <w:rsid w:val="00FA2F7A"/>
    <w:rsid w:val="00FA33BB"/>
    <w:rsid w:val="00FA3464"/>
    <w:rsid w:val="00FA3686"/>
    <w:rsid w:val="00FA3817"/>
    <w:rsid w:val="00FA4804"/>
    <w:rsid w:val="00FA48BB"/>
    <w:rsid w:val="00FA4DD9"/>
    <w:rsid w:val="00FA550C"/>
    <w:rsid w:val="00FA594D"/>
    <w:rsid w:val="00FA5C26"/>
    <w:rsid w:val="00FA603E"/>
    <w:rsid w:val="00FA696D"/>
    <w:rsid w:val="00FA6BEC"/>
    <w:rsid w:val="00FA74EE"/>
    <w:rsid w:val="00FA7673"/>
    <w:rsid w:val="00FA78EA"/>
    <w:rsid w:val="00FA795F"/>
    <w:rsid w:val="00FA7DE6"/>
    <w:rsid w:val="00FB0199"/>
    <w:rsid w:val="00FB0EE0"/>
    <w:rsid w:val="00FB22CD"/>
    <w:rsid w:val="00FB2626"/>
    <w:rsid w:val="00FB26C5"/>
    <w:rsid w:val="00FB293D"/>
    <w:rsid w:val="00FB32AF"/>
    <w:rsid w:val="00FB3E22"/>
    <w:rsid w:val="00FB4329"/>
    <w:rsid w:val="00FB43AE"/>
    <w:rsid w:val="00FB4DAC"/>
    <w:rsid w:val="00FB4EE5"/>
    <w:rsid w:val="00FB53E3"/>
    <w:rsid w:val="00FB5F44"/>
    <w:rsid w:val="00FB6C41"/>
    <w:rsid w:val="00FB7443"/>
    <w:rsid w:val="00FB7B74"/>
    <w:rsid w:val="00FB7C2A"/>
    <w:rsid w:val="00FC036B"/>
    <w:rsid w:val="00FC080D"/>
    <w:rsid w:val="00FC0BAE"/>
    <w:rsid w:val="00FC1206"/>
    <w:rsid w:val="00FC1563"/>
    <w:rsid w:val="00FC1583"/>
    <w:rsid w:val="00FC1B48"/>
    <w:rsid w:val="00FC1CD9"/>
    <w:rsid w:val="00FC30C7"/>
    <w:rsid w:val="00FC373A"/>
    <w:rsid w:val="00FC3F91"/>
    <w:rsid w:val="00FC49DB"/>
    <w:rsid w:val="00FC5322"/>
    <w:rsid w:val="00FC556B"/>
    <w:rsid w:val="00FC57E3"/>
    <w:rsid w:val="00FC585F"/>
    <w:rsid w:val="00FC5883"/>
    <w:rsid w:val="00FC6650"/>
    <w:rsid w:val="00FC6C29"/>
    <w:rsid w:val="00FC755B"/>
    <w:rsid w:val="00FC7599"/>
    <w:rsid w:val="00FC7662"/>
    <w:rsid w:val="00FC788D"/>
    <w:rsid w:val="00FC7920"/>
    <w:rsid w:val="00FD0A61"/>
    <w:rsid w:val="00FD1FC9"/>
    <w:rsid w:val="00FD209A"/>
    <w:rsid w:val="00FD2585"/>
    <w:rsid w:val="00FD2878"/>
    <w:rsid w:val="00FD2D12"/>
    <w:rsid w:val="00FD4CEA"/>
    <w:rsid w:val="00FD4F7C"/>
    <w:rsid w:val="00FD4FFB"/>
    <w:rsid w:val="00FD504F"/>
    <w:rsid w:val="00FD6FCA"/>
    <w:rsid w:val="00FD7031"/>
    <w:rsid w:val="00FD7048"/>
    <w:rsid w:val="00FD773C"/>
    <w:rsid w:val="00FD7940"/>
    <w:rsid w:val="00FD7D1F"/>
    <w:rsid w:val="00FE038B"/>
    <w:rsid w:val="00FE05D8"/>
    <w:rsid w:val="00FE0716"/>
    <w:rsid w:val="00FE0778"/>
    <w:rsid w:val="00FE1678"/>
    <w:rsid w:val="00FE1D3D"/>
    <w:rsid w:val="00FE1D85"/>
    <w:rsid w:val="00FE2E53"/>
    <w:rsid w:val="00FE34CE"/>
    <w:rsid w:val="00FE4282"/>
    <w:rsid w:val="00FE4368"/>
    <w:rsid w:val="00FE446B"/>
    <w:rsid w:val="00FE53E8"/>
    <w:rsid w:val="00FE637B"/>
    <w:rsid w:val="00FE65C1"/>
    <w:rsid w:val="00FE6EB3"/>
    <w:rsid w:val="00FE7350"/>
    <w:rsid w:val="00FE73A2"/>
    <w:rsid w:val="00FE7B1A"/>
    <w:rsid w:val="00FF0178"/>
    <w:rsid w:val="00FF01C9"/>
    <w:rsid w:val="00FF08B4"/>
    <w:rsid w:val="00FF0E7E"/>
    <w:rsid w:val="00FF1133"/>
    <w:rsid w:val="00FF1C01"/>
    <w:rsid w:val="00FF1E96"/>
    <w:rsid w:val="00FF21B3"/>
    <w:rsid w:val="00FF28CB"/>
    <w:rsid w:val="00FF296F"/>
    <w:rsid w:val="00FF29CE"/>
    <w:rsid w:val="00FF2A67"/>
    <w:rsid w:val="00FF2D61"/>
    <w:rsid w:val="00FF2D81"/>
    <w:rsid w:val="00FF318E"/>
    <w:rsid w:val="00FF335B"/>
    <w:rsid w:val="00FF36C9"/>
    <w:rsid w:val="00FF382B"/>
    <w:rsid w:val="00FF3B03"/>
    <w:rsid w:val="00FF4391"/>
    <w:rsid w:val="00FF471B"/>
    <w:rsid w:val="00FF4B99"/>
    <w:rsid w:val="00FF58B0"/>
    <w:rsid w:val="00FF651E"/>
    <w:rsid w:val="00FF7368"/>
    <w:rsid w:val="00FF7691"/>
    <w:rsid w:val="00FF7788"/>
    <w:rsid w:val="00FF7F8A"/>
    <w:rsid w:val="0530C866"/>
    <w:rsid w:val="0B72A7C1"/>
    <w:rsid w:val="0FAA25E6"/>
    <w:rsid w:val="10D5C83E"/>
    <w:rsid w:val="134D5E78"/>
    <w:rsid w:val="13E06B7E"/>
    <w:rsid w:val="147A5F7B"/>
    <w:rsid w:val="14D37BA5"/>
    <w:rsid w:val="157C4677"/>
    <w:rsid w:val="180B37BB"/>
    <w:rsid w:val="18656495"/>
    <w:rsid w:val="18EF024C"/>
    <w:rsid w:val="197BA8C9"/>
    <w:rsid w:val="197C7369"/>
    <w:rsid w:val="199DCE50"/>
    <w:rsid w:val="199E8EB1"/>
    <w:rsid w:val="19A346FF"/>
    <w:rsid w:val="1BC3BE65"/>
    <w:rsid w:val="1C836099"/>
    <w:rsid w:val="1E3619C8"/>
    <w:rsid w:val="1E8532E9"/>
    <w:rsid w:val="210F3697"/>
    <w:rsid w:val="21784163"/>
    <w:rsid w:val="245C4110"/>
    <w:rsid w:val="295F27C4"/>
    <w:rsid w:val="307D7EC9"/>
    <w:rsid w:val="337D0E50"/>
    <w:rsid w:val="3765A3AE"/>
    <w:rsid w:val="3983A9AF"/>
    <w:rsid w:val="3C950A8A"/>
    <w:rsid w:val="4137A22F"/>
    <w:rsid w:val="41D4172A"/>
    <w:rsid w:val="42673503"/>
    <w:rsid w:val="427EBEE6"/>
    <w:rsid w:val="43A049A4"/>
    <w:rsid w:val="492B6F75"/>
    <w:rsid w:val="49F97252"/>
    <w:rsid w:val="4AC5DF10"/>
    <w:rsid w:val="4B0AEA7F"/>
    <w:rsid w:val="4B77D242"/>
    <w:rsid w:val="4DA7E1D7"/>
    <w:rsid w:val="537143AE"/>
    <w:rsid w:val="55A77376"/>
    <w:rsid w:val="5795B6F7"/>
    <w:rsid w:val="5926AF5D"/>
    <w:rsid w:val="6481C0C8"/>
    <w:rsid w:val="6490C24B"/>
    <w:rsid w:val="662B22BC"/>
    <w:rsid w:val="678BFBB4"/>
    <w:rsid w:val="6C74CEA8"/>
    <w:rsid w:val="6E1C84F1"/>
    <w:rsid w:val="70502408"/>
    <w:rsid w:val="71E17042"/>
    <w:rsid w:val="7244221A"/>
    <w:rsid w:val="744DBFF2"/>
    <w:rsid w:val="762E2F35"/>
    <w:rsid w:val="777BD8AC"/>
    <w:rsid w:val="799D40CD"/>
    <w:rsid w:val="79AF7FA9"/>
    <w:rsid w:val="7A0F1D97"/>
    <w:rsid w:val="7A5D5C28"/>
    <w:rsid w:val="7DAFD4B8"/>
    <w:rsid w:val="7EB9F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D5AFB7"/>
  <w15:chartTrackingRefBased/>
  <w15:docId w15:val="{9A42589B-69A4-4CAE-BB9E-A8AF308EA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C516D"/>
    <w:pPr>
      <w:spacing w:after="120" w:line="276" w:lineRule="auto"/>
    </w:pPr>
    <w:rPr>
      <w:rFonts w:ascii="Arial" w:eastAsia="Times New Roman" w:hAnsi="Arial" w:cs="Times New Roman"/>
      <w:sz w:val="20"/>
      <w:szCs w:val="20"/>
      <w:lang w:val="de-CH" w:eastAsia="de-CH"/>
    </w:rPr>
  </w:style>
  <w:style w:type="paragraph" w:styleId="berschrift1">
    <w:name w:val="heading 1"/>
    <w:basedOn w:val="Standard"/>
    <w:next w:val="Standard"/>
    <w:link w:val="berschrift1Zchn"/>
    <w:qFormat/>
    <w:rsid w:val="00CD6A04"/>
    <w:pPr>
      <w:keepNext/>
      <w:numPr>
        <w:numId w:val="33"/>
      </w:numPr>
      <w:spacing w:before="360" w:after="240" w:line="271" w:lineRule="auto"/>
      <w:outlineLvl w:val="0"/>
    </w:pPr>
    <w:rPr>
      <w:rFonts w:cs="Arial"/>
      <w:b/>
      <w:bCs/>
      <w:kern w:val="32"/>
      <w:sz w:val="32"/>
      <w:szCs w:val="32"/>
    </w:rPr>
  </w:style>
  <w:style w:type="paragraph" w:styleId="berschrift2">
    <w:name w:val="heading 2"/>
    <w:basedOn w:val="Standard"/>
    <w:next w:val="Standard"/>
    <w:link w:val="berschrift2Zchn"/>
    <w:qFormat/>
    <w:rsid w:val="00501D1D"/>
    <w:pPr>
      <w:keepNext/>
      <w:numPr>
        <w:ilvl w:val="1"/>
        <w:numId w:val="33"/>
      </w:numPr>
      <w:spacing w:before="480"/>
      <w:ind w:left="709"/>
      <w:outlineLvl w:val="1"/>
    </w:pPr>
    <w:rPr>
      <w:rFonts w:cs="Arial"/>
      <w:b/>
      <w:bCs/>
      <w:iCs/>
      <w:sz w:val="22"/>
      <w:szCs w:val="28"/>
    </w:rPr>
  </w:style>
  <w:style w:type="paragraph" w:styleId="berschrift3">
    <w:name w:val="heading 3"/>
    <w:basedOn w:val="Standard"/>
    <w:next w:val="Standard"/>
    <w:link w:val="berschrift3Zchn"/>
    <w:qFormat/>
    <w:rsid w:val="00971E6D"/>
    <w:pPr>
      <w:keepNext/>
      <w:numPr>
        <w:ilvl w:val="2"/>
        <w:numId w:val="33"/>
      </w:numPr>
      <w:spacing w:before="240"/>
      <w:outlineLvl w:val="2"/>
    </w:pPr>
    <w:rPr>
      <w:rFonts w:cs="Arial"/>
      <w:b/>
      <w:bCs/>
      <w:szCs w:val="26"/>
    </w:rPr>
  </w:style>
  <w:style w:type="paragraph" w:styleId="berschrift4">
    <w:name w:val="heading 4"/>
    <w:basedOn w:val="Standard"/>
    <w:next w:val="Standard"/>
    <w:link w:val="berschrift4Zchn"/>
    <w:qFormat/>
    <w:rsid w:val="005B17D7"/>
    <w:pPr>
      <w:keepNext/>
      <w:numPr>
        <w:ilvl w:val="3"/>
        <w:numId w:val="33"/>
      </w:numPr>
      <w:spacing w:before="240" w:after="60"/>
      <w:outlineLvl w:val="3"/>
    </w:pPr>
    <w:rPr>
      <w:b/>
      <w:bCs/>
      <w:szCs w:val="28"/>
    </w:rPr>
  </w:style>
  <w:style w:type="paragraph" w:styleId="berschrift5">
    <w:name w:val="heading 5"/>
    <w:basedOn w:val="Standard"/>
    <w:next w:val="Standard"/>
    <w:link w:val="berschrift5Zchn"/>
    <w:qFormat/>
    <w:rsid w:val="005B17D7"/>
    <w:pPr>
      <w:numPr>
        <w:ilvl w:val="4"/>
        <w:numId w:val="33"/>
      </w:numPr>
      <w:spacing w:before="240" w:after="60"/>
      <w:outlineLvl w:val="4"/>
    </w:pPr>
    <w:rPr>
      <w:b/>
      <w:bCs/>
      <w:i/>
      <w:iCs/>
      <w:szCs w:val="26"/>
    </w:rPr>
  </w:style>
  <w:style w:type="paragraph" w:styleId="berschrift6">
    <w:name w:val="heading 6"/>
    <w:basedOn w:val="Standard"/>
    <w:next w:val="Standard"/>
    <w:link w:val="berschrift6Zchn"/>
    <w:qFormat/>
    <w:rsid w:val="005B17D7"/>
    <w:pPr>
      <w:numPr>
        <w:ilvl w:val="5"/>
        <w:numId w:val="33"/>
      </w:numPr>
      <w:spacing w:before="240" w:after="60"/>
      <w:outlineLvl w:val="5"/>
    </w:pPr>
    <w:rPr>
      <w:b/>
      <w:bCs/>
      <w:szCs w:val="22"/>
    </w:rPr>
  </w:style>
  <w:style w:type="paragraph" w:styleId="berschrift7">
    <w:name w:val="heading 7"/>
    <w:basedOn w:val="Standard"/>
    <w:next w:val="Standard"/>
    <w:link w:val="berschrift7Zchn"/>
    <w:qFormat/>
    <w:rsid w:val="005B17D7"/>
    <w:pPr>
      <w:numPr>
        <w:ilvl w:val="6"/>
        <w:numId w:val="33"/>
      </w:numPr>
      <w:spacing w:before="240" w:after="60"/>
      <w:outlineLvl w:val="6"/>
    </w:pPr>
    <w:rPr>
      <w:szCs w:val="24"/>
    </w:rPr>
  </w:style>
  <w:style w:type="paragraph" w:styleId="berschrift8">
    <w:name w:val="heading 8"/>
    <w:basedOn w:val="Standard"/>
    <w:next w:val="Standard"/>
    <w:link w:val="berschrift8Zchn"/>
    <w:qFormat/>
    <w:rsid w:val="005B17D7"/>
    <w:pPr>
      <w:numPr>
        <w:ilvl w:val="7"/>
        <w:numId w:val="33"/>
      </w:numPr>
      <w:spacing w:before="240" w:after="60"/>
      <w:outlineLvl w:val="7"/>
    </w:pPr>
    <w:rPr>
      <w:i/>
      <w:iCs/>
      <w:szCs w:val="24"/>
    </w:rPr>
  </w:style>
  <w:style w:type="paragraph" w:styleId="berschrift9">
    <w:name w:val="heading 9"/>
    <w:basedOn w:val="Standard"/>
    <w:next w:val="Standard"/>
    <w:link w:val="berschrift9Zchn"/>
    <w:qFormat/>
    <w:rsid w:val="005B17D7"/>
    <w:pPr>
      <w:numPr>
        <w:ilvl w:val="8"/>
        <w:numId w:val="33"/>
      </w:numPr>
      <w:spacing w:before="240" w:after="60"/>
      <w:outlineLvl w:val="8"/>
    </w:pPr>
    <w:rPr>
      <w:rFonts w:cs="Arial"/>
      <w:szCs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CD6A04"/>
    <w:rPr>
      <w:rFonts w:ascii="Arial" w:eastAsia="Times New Roman" w:hAnsi="Arial" w:cs="Arial"/>
      <w:b/>
      <w:bCs/>
      <w:kern w:val="32"/>
      <w:sz w:val="32"/>
      <w:szCs w:val="32"/>
      <w:lang w:val="de-CH" w:eastAsia="de-CH"/>
    </w:rPr>
  </w:style>
  <w:style w:type="character" w:customStyle="1" w:styleId="berschrift2Zchn">
    <w:name w:val="Überschrift 2 Zchn"/>
    <w:basedOn w:val="Absatz-Standardschriftart"/>
    <w:link w:val="berschrift2"/>
    <w:rsid w:val="00501D1D"/>
    <w:rPr>
      <w:rFonts w:ascii="Arial" w:eastAsia="Times New Roman" w:hAnsi="Arial" w:cs="Arial"/>
      <w:b/>
      <w:bCs/>
      <w:iCs/>
      <w:szCs w:val="28"/>
      <w:lang w:val="de-CH" w:eastAsia="de-CH"/>
    </w:rPr>
  </w:style>
  <w:style w:type="character" w:customStyle="1" w:styleId="berschrift3Zchn">
    <w:name w:val="Überschrift 3 Zchn"/>
    <w:basedOn w:val="Absatz-Standardschriftart"/>
    <w:link w:val="berschrift3"/>
    <w:rsid w:val="00971E6D"/>
    <w:rPr>
      <w:rFonts w:ascii="Arial" w:eastAsia="Times New Roman" w:hAnsi="Arial" w:cs="Arial"/>
      <w:b/>
      <w:bCs/>
      <w:sz w:val="20"/>
      <w:szCs w:val="26"/>
      <w:lang w:val="de-CH" w:eastAsia="de-CH"/>
    </w:rPr>
  </w:style>
  <w:style w:type="character" w:customStyle="1" w:styleId="berschrift4Zchn">
    <w:name w:val="Überschrift 4 Zchn"/>
    <w:basedOn w:val="Absatz-Standardschriftart"/>
    <w:link w:val="berschrift4"/>
    <w:rsid w:val="005B17D7"/>
    <w:rPr>
      <w:rFonts w:ascii="Arial" w:eastAsia="Times New Roman" w:hAnsi="Arial" w:cs="Times New Roman"/>
      <w:b/>
      <w:bCs/>
      <w:sz w:val="20"/>
      <w:szCs w:val="28"/>
      <w:lang w:val="de-CH" w:eastAsia="de-CH"/>
    </w:rPr>
  </w:style>
  <w:style w:type="character" w:customStyle="1" w:styleId="berschrift5Zchn">
    <w:name w:val="Überschrift 5 Zchn"/>
    <w:basedOn w:val="Absatz-Standardschriftart"/>
    <w:link w:val="berschrift5"/>
    <w:rsid w:val="005B17D7"/>
    <w:rPr>
      <w:rFonts w:ascii="Arial" w:eastAsia="Times New Roman" w:hAnsi="Arial" w:cs="Times New Roman"/>
      <w:b/>
      <w:bCs/>
      <w:i/>
      <w:iCs/>
      <w:sz w:val="20"/>
      <w:szCs w:val="26"/>
      <w:lang w:val="de-CH" w:eastAsia="de-CH"/>
    </w:rPr>
  </w:style>
  <w:style w:type="character" w:customStyle="1" w:styleId="berschrift6Zchn">
    <w:name w:val="Überschrift 6 Zchn"/>
    <w:basedOn w:val="Absatz-Standardschriftart"/>
    <w:link w:val="berschrift6"/>
    <w:rsid w:val="005B17D7"/>
    <w:rPr>
      <w:rFonts w:ascii="Arial" w:eastAsia="Times New Roman" w:hAnsi="Arial" w:cs="Times New Roman"/>
      <w:b/>
      <w:bCs/>
      <w:sz w:val="20"/>
      <w:lang w:val="de-CH" w:eastAsia="de-CH"/>
    </w:rPr>
  </w:style>
  <w:style w:type="character" w:customStyle="1" w:styleId="berschrift7Zchn">
    <w:name w:val="Überschrift 7 Zchn"/>
    <w:basedOn w:val="Absatz-Standardschriftart"/>
    <w:link w:val="berschrift7"/>
    <w:rsid w:val="005B17D7"/>
    <w:rPr>
      <w:rFonts w:ascii="Arial" w:eastAsia="Times New Roman" w:hAnsi="Arial" w:cs="Times New Roman"/>
      <w:sz w:val="20"/>
      <w:szCs w:val="24"/>
      <w:lang w:val="de-CH" w:eastAsia="de-CH"/>
    </w:rPr>
  </w:style>
  <w:style w:type="character" w:customStyle="1" w:styleId="berschrift8Zchn">
    <w:name w:val="Überschrift 8 Zchn"/>
    <w:basedOn w:val="Absatz-Standardschriftart"/>
    <w:link w:val="berschrift8"/>
    <w:rsid w:val="005B17D7"/>
    <w:rPr>
      <w:rFonts w:ascii="Arial" w:eastAsia="Times New Roman" w:hAnsi="Arial" w:cs="Times New Roman"/>
      <w:i/>
      <w:iCs/>
      <w:sz w:val="20"/>
      <w:szCs w:val="24"/>
      <w:lang w:val="de-CH" w:eastAsia="de-CH"/>
    </w:rPr>
  </w:style>
  <w:style w:type="character" w:customStyle="1" w:styleId="berschrift9Zchn">
    <w:name w:val="Überschrift 9 Zchn"/>
    <w:basedOn w:val="Absatz-Standardschriftart"/>
    <w:link w:val="berschrift9"/>
    <w:rsid w:val="005B17D7"/>
    <w:rPr>
      <w:rFonts w:ascii="Arial" w:eastAsia="Times New Roman" w:hAnsi="Arial" w:cs="Arial"/>
      <w:sz w:val="20"/>
      <w:lang w:val="de-CH" w:eastAsia="de-CH"/>
    </w:rPr>
  </w:style>
  <w:style w:type="paragraph" w:styleId="Kopfzeile">
    <w:name w:val="header"/>
    <w:basedOn w:val="Standard"/>
    <w:link w:val="KopfzeileZchn"/>
    <w:uiPriority w:val="99"/>
    <w:rsid w:val="005B17D7"/>
    <w:pPr>
      <w:suppressAutoHyphens/>
      <w:spacing w:line="200" w:lineRule="exact"/>
    </w:pPr>
    <w:rPr>
      <w:noProof/>
      <w:sz w:val="15"/>
    </w:rPr>
  </w:style>
  <w:style w:type="character" w:customStyle="1" w:styleId="KopfzeileZchn">
    <w:name w:val="Kopfzeile Zchn"/>
    <w:basedOn w:val="Absatz-Standardschriftart"/>
    <w:link w:val="Kopfzeile"/>
    <w:uiPriority w:val="99"/>
    <w:rsid w:val="005B17D7"/>
    <w:rPr>
      <w:rFonts w:ascii="Arial" w:eastAsia="Times New Roman" w:hAnsi="Arial" w:cs="Times New Roman"/>
      <w:noProof/>
      <w:sz w:val="15"/>
      <w:szCs w:val="20"/>
      <w:lang w:val="de-CH" w:eastAsia="de-CH"/>
    </w:rPr>
  </w:style>
  <w:style w:type="paragraph" w:styleId="Fuzeile">
    <w:name w:val="footer"/>
    <w:basedOn w:val="Standard"/>
    <w:link w:val="FuzeileZchn"/>
    <w:uiPriority w:val="99"/>
    <w:rsid w:val="005B17D7"/>
    <w:pPr>
      <w:suppressAutoHyphens/>
      <w:spacing w:line="200" w:lineRule="exact"/>
    </w:pPr>
    <w:rPr>
      <w:noProof/>
      <w:sz w:val="15"/>
      <w:szCs w:val="15"/>
    </w:rPr>
  </w:style>
  <w:style w:type="character" w:customStyle="1" w:styleId="FuzeileZchn">
    <w:name w:val="Fußzeile Zchn"/>
    <w:basedOn w:val="Absatz-Standardschriftart"/>
    <w:link w:val="Fuzeile"/>
    <w:uiPriority w:val="99"/>
    <w:rsid w:val="005B17D7"/>
    <w:rPr>
      <w:rFonts w:ascii="Arial" w:eastAsia="Times New Roman" w:hAnsi="Arial" w:cs="Times New Roman"/>
      <w:noProof/>
      <w:sz w:val="15"/>
      <w:szCs w:val="15"/>
      <w:lang w:val="de-CH" w:eastAsia="de-CH"/>
    </w:rPr>
  </w:style>
  <w:style w:type="paragraph" w:customStyle="1" w:styleId="KopfFett">
    <w:name w:val="KopfFett"/>
    <w:basedOn w:val="Kopfzeile"/>
    <w:next w:val="Kopfzeile"/>
    <w:rsid w:val="005B17D7"/>
    <w:rPr>
      <w:b/>
    </w:rPr>
  </w:style>
  <w:style w:type="paragraph" w:customStyle="1" w:styleId="KopfDept">
    <w:name w:val="KopfDept"/>
    <w:basedOn w:val="Kopfzeile"/>
    <w:next w:val="KopfFett"/>
    <w:rsid w:val="005B17D7"/>
    <w:pPr>
      <w:spacing w:after="100"/>
      <w:contextualSpacing/>
    </w:pPr>
  </w:style>
  <w:style w:type="paragraph" w:customStyle="1" w:styleId="Logo">
    <w:name w:val="Logo"/>
    <w:rsid w:val="005B17D7"/>
    <w:pPr>
      <w:spacing w:after="0" w:line="240" w:lineRule="auto"/>
    </w:pPr>
    <w:rPr>
      <w:rFonts w:ascii="Arial" w:eastAsia="Times New Roman" w:hAnsi="Arial" w:cs="Times New Roman"/>
      <w:noProof/>
      <w:sz w:val="15"/>
      <w:szCs w:val="20"/>
      <w:lang w:val="de-CH" w:eastAsia="de-CH"/>
    </w:rPr>
  </w:style>
  <w:style w:type="paragraph" w:customStyle="1" w:styleId="Pfad">
    <w:name w:val="Pfad"/>
    <w:next w:val="Fuzeile"/>
    <w:rsid w:val="005B17D7"/>
    <w:pPr>
      <w:spacing w:after="0" w:line="160" w:lineRule="exact"/>
    </w:pPr>
    <w:rPr>
      <w:rFonts w:ascii="Arial" w:eastAsia="Times New Roman" w:hAnsi="Arial" w:cs="Times New Roman"/>
      <w:noProof/>
      <w:sz w:val="12"/>
      <w:szCs w:val="12"/>
      <w:lang w:val="de-CH" w:eastAsia="de-CH"/>
    </w:rPr>
  </w:style>
  <w:style w:type="paragraph" w:styleId="Titel">
    <w:name w:val="Title"/>
    <w:basedOn w:val="Standard"/>
    <w:next w:val="Standard"/>
    <w:link w:val="TitelZchn"/>
    <w:qFormat/>
    <w:rsid w:val="005B17D7"/>
    <w:pPr>
      <w:spacing w:line="480" w:lineRule="exact"/>
      <w:outlineLvl w:val="0"/>
    </w:pPr>
    <w:rPr>
      <w:rFonts w:cs="Arial"/>
      <w:b/>
      <w:bCs/>
      <w:kern w:val="28"/>
      <w:sz w:val="42"/>
      <w:szCs w:val="32"/>
    </w:rPr>
  </w:style>
  <w:style w:type="character" w:customStyle="1" w:styleId="TitelZchn">
    <w:name w:val="Titel Zchn"/>
    <w:basedOn w:val="Absatz-Standardschriftart"/>
    <w:link w:val="Titel"/>
    <w:rsid w:val="005B17D7"/>
    <w:rPr>
      <w:rFonts w:ascii="Arial" w:eastAsia="Times New Roman" w:hAnsi="Arial" w:cs="Arial"/>
      <w:b/>
      <w:bCs/>
      <w:kern w:val="28"/>
      <w:sz w:val="42"/>
      <w:szCs w:val="32"/>
      <w:lang w:val="de-CH" w:eastAsia="de-CH"/>
    </w:rPr>
  </w:style>
  <w:style w:type="paragraph" w:customStyle="1" w:styleId="Seite">
    <w:name w:val="Seite"/>
    <w:basedOn w:val="Standard"/>
    <w:rsid w:val="005B17D7"/>
    <w:pPr>
      <w:suppressAutoHyphens/>
      <w:spacing w:line="200" w:lineRule="exact"/>
      <w:jc w:val="right"/>
    </w:pPr>
    <w:rPr>
      <w:sz w:val="14"/>
      <w:szCs w:val="14"/>
    </w:rPr>
  </w:style>
  <w:style w:type="paragraph" w:customStyle="1" w:styleId="uLinie">
    <w:name w:val="uLinie"/>
    <w:basedOn w:val="Standard"/>
    <w:next w:val="Standard"/>
    <w:rsid w:val="005B17D7"/>
    <w:pPr>
      <w:pBdr>
        <w:bottom w:val="single" w:sz="2" w:space="1" w:color="auto"/>
      </w:pBdr>
      <w:spacing w:after="320" w:line="240" w:lineRule="auto"/>
      <w:ind w:left="28" w:right="28"/>
    </w:pPr>
    <w:rPr>
      <w:noProof/>
      <w:sz w:val="15"/>
      <w:szCs w:val="15"/>
    </w:rPr>
  </w:style>
  <w:style w:type="paragraph" w:styleId="Untertitel">
    <w:name w:val="Subtitle"/>
    <w:basedOn w:val="Titel"/>
    <w:next w:val="Standard"/>
    <w:link w:val="UntertitelZchn"/>
    <w:qFormat/>
    <w:rsid w:val="005B17D7"/>
    <w:pPr>
      <w:outlineLvl w:val="1"/>
    </w:pPr>
    <w:rPr>
      <w:b w:val="0"/>
      <w:szCs w:val="24"/>
    </w:rPr>
  </w:style>
  <w:style w:type="character" w:customStyle="1" w:styleId="UntertitelZchn">
    <w:name w:val="Untertitel Zchn"/>
    <w:basedOn w:val="Absatz-Standardschriftart"/>
    <w:link w:val="Untertitel"/>
    <w:rsid w:val="005B17D7"/>
    <w:rPr>
      <w:rFonts w:ascii="Arial" w:eastAsia="Times New Roman" w:hAnsi="Arial" w:cs="Arial"/>
      <w:bCs/>
      <w:kern w:val="28"/>
      <w:sz w:val="42"/>
      <w:szCs w:val="24"/>
      <w:lang w:val="de-CH" w:eastAsia="de-CH"/>
    </w:rPr>
  </w:style>
  <w:style w:type="paragraph" w:customStyle="1" w:styleId="Ref">
    <w:name w:val="Ref"/>
    <w:basedOn w:val="Standard"/>
    <w:next w:val="Standard"/>
    <w:rsid w:val="005B17D7"/>
    <w:pPr>
      <w:spacing w:line="200" w:lineRule="exact"/>
    </w:pPr>
    <w:rPr>
      <w:sz w:val="15"/>
    </w:rPr>
  </w:style>
  <w:style w:type="paragraph" w:customStyle="1" w:styleId="Form">
    <w:name w:val="Form"/>
    <w:basedOn w:val="Standard"/>
    <w:rsid w:val="005B17D7"/>
    <w:rPr>
      <w:sz w:val="15"/>
    </w:rPr>
  </w:style>
  <w:style w:type="paragraph" w:customStyle="1" w:styleId="Platzhalter">
    <w:name w:val="Platzhalter"/>
    <w:basedOn w:val="Standard"/>
    <w:next w:val="Standard"/>
    <w:rsid w:val="005B17D7"/>
    <w:pPr>
      <w:spacing w:line="240" w:lineRule="auto"/>
    </w:pPr>
    <w:rPr>
      <w:sz w:val="2"/>
      <w:szCs w:val="2"/>
    </w:rPr>
  </w:style>
  <w:style w:type="paragraph" w:customStyle="1" w:styleId="Antragstext">
    <w:name w:val="Antragstext"/>
    <w:basedOn w:val="Standard"/>
    <w:rsid w:val="005B17D7"/>
    <w:pPr>
      <w:spacing w:before="120"/>
      <w:ind w:left="454" w:hanging="454"/>
    </w:pPr>
  </w:style>
  <w:style w:type="paragraph" w:customStyle="1" w:styleId="Begrndung">
    <w:name w:val="Begründung"/>
    <w:basedOn w:val="Standard"/>
    <w:rsid w:val="005B17D7"/>
    <w:pPr>
      <w:ind w:left="720"/>
    </w:pPr>
    <w:rPr>
      <w:i/>
    </w:rPr>
  </w:style>
  <w:style w:type="paragraph" w:customStyle="1" w:styleId="Standard6v">
    <w:name w:val="Standard 6v"/>
    <w:basedOn w:val="Standard"/>
    <w:rsid w:val="005B17D7"/>
    <w:pPr>
      <w:spacing w:before="120"/>
    </w:pPr>
  </w:style>
  <w:style w:type="paragraph" w:customStyle="1" w:styleId="Strich6v">
    <w:name w:val="Strich 6v"/>
    <w:basedOn w:val="Standard"/>
    <w:rsid w:val="005B17D7"/>
    <w:pPr>
      <w:numPr>
        <w:numId w:val="3"/>
      </w:numPr>
      <w:spacing w:before="120"/>
    </w:pPr>
  </w:style>
  <w:style w:type="paragraph" w:customStyle="1" w:styleId="TitelohneNr">
    <w:name w:val="Titel ohne Nr"/>
    <w:basedOn w:val="Standard"/>
    <w:rsid w:val="005B17D7"/>
    <w:pPr>
      <w:keepNext/>
      <w:spacing w:before="240"/>
    </w:pPr>
    <w:rPr>
      <w:b/>
    </w:rPr>
  </w:style>
  <w:style w:type="table" w:styleId="Tabellenraster">
    <w:name w:val="Table Grid"/>
    <w:basedOn w:val="NormaleTabelle"/>
    <w:uiPriority w:val="39"/>
    <w:rsid w:val="005B17D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ittlereSchattierung2-Akzent11">
    <w:name w:val="Mittlere Schattierung 2 - Akzent 11"/>
    <w:basedOn w:val="NormaleTabelle"/>
    <w:uiPriority w:val="64"/>
    <w:rsid w:val="005B17D7"/>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1-Akzent11">
    <w:name w:val="Mittlere Schattierung 1 - Akzent 11"/>
    <w:basedOn w:val="NormaleTabelle"/>
    <w:uiPriority w:val="63"/>
    <w:rsid w:val="005B17D7"/>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Kommentarzeichen">
    <w:name w:val="annotation reference"/>
    <w:uiPriority w:val="99"/>
    <w:rsid w:val="005B17D7"/>
    <w:rPr>
      <w:sz w:val="16"/>
      <w:szCs w:val="16"/>
    </w:rPr>
  </w:style>
  <w:style w:type="paragraph" w:styleId="Kommentartext">
    <w:name w:val="annotation text"/>
    <w:basedOn w:val="Standard"/>
    <w:link w:val="KommentartextZchn"/>
    <w:uiPriority w:val="99"/>
    <w:rsid w:val="005B17D7"/>
    <w:rPr>
      <w:lang w:val="x-none" w:eastAsia="x-none"/>
    </w:rPr>
  </w:style>
  <w:style w:type="character" w:customStyle="1" w:styleId="KommentartextZchn">
    <w:name w:val="Kommentartext Zchn"/>
    <w:basedOn w:val="Absatz-Standardschriftart"/>
    <w:link w:val="Kommentartext"/>
    <w:uiPriority w:val="99"/>
    <w:rsid w:val="005B17D7"/>
    <w:rPr>
      <w:rFonts w:ascii="Arial" w:eastAsia="Times New Roman" w:hAnsi="Arial" w:cs="Times New Roman"/>
      <w:sz w:val="20"/>
      <w:szCs w:val="20"/>
      <w:lang w:val="x-none" w:eastAsia="x-none"/>
    </w:rPr>
  </w:style>
  <w:style w:type="paragraph" w:styleId="Kommentarthema">
    <w:name w:val="annotation subject"/>
    <w:basedOn w:val="Kommentartext"/>
    <w:next w:val="Kommentartext"/>
    <w:link w:val="KommentarthemaZchn"/>
    <w:rsid w:val="005B17D7"/>
    <w:rPr>
      <w:b/>
      <w:bCs/>
    </w:rPr>
  </w:style>
  <w:style w:type="character" w:customStyle="1" w:styleId="KommentarthemaZchn">
    <w:name w:val="Kommentarthema Zchn"/>
    <w:basedOn w:val="KommentartextZchn"/>
    <w:link w:val="Kommentarthema"/>
    <w:rsid w:val="005B17D7"/>
    <w:rPr>
      <w:rFonts w:ascii="Arial" w:eastAsia="Times New Roman" w:hAnsi="Arial" w:cs="Times New Roman"/>
      <w:b/>
      <w:bCs/>
      <w:sz w:val="20"/>
      <w:szCs w:val="20"/>
      <w:lang w:val="x-none" w:eastAsia="x-none"/>
    </w:rPr>
  </w:style>
  <w:style w:type="paragraph" w:styleId="Sprechblasentext">
    <w:name w:val="Balloon Text"/>
    <w:basedOn w:val="Standard"/>
    <w:link w:val="SprechblasentextZchn"/>
    <w:rsid w:val="005B17D7"/>
    <w:pPr>
      <w:spacing w:line="240" w:lineRule="auto"/>
    </w:pPr>
    <w:rPr>
      <w:rFonts w:ascii="Tahoma" w:hAnsi="Tahoma"/>
      <w:sz w:val="16"/>
      <w:szCs w:val="16"/>
      <w:lang w:val="x-none" w:eastAsia="x-none"/>
    </w:rPr>
  </w:style>
  <w:style w:type="character" w:customStyle="1" w:styleId="SprechblasentextZchn">
    <w:name w:val="Sprechblasentext Zchn"/>
    <w:basedOn w:val="Absatz-Standardschriftart"/>
    <w:link w:val="Sprechblasentext"/>
    <w:rsid w:val="005B17D7"/>
    <w:rPr>
      <w:rFonts w:ascii="Tahoma" w:eastAsia="Times New Roman" w:hAnsi="Tahoma" w:cs="Times New Roman"/>
      <w:sz w:val="16"/>
      <w:szCs w:val="16"/>
      <w:lang w:val="x-none" w:eastAsia="x-none"/>
    </w:rPr>
  </w:style>
  <w:style w:type="table" w:customStyle="1" w:styleId="HelleListe-Akzent11">
    <w:name w:val="Helle Liste - Akzent 11"/>
    <w:basedOn w:val="NormaleTabelle"/>
    <w:uiPriority w:val="61"/>
    <w:rsid w:val="005B17D7"/>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Listenabsatz">
    <w:name w:val="List Paragraph"/>
    <w:basedOn w:val="Standard"/>
    <w:link w:val="ListenabsatzZchn"/>
    <w:uiPriority w:val="34"/>
    <w:qFormat/>
    <w:rsid w:val="007B6D92"/>
    <w:pPr>
      <w:ind w:left="708"/>
    </w:pPr>
    <w:rPr>
      <w:i/>
    </w:rPr>
  </w:style>
  <w:style w:type="paragraph" w:styleId="Inhaltsverzeichnisberschrift">
    <w:name w:val="TOC Heading"/>
    <w:basedOn w:val="berschrift1"/>
    <w:next w:val="Standard"/>
    <w:uiPriority w:val="39"/>
    <w:semiHidden/>
    <w:unhideWhenUsed/>
    <w:qFormat/>
    <w:rsid w:val="005B17D7"/>
    <w:pPr>
      <w:keepLines/>
      <w:numPr>
        <w:numId w:val="0"/>
      </w:numPr>
      <w:spacing w:before="480" w:after="0" w:line="276" w:lineRule="auto"/>
      <w:outlineLvl w:val="9"/>
    </w:pPr>
    <w:rPr>
      <w:rFonts w:ascii="Cambria" w:hAnsi="Cambria" w:cs="Times New Roman"/>
      <w:color w:val="365F91"/>
      <w:kern w:val="0"/>
      <w:sz w:val="28"/>
      <w:szCs w:val="28"/>
      <w:lang w:val="de-DE" w:eastAsia="en-US"/>
    </w:rPr>
  </w:style>
  <w:style w:type="paragraph" w:styleId="Verzeichnis1">
    <w:name w:val="toc 1"/>
    <w:basedOn w:val="Standard"/>
    <w:next w:val="Standard"/>
    <w:autoRedefine/>
    <w:uiPriority w:val="39"/>
    <w:qFormat/>
    <w:rsid w:val="00704012"/>
    <w:pPr>
      <w:tabs>
        <w:tab w:val="left" w:pos="400"/>
        <w:tab w:val="right" w:leader="dot" w:pos="9061"/>
      </w:tabs>
      <w:spacing w:before="120" w:line="240" w:lineRule="auto"/>
    </w:pPr>
    <w:rPr>
      <w:b/>
      <w:noProof/>
    </w:rPr>
  </w:style>
  <w:style w:type="paragraph" w:styleId="Verzeichnis2">
    <w:name w:val="toc 2"/>
    <w:basedOn w:val="Standard"/>
    <w:next w:val="Standard"/>
    <w:autoRedefine/>
    <w:uiPriority w:val="39"/>
    <w:qFormat/>
    <w:rsid w:val="006C4DEF"/>
    <w:pPr>
      <w:tabs>
        <w:tab w:val="left" w:pos="851"/>
        <w:tab w:val="right" w:leader="dot" w:pos="9061"/>
      </w:tabs>
      <w:spacing w:before="60" w:line="240" w:lineRule="auto"/>
      <w:ind w:left="850" w:hanging="425"/>
    </w:pPr>
  </w:style>
  <w:style w:type="character" w:styleId="Hyperlink">
    <w:name w:val="Hyperlink"/>
    <w:uiPriority w:val="99"/>
    <w:unhideWhenUsed/>
    <w:rsid w:val="005B17D7"/>
    <w:rPr>
      <w:color w:val="0000FF"/>
      <w:u w:val="single"/>
    </w:rPr>
  </w:style>
  <w:style w:type="paragraph" w:styleId="Funotentext">
    <w:name w:val="footnote text"/>
    <w:basedOn w:val="Standard"/>
    <w:link w:val="FunotentextZchn"/>
    <w:rsid w:val="005B17D7"/>
    <w:rPr>
      <w:sz w:val="24"/>
      <w:szCs w:val="24"/>
      <w:lang w:val="x-none" w:eastAsia="x-none"/>
    </w:rPr>
  </w:style>
  <w:style w:type="character" w:customStyle="1" w:styleId="FunotentextZchn">
    <w:name w:val="Fußnotentext Zchn"/>
    <w:basedOn w:val="Absatz-Standardschriftart"/>
    <w:link w:val="Funotentext"/>
    <w:rsid w:val="005B17D7"/>
    <w:rPr>
      <w:rFonts w:ascii="Arial" w:eastAsia="Times New Roman" w:hAnsi="Arial" w:cs="Times New Roman"/>
      <w:sz w:val="24"/>
      <w:szCs w:val="24"/>
      <w:lang w:val="x-none" w:eastAsia="x-none"/>
    </w:rPr>
  </w:style>
  <w:style w:type="character" w:styleId="Funotenzeichen">
    <w:name w:val="footnote reference"/>
    <w:qFormat/>
    <w:rsid w:val="005B17D7"/>
    <w:rPr>
      <w:vertAlign w:val="superscript"/>
    </w:rPr>
  </w:style>
  <w:style w:type="paragraph" w:customStyle="1" w:styleId="Absatz">
    <w:name w:val="Absatz"/>
    <w:rsid w:val="005B17D7"/>
    <w:pPr>
      <w:spacing w:after="200" w:line="260" w:lineRule="exact"/>
    </w:pPr>
    <w:rPr>
      <w:rFonts w:ascii="Arial" w:eastAsia="Times New Roman" w:hAnsi="Arial" w:cs="Times New Roman"/>
      <w:sz w:val="20"/>
      <w:szCs w:val="20"/>
      <w:lang w:val="de-CH" w:eastAsia="de-CH"/>
    </w:rPr>
  </w:style>
  <w:style w:type="paragraph" w:styleId="Listennummer3">
    <w:name w:val="List Number 3"/>
    <w:basedOn w:val="Standard"/>
    <w:rsid w:val="005B17D7"/>
    <w:pPr>
      <w:numPr>
        <w:numId w:val="5"/>
      </w:numPr>
      <w:spacing w:line="260" w:lineRule="exact"/>
    </w:pPr>
  </w:style>
  <w:style w:type="paragraph" w:customStyle="1" w:styleId="FormatvorlageAbsatzNach2ptKastenEinfacheeinfarbigeLinieAut">
    <w:name w:val="Formatvorlage Absatz + Nach:  2 pt Kasten: (Einfache einfarbige Linie Aut..."/>
    <w:basedOn w:val="Absatz"/>
    <w:rsid w:val="005B17D7"/>
    <w:pPr>
      <w:pBdr>
        <w:top w:val="single" w:sz="4" w:space="1" w:color="auto"/>
        <w:left w:val="single" w:sz="4" w:space="4" w:color="auto"/>
        <w:bottom w:val="single" w:sz="4" w:space="1" w:color="auto"/>
        <w:right w:val="single" w:sz="4" w:space="4" w:color="auto"/>
      </w:pBdr>
      <w:shd w:val="clear" w:color="auto" w:fill="F2F2F2"/>
      <w:spacing w:after="40"/>
    </w:pPr>
  </w:style>
  <w:style w:type="paragraph" w:customStyle="1" w:styleId="Formatvorlage8ptLinks0cmHngend1cm">
    <w:name w:val="Formatvorlage 8 pt Links:  0 cm Hängend:  1 cm"/>
    <w:basedOn w:val="Standard"/>
    <w:rsid w:val="005B17D7"/>
    <w:pPr>
      <w:spacing w:before="80" w:line="220" w:lineRule="exact"/>
      <w:ind w:left="567" w:hanging="567"/>
    </w:pPr>
    <w:rPr>
      <w:sz w:val="16"/>
    </w:rPr>
  </w:style>
  <w:style w:type="table" w:customStyle="1" w:styleId="MittlereSchattierung2-Akzent12">
    <w:name w:val="Mittlere Schattierung 2 - Akzent 12"/>
    <w:basedOn w:val="NormaleTabelle"/>
    <w:uiPriority w:val="64"/>
    <w:rsid w:val="005B17D7"/>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Buchtitel">
    <w:name w:val="Book Title"/>
    <w:uiPriority w:val="33"/>
    <w:qFormat/>
    <w:rsid w:val="005B17D7"/>
    <w:rPr>
      <w:b/>
      <w:bCs/>
      <w:smallCaps/>
      <w:spacing w:val="5"/>
    </w:rPr>
  </w:style>
  <w:style w:type="paragraph" w:customStyle="1" w:styleId="ListeAlphabet">
    <w:name w:val="Liste Alphabet"/>
    <w:basedOn w:val="berschrift1"/>
    <w:rsid w:val="005B17D7"/>
    <w:pPr>
      <w:widowControl w:val="0"/>
      <w:numPr>
        <w:numId w:val="6"/>
      </w:numPr>
      <w:tabs>
        <w:tab w:val="left" w:pos="737"/>
      </w:tabs>
      <w:spacing w:line="260" w:lineRule="exact"/>
    </w:pPr>
    <w:rPr>
      <w:rFonts w:cs="Times New Roman"/>
      <w:b w:val="0"/>
    </w:rPr>
  </w:style>
  <w:style w:type="paragraph" w:customStyle="1" w:styleId="Punkt">
    <w:name w:val="Punkt"/>
    <w:rsid w:val="005B17D7"/>
    <w:pPr>
      <w:numPr>
        <w:numId w:val="7"/>
      </w:numPr>
      <w:spacing w:after="240" w:line="260" w:lineRule="exact"/>
    </w:pPr>
    <w:rPr>
      <w:rFonts w:ascii="Arial" w:eastAsia="Times New Roman" w:hAnsi="Arial" w:cs="Times New Roman"/>
      <w:sz w:val="20"/>
      <w:szCs w:val="20"/>
      <w:lang w:val="de-CH" w:eastAsia="de-CH"/>
    </w:rPr>
  </w:style>
  <w:style w:type="paragraph" w:customStyle="1" w:styleId="berschrift40">
    <w:name w:val="Überschrift4"/>
    <w:basedOn w:val="Listennummer3"/>
    <w:link w:val="berschrift4Zchn0"/>
    <w:rsid w:val="005B17D7"/>
    <w:pPr>
      <w:numPr>
        <w:numId w:val="0"/>
      </w:numPr>
    </w:pPr>
    <w:rPr>
      <w:b/>
    </w:rPr>
  </w:style>
  <w:style w:type="character" w:customStyle="1" w:styleId="berschrift4Zchn0">
    <w:name w:val="Überschrift4 Zchn"/>
    <w:link w:val="berschrift40"/>
    <w:rsid w:val="005B17D7"/>
    <w:rPr>
      <w:rFonts w:ascii="Arial" w:eastAsia="Times New Roman" w:hAnsi="Arial" w:cs="Times New Roman"/>
      <w:b/>
      <w:sz w:val="20"/>
      <w:szCs w:val="20"/>
      <w:lang w:val="de-CH" w:eastAsia="de-CH"/>
    </w:rPr>
  </w:style>
  <w:style w:type="character" w:customStyle="1" w:styleId="TabTextZchn">
    <w:name w:val="Tab Text Zchn"/>
    <w:link w:val="TabText"/>
    <w:rsid w:val="005B17D7"/>
    <w:rPr>
      <w:rFonts w:ascii="Arial Narrow" w:hAnsi="Arial Narrow" w:cs="Arial"/>
      <w:sz w:val="18"/>
      <w:lang w:val="de-CH"/>
    </w:rPr>
  </w:style>
  <w:style w:type="paragraph" w:customStyle="1" w:styleId="TabText">
    <w:name w:val="Tab Text"/>
    <w:link w:val="TabTextZchn"/>
    <w:rsid w:val="005B17D7"/>
    <w:pPr>
      <w:spacing w:after="0" w:line="220" w:lineRule="exact"/>
    </w:pPr>
    <w:rPr>
      <w:rFonts w:ascii="Arial Narrow" w:hAnsi="Arial Narrow" w:cs="Arial"/>
      <w:sz w:val="18"/>
      <w:lang w:val="de-CH"/>
    </w:rPr>
  </w:style>
  <w:style w:type="paragraph" w:customStyle="1" w:styleId="TabTitel">
    <w:name w:val="Tab Titel"/>
    <w:basedOn w:val="TabText"/>
    <w:link w:val="TabTitelZchn"/>
    <w:rsid w:val="005B17D7"/>
    <w:rPr>
      <w:b/>
      <w:bCs/>
    </w:rPr>
  </w:style>
  <w:style w:type="character" w:customStyle="1" w:styleId="TabTitelZchn">
    <w:name w:val="Tab Titel Zchn"/>
    <w:link w:val="TabTitel"/>
    <w:rsid w:val="005B17D7"/>
    <w:rPr>
      <w:rFonts w:ascii="Arial Narrow" w:hAnsi="Arial Narrow" w:cs="Arial"/>
      <w:b/>
      <w:bCs/>
      <w:sz w:val="18"/>
      <w:lang w:val="de-CH"/>
    </w:rPr>
  </w:style>
  <w:style w:type="paragraph" w:customStyle="1" w:styleId="Tabtextnum">
    <w:name w:val="Tab text num"/>
    <w:basedOn w:val="TabText"/>
    <w:rsid w:val="005B17D7"/>
    <w:pPr>
      <w:tabs>
        <w:tab w:val="left" w:pos="284"/>
      </w:tabs>
      <w:ind w:left="284" w:hanging="284"/>
    </w:pPr>
  </w:style>
  <w:style w:type="paragraph" w:customStyle="1" w:styleId="FormatvorlagePunktKastenEinfacheeinfarbigeLinieAutomatisch05">
    <w:name w:val="Formatvorlage Punkt + Kasten: (Einfache einfarbige Linie Automatisch  0.5..."/>
    <w:basedOn w:val="Punkt"/>
    <w:rsid w:val="005B17D7"/>
    <w:pPr>
      <w:pBdr>
        <w:top w:val="single" w:sz="4" w:space="1" w:color="auto"/>
        <w:left w:val="single" w:sz="4" w:space="4" w:color="auto"/>
        <w:bottom w:val="single" w:sz="4" w:space="1" w:color="auto"/>
        <w:right w:val="single" w:sz="4" w:space="4" w:color="auto"/>
      </w:pBdr>
      <w:shd w:val="clear" w:color="auto" w:fill="F2F2F2"/>
    </w:pPr>
  </w:style>
  <w:style w:type="paragraph" w:customStyle="1" w:styleId="FormatvorlagePunktNach2ptKastenEinfacheeinfarbigeLinieAuto">
    <w:name w:val="Formatvorlage Punkt + Nach:  2 pt Kasten: (Einfache einfarbige Linie Auto..."/>
    <w:basedOn w:val="Punkt"/>
    <w:rsid w:val="005B17D7"/>
    <w:pPr>
      <w:pBdr>
        <w:top w:val="single" w:sz="4" w:space="1" w:color="auto"/>
        <w:left w:val="single" w:sz="4" w:space="4" w:color="auto"/>
        <w:bottom w:val="single" w:sz="4" w:space="1" w:color="auto"/>
        <w:right w:val="single" w:sz="4" w:space="4" w:color="auto"/>
      </w:pBdr>
      <w:shd w:val="clear" w:color="auto" w:fill="F2F2F2"/>
      <w:spacing w:after="40"/>
    </w:pPr>
  </w:style>
  <w:style w:type="paragraph" w:customStyle="1" w:styleId="FormatvorlageTabTitelVor5ptNach5ptMusterTransparentGra">
    <w:name w:val="Formatvorlage Tab Titel + Vor:  5 pt Nach:  5 pt Muster: Transparent (Gra..."/>
    <w:basedOn w:val="TabTitel"/>
    <w:rsid w:val="005B17D7"/>
    <w:pPr>
      <w:shd w:val="clear" w:color="auto" w:fill="F2F2F2"/>
      <w:spacing w:before="100" w:after="120"/>
    </w:pPr>
    <w:rPr>
      <w:rFonts w:cs="Times New Roman"/>
    </w:rPr>
  </w:style>
  <w:style w:type="paragraph" w:styleId="Verzeichnis3">
    <w:name w:val="toc 3"/>
    <w:basedOn w:val="Standard"/>
    <w:next w:val="Standard"/>
    <w:autoRedefine/>
    <w:uiPriority w:val="39"/>
    <w:qFormat/>
    <w:rsid w:val="00AD2CA5"/>
    <w:pPr>
      <w:tabs>
        <w:tab w:val="left" w:pos="1418"/>
        <w:tab w:val="right" w:leader="dot" w:pos="9061"/>
      </w:tabs>
      <w:ind w:left="1701" w:hanging="850"/>
    </w:pPr>
    <w:rPr>
      <w:noProof/>
      <w:sz w:val="19"/>
      <w:szCs w:val="19"/>
    </w:rPr>
  </w:style>
  <w:style w:type="paragraph" w:customStyle="1" w:styleId="Struktur1">
    <w:name w:val="Struktur 1"/>
    <w:rsid w:val="005B17D7"/>
    <w:pPr>
      <w:tabs>
        <w:tab w:val="left" w:pos="567"/>
      </w:tabs>
      <w:spacing w:before="80" w:after="0" w:line="200" w:lineRule="exact"/>
      <w:ind w:left="567" w:hanging="357"/>
      <w:jc w:val="both"/>
    </w:pPr>
    <w:rPr>
      <w:rFonts w:ascii="Times New Roman" w:eastAsia="Times New Roman" w:hAnsi="Times New Roman" w:cs="Times New Roman"/>
      <w:sz w:val="18"/>
      <w:szCs w:val="20"/>
      <w:lang w:val="de-CH" w:eastAsia="de-DE"/>
    </w:rPr>
  </w:style>
  <w:style w:type="paragraph" w:customStyle="1" w:styleId="Problemstellung">
    <w:name w:val="Problemstellung"/>
    <w:basedOn w:val="Standard"/>
    <w:rsid w:val="005B17D7"/>
    <w:pPr>
      <w:tabs>
        <w:tab w:val="left" w:pos="284"/>
      </w:tabs>
    </w:pPr>
  </w:style>
  <w:style w:type="paragraph" w:styleId="berarbeitung">
    <w:name w:val="Revision"/>
    <w:hidden/>
    <w:uiPriority w:val="99"/>
    <w:semiHidden/>
    <w:rsid w:val="005B17D7"/>
    <w:pPr>
      <w:spacing w:after="0" w:line="240" w:lineRule="auto"/>
    </w:pPr>
    <w:rPr>
      <w:rFonts w:ascii="Arial" w:eastAsia="Times New Roman" w:hAnsi="Arial" w:cs="Times New Roman"/>
      <w:sz w:val="20"/>
      <w:szCs w:val="20"/>
      <w:lang w:val="de-CH" w:eastAsia="de-CH"/>
    </w:rPr>
  </w:style>
  <w:style w:type="table" w:styleId="MittlereSchattierung2-Akzent1">
    <w:name w:val="Medium Shading 2 Accent 1"/>
    <w:basedOn w:val="NormaleTabelle"/>
    <w:uiPriority w:val="64"/>
    <w:rsid w:val="005B17D7"/>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Beschriftung">
    <w:name w:val="caption"/>
    <w:basedOn w:val="Standard"/>
    <w:next w:val="Standard"/>
    <w:unhideWhenUsed/>
    <w:qFormat/>
    <w:rsid w:val="00263E47"/>
    <w:pPr>
      <w:spacing w:after="240"/>
    </w:pPr>
    <w:rPr>
      <w:bCs/>
    </w:rPr>
  </w:style>
  <w:style w:type="paragraph" w:styleId="Endnotentext">
    <w:name w:val="endnote text"/>
    <w:basedOn w:val="Standard"/>
    <w:link w:val="EndnotentextZchn"/>
    <w:rsid w:val="005B17D7"/>
  </w:style>
  <w:style w:type="character" w:customStyle="1" w:styleId="EndnotentextZchn">
    <w:name w:val="Endnotentext Zchn"/>
    <w:basedOn w:val="Absatz-Standardschriftart"/>
    <w:link w:val="Endnotentext"/>
    <w:rsid w:val="005B17D7"/>
    <w:rPr>
      <w:rFonts w:ascii="Arial" w:eastAsia="Times New Roman" w:hAnsi="Arial" w:cs="Times New Roman"/>
      <w:sz w:val="20"/>
      <w:szCs w:val="20"/>
      <w:lang w:val="de-CH" w:eastAsia="de-CH"/>
    </w:rPr>
  </w:style>
  <w:style w:type="character" w:styleId="Endnotenzeichen">
    <w:name w:val="endnote reference"/>
    <w:rsid w:val="005B17D7"/>
    <w:rPr>
      <w:vertAlign w:val="superscript"/>
    </w:rPr>
  </w:style>
  <w:style w:type="paragraph" w:customStyle="1" w:styleId="Default">
    <w:name w:val="Default"/>
    <w:rsid w:val="005B17D7"/>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ListePunkt">
    <w:name w:val="Liste_Punkt"/>
    <w:basedOn w:val="Standard"/>
    <w:rsid w:val="00EB407A"/>
    <w:pPr>
      <w:numPr>
        <w:numId w:val="8"/>
      </w:numPr>
      <w:tabs>
        <w:tab w:val="clear" w:pos="785"/>
      </w:tabs>
      <w:spacing w:after="240" w:line="280" w:lineRule="atLeast"/>
      <w:ind w:left="680" w:hanging="340"/>
    </w:pPr>
    <w:rPr>
      <w:sz w:val="22"/>
      <w:lang w:eastAsia="de-DE"/>
    </w:rPr>
  </w:style>
  <w:style w:type="paragraph" w:customStyle="1" w:styleId="Tabellenkopf">
    <w:name w:val="Tabellenkopf"/>
    <w:basedOn w:val="Standard"/>
    <w:rsid w:val="00EB407A"/>
    <w:pPr>
      <w:spacing w:before="60" w:after="60" w:line="240" w:lineRule="auto"/>
    </w:pPr>
    <w:rPr>
      <w:b/>
      <w:lang w:eastAsia="de-DE"/>
    </w:rPr>
  </w:style>
  <w:style w:type="paragraph" w:customStyle="1" w:styleId="Tabellenkrper">
    <w:name w:val="Tabellenkörper"/>
    <w:basedOn w:val="Standard"/>
    <w:rsid w:val="00EB407A"/>
    <w:pPr>
      <w:spacing w:before="60" w:after="60" w:line="240" w:lineRule="auto"/>
    </w:pPr>
    <w:rPr>
      <w:lang w:eastAsia="de-DE"/>
    </w:rPr>
  </w:style>
  <w:style w:type="table" w:styleId="Gitternetztabelle3">
    <w:name w:val="Grid Table 3"/>
    <w:basedOn w:val="NormaleTabelle"/>
    <w:uiPriority w:val="48"/>
    <w:rsid w:val="00B06B8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tternetztabelle6farbig">
    <w:name w:val="Grid Table 6 Colorful"/>
    <w:basedOn w:val="NormaleTabelle"/>
    <w:uiPriority w:val="51"/>
    <w:rsid w:val="0015364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5dunkelAkzent1">
    <w:name w:val="Grid Table 5 Dark Accent 1"/>
    <w:basedOn w:val="NormaleTabelle"/>
    <w:uiPriority w:val="50"/>
    <w:rsid w:val="00DE26A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bbildung">
    <w:name w:val="Abbildung"/>
    <w:basedOn w:val="Standard"/>
    <w:link w:val="AbbildungCarattere"/>
    <w:qFormat/>
    <w:rsid w:val="0030777D"/>
    <w:pPr>
      <w:spacing w:before="60" w:line="271" w:lineRule="auto"/>
      <w:jc w:val="both"/>
    </w:pPr>
    <w:rPr>
      <w:sz w:val="16"/>
    </w:rPr>
  </w:style>
  <w:style w:type="paragraph" w:customStyle="1" w:styleId="UntertitelohneNummerierung">
    <w:name w:val="Untertitel ohne Nummerierung"/>
    <w:basedOn w:val="Listenabsatz"/>
    <w:link w:val="UntertitelohneNummerierungCarattere"/>
    <w:qFormat/>
    <w:rsid w:val="00F803A7"/>
    <w:pPr>
      <w:widowControl w:val="0"/>
      <w:spacing w:before="180" w:after="60"/>
      <w:ind w:left="0"/>
      <w:jc w:val="both"/>
    </w:pPr>
    <w:rPr>
      <w:b/>
      <w:i w:val="0"/>
    </w:rPr>
  </w:style>
  <w:style w:type="character" w:customStyle="1" w:styleId="AbbildungCarattere">
    <w:name w:val="Abbildung Carattere"/>
    <w:basedOn w:val="Absatz-Standardschriftart"/>
    <w:link w:val="Abbildung"/>
    <w:rsid w:val="0030777D"/>
    <w:rPr>
      <w:rFonts w:ascii="Arial" w:eastAsia="Times New Roman" w:hAnsi="Arial" w:cs="Times New Roman"/>
      <w:sz w:val="16"/>
      <w:szCs w:val="20"/>
      <w:lang w:val="de-CH" w:eastAsia="de-CH"/>
    </w:rPr>
  </w:style>
  <w:style w:type="character" w:customStyle="1" w:styleId="ListenabsatzZchn">
    <w:name w:val="Listenabsatz Zchn"/>
    <w:basedOn w:val="Absatz-Standardschriftart"/>
    <w:link w:val="Listenabsatz"/>
    <w:uiPriority w:val="34"/>
    <w:rsid w:val="007B6D92"/>
    <w:rPr>
      <w:rFonts w:ascii="Arial" w:eastAsia="Times New Roman" w:hAnsi="Arial" w:cs="Times New Roman"/>
      <w:i/>
      <w:sz w:val="20"/>
      <w:szCs w:val="20"/>
      <w:lang w:val="de-CH" w:eastAsia="de-CH"/>
    </w:rPr>
  </w:style>
  <w:style w:type="character" w:customStyle="1" w:styleId="UntertitelohneNummerierungCarattere">
    <w:name w:val="Untertitel ohne Nummerierung Carattere"/>
    <w:basedOn w:val="ListenabsatzZchn"/>
    <w:link w:val="UntertitelohneNummerierung"/>
    <w:rsid w:val="00F803A7"/>
    <w:rPr>
      <w:rFonts w:ascii="Arial" w:eastAsia="Times New Roman" w:hAnsi="Arial" w:cs="Times New Roman"/>
      <w:b/>
      <w:i w:val="0"/>
      <w:sz w:val="20"/>
      <w:szCs w:val="20"/>
      <w:lang w:val="de-CH" w:eastAsia="de-CH"/>
    </w:rPr>
  </w:style>
  <w:style w:type="character" w:styleId="BesuchterLink">
    <w:name w:val="FollowedHyperlink"/>
    <w:basedOn w:val="Absatz-Standardschriftart"/>
    <w:uiPriority w:val="99"/>
    <w:semiHidden/>
    <w:unhideWhenUsed/>
    <w:rsid w:val="00CD7C7B"/>
    <w:rPr>
      <w:color w:val="954F72" w:themeColor="followedHyperlink"/>
      <w:u w:val="single"/>
    </w:rPr>
  </w:style>
  <w:style w:type="character" w:customStyle="1" w:styleId="st1">
    <w:name w:val="st1"/>
    <w:basedOn w:val="Absatz-Standardschriftart"/>
    <w:rsid w:val="00FE0716"/>
  </w:style>
  <w:style w:type="character" w:customStyle="1" w:styleId="webteasertext2">
    <w:name w:val="webteasertext2"/>
    <w:basedOn w:val="Absatz-Standardschriftart"/>
    <w:rsid w:val="00E15585"/>
    <w:rPr>
      <w:b w:val="0"/>
      <w:bCs w:val="0"/>
      <w:sz w:val="22"/>
      <w:szCs w:val="22"/>
    </w:rPr>
  </w:style>
  <w:style w:type="paragraph" w:styleId="StandardWeb">
    <w:name w:val="Normal (Web)"/>
    <w:basedOn w:val="Standard"/>
    <w:uiPriority w:val="99"/>
    <w:unhideWhenUsed/>
    <w:rsid w:val="0079752F"/>
    <w:rPr>
      <w:rFonts w:ascii="Times New Roman" w:hAnsi="Times New Roman"/>
      <w:sz w:val="24"/>
      <w:szCs w:val="24"/>
    </w:rPr>
  </w:style>
  <w:style w:type="character" w:customStyle="1" w:styleId="trn">
    <w:name w:val="trn"/>
    <w:basedOn w:val="Absatz-Standardschriftart"/>
    <w:rsid w:val="001D244A"/>
  </w:style>
  <w:style w:type="paragraph" w:styleId="Aufzhlungszeichen">
    <w:name w:val="List Bullet"/>
    <w:basedOn w:val="Standard"/>
    <w:uiPriority w:val="99"/>
    <w:unhideWhenUsed/>
    <w:rsid w:val="00BD4DF2"/>
    <w:pPr>
      <w:numPr>
        <w:numId w:val="9"/>
      </w:numPr>
      <w:contextualSpacing/>
    </w:pPr>
  </w:style>
  <w:style w:type="paragraph" w:styleId="Blocktext">
    <w:name w:val="Block Text"/>
    <w:basedOn w:val="Standard"/>
    <w:qFormat/>
    <w:rsid w:val="00664DCD"/>
    <w:pPr>
      <w:adjustRightInd w:val="0"/>
      <w:snapToGrid w:val="0"/>
      <w:spacing w:after="140" w:line="280" w:lineRule="atLeast"/>
    </w:pPr>
    <w:rPr>
      <w:szCs w:val="24"/>
    </w:rPr>
  </w:style>
  <w:style w:type="paragraph" w:styleId="Liste">
    <w:name w:val="List"/>
    <w:basedOn w:val="Standard"/>
    <w:uiPriority w:val="99"/>
    <w:semiHidden/>
    <w:unhideWhenUsed/>
    <w:rsid w:val="000B144E"/>
    <w:pPr>
      <w:ind w:left="283" w:hanging="283"/>
      <w:contextualSpacing/>
    </w:pPr>
  </w:style>
  <w:style w:type="paragraph" w:styleId="KeinLeerraum">
    <w:name w:val="No Spacing"/>
    <w:uiPriority w:val="1"/>
    <w:qFormat/>
    <w:rsid w:val="00CF6E9D"/>
    <w:pPr>
      <w:widowControl w:val="0"/>
      <w:spacing w:after="60" w:line="276" w:lineRule="auto"/>
      <w:ind w:left="227" w:hanging="227"/>
    </w:pPr>
    <w:rPr>
      <w:rFonts w:ascii="Arial" w:eastAsia="Calibri" w:hAnsi="Arial" w:cs="Times New Roman"/>
      <w:sz w:val="18"/>
      <w:lang w:val="de-CH"/>
    </w:rPr>
  </w:style>
  <w:style w:type="paragraph" w:customStyle="1" w:styleId="Randziffer">
    <w:name w:val="Randziffer"/>
    <w:basedOn w:val="Standard"/>
    <w:rsid w:val="00EA4B48"/>
    <w:pPr>
      <w:numPr>
        <w:numId w:val="11"/>
      </w:numPr>
      <w:spacing w:before="120" w:line="360" w:lineRule="atLeast"/>
      <w:jc w:val="both"/>
    </w:pPr>
    <w:rPr>
      <w:sz w:val="22"/>
      <w:lang w:eastAsia="de-DE"/>
    </w:rPr>
  </w:style>
  <w:style w:type="character" w:styleId="Fett">
    <w:name w:val="Strong"/>
    <w:basedOn w:val="Absatz-Standardschriftart"/>
    <w:uiPriority w:val="22"/>
    <w:qFormat/>
    <w:rsid w:val="00FE34CE"/>
    <w:rPr>
      <w:b/>
      <w:bCs/>
    </w:rPr>
  </w:style>
  <w:style w:type="character" w:customStyle="1" w:styleId="expandercomparator6">
    <w:name w:val="expandercomparator6"/>
    <w:basedOn w:val="Absatz-Standardschriftart"/>
    <w:rsid w:val="00FE34CE"/>
  </w:style>
  <w:style w:type="character" w:customStyle="1" w:styleId="context-menu7">
    <w:name w:val="context-menu7"/>
    <w:basedOn w:val="Absatz-Standardschriftart"/>
    <w:rsid w:val="00FE34CE"/>
  </w:style>
  <w:style w:type="paragraph" w:styleId="Verzeichnis5">
    <w:name w:val="toc 5"/>
    <w:basedOn w:val="Standard"/>
    <w:next w:val="Standard"/>
    <w:autoRedefine/>
    <w:uiPriority w:val="39"/>
    <w:unhideWhenUsed/>
    <w:rsid w:val="00642BEC"/>
    <w:pPr>
      <w:spacing w:after="100"/>
    </w:pPr>
  </w:style>
  <w:style w:type="paragraph" w:styleId="Verzeichnis7">
    <w:name w:val="toc 7"/>
    <w:basedOn w:val="Standard"/>
    <w:next w:val="Standard"/>
    <w:autoRedefine/>
    <w:uiPriority w:val="39"/>
    <w:semiHidden/>
    <w:unhideWhenUsed/>
    <w:rsid w:val="007143D8"/>
    <w:pPr>
      <w:spacing w:after="100"/>
      <w:ind w:left="1200"/>
    </w:pPr>
  </w:style>
  <w:style w:type="paragraph" w:customStyle="1" w:styleId="footnotedescription">
    <w:name w:val="footnote description"/>
    <w:next w:val="Standard"/>
    <w:link w:val="footnotedescriptionChar"/>
    <w:hidden/>
    <w:rsid w:val="002A14E7"/>
    <w:pPr>
      <w:spacing w:after="53" w:line="281" w:lineRule="auto"/>
      <w:ind w:left="228" w:hanging="228"/>
    </w:pPr>
    <w:rPr>
      <w:rFonts w:ascii="Arial" w:eastAsia="Arial" w:hAnsi="Arial" w:cs="Arial"/>
      <w:color w:val="000000"/>
      <w:sz w:val="18"/>
      <w:lang w:val="de-CH" w:eastAsia="de-CH"/>
    </w:rPr>
  </w:style>
  <w:style w:type="character" w:customStyle="1" w:styleId="footnotedescriptionChar">
    <w:name w:val="footnote description Char"/>
    <w:link w:val="footnotedescription"/>
    <w:rsid w:val="002A14E7"/>
    <w:rPr>
      <w:rFonts w:ascii="Arial" w:eastAsia="Arial" w:hAnsi="Arial" w:cs="Arial"/>
      <w:color w:val="000000"/>
      <w:sz w:val="18"/>
      <w:lang w:val="de-CH" w:eastAsia="de-CH"/>
    </w:rPr>
  </w:style>
  <w:style w:type="character" w:customStyle="1" w:styleId="footnotemark">
    <w:name w:val="footnote mark"/>
    <w:hidden/>
    <w:rsid w:val="002A14E7"/>
    <w:rPr>
      <w:rFonts w:ascii="Arial" w:eastAsia="Arial" w:hAnsi="Arial" w:cs="Arial"/>
      <w:color w:val="000000"/>
      <w:sz w:val="18"/>
      <w:vertAlign w:val="superscript"/>
    </w:rPr>
  </w:style>
  <w:style w:type="character" w:customStyle="1" w:styleId="UnresolvedMention">
    <w:name w:val="Unresolved Mention"/>
    <w:basedOn w:val="Absatz-Standardschriftart"/>
    <w:uiPriority w:val="99"/>
    <w:semiHidden/>
    <w:unhideWhenUsed/>
    <w:rsid w:val="00441F03"/>
    <w:rPr>
      <w:color w:val="605E5C"/>
      <w:shd w:val="clear" w:color="auto" w:fill="E1DFDD"/>
    </w:rPr>
  </w:style>
  <w:style w:type="character" w:styleId="Platzhaltertext">
    <w:name w:val="Placeholder Text"/>
    <w:basedOn w:val="Absatz-Standardschriftart"/>
    <w:uiPriority w:val="99"/>
    <w:semiHidden/>
    <w:rsid w:val="001E3CA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268">
      <w:bodyDiv w:val="1"/>
      <w:marLeft w:val="0"/>
      <w:marRight w:val="0"/>
      <w:marTop w:val="0"/>
      <w:marBottom w:val="0"/>
      <w:divBdr>
        <w:top w:val="none" w:sz="0" w:space="0" w:color="auto"/>
        <w:left w:val="none" w:sz="0" w:space="0" w:color="auto"/>
        <w:bottom w:val="none" w:sz="0" w:space="0" w:color="auto"/>
        <w:right w:val="none" w:sz="0" w:space="0" w:color="auto"/>
      </w:divBdr>
    </w:div>
    <w:div w:id="347871439">
      <w:bodyDiv w:val="1"/>
      <w:marLeft w:val="0"/>
      <w:marRight w:val="0"/>
      <w:marTop w:val="0"/>
      <w:marBottom w:val="0"/>
      <w:divBdr>
        <w:top w:val="none" w:sz="0" w:space="0" w:color="auto"/>
        <w:left w:val="none" w:sz="0" w:space="0" w:color="auto"/>
        <w:bottom w:val="none" w:sz="0" w:space="0" w:color="auto"/>
        <w:right w:val="none" w:sz="0" w:space="0" w:color="auto"/>
      </w:divBdr>
    </w:div>
    <w:div w:id="381952240">
      <w:bodyDiv w:val="1"/>
      <w:marLeft w:val="0"/>
      <w:marRight w:val="0"/>
      <w:marTop w:val="0"/>
      <w:marBottom w:val="0"/>
      <w:divBdr>
        <w:top w:val="none" w:sz="0" w:space="0" w:color="auto"/>
        <w:left w:val="none" w:sz="0" w:space="0" w:color="auto"/>
        <w:bottom w:val="none" w:sz="0" w:space="0" w:color="auto"/>
        <w:right w:val="none" w:sz="0" w:space="0" w:color="auto"/>
      </w:divBdr>
    </w:div>
    <w:div w:id="386607254">
      <w:bodyDiv w:val="1"/>
      <w:marLeft w:val="0"/>
      <w:marRight w:val="0"/>
      <w:marTop w:val="0"/>
      <w:marBottom w:val="0"/>
      <w:divBdr>
        <w:top w:val="none" w:sz="0" w:space="0" w:color="auto"/>
        <w:left w:val="none" w:sz="0" w:space="0" w:color="auto"/>
        <w:bottom w:val="none" w:sz="0" w:space="0" w:color="auto"/>
        <w:right w:val="none" w:sz="0" w:space="0" w:color="auto"/>
      </w:divBdr>
    </w:div>
    <w:div w:id="405954702">
      <w:bodyDiv w:val="1"/>
      <w:marLeft w:val="0"/>
      <w:marRight w:val="0"/>
      <w:marTop w:val="0"/>
      <w:marBottom w:val="0"/>
      <w:divBdr>
        <w:top w:val="none" w:sz="0" w:space="0" w:color="auto"/>
        <w:left w:val="none" w:sz="0" w:space="0" w:color="auto"/>
        <w:bottom w:val="none" w:sz="0" w:space="0" w:color="auto"/>
        <w:right w:val="none" w:sz="0" w:space="0" w:color="auto"/>
      </w:divBdr>
    </w:div>
    <w:div w:id="442961579">
      <w:bodyDiv w:val="1"/>
      <w:marLeft w:val="0"/>
      <w:marRight w:val="0"/>
      <w:marTop w:val="0"/>
      <w:marBottom w:val="0"/>
      <w:divBdr>
        <w:top w:val="none" w:sz="0" w:space="0" w:color="auto"/>
        <w:left w:val="none" w:sz="0" w:space="0" w:color="auto"/>
        <w:bottom w:val="none" w:sz="0" w:space="0" w:color="auto"/>
        <w:right w:val="none" w:sz="0" w:space="0" w:color="auto"/>
      </w:divBdr>
    </w:div>
    <w:div w:id="485517598">
      <w:bodyDiv w:val="1"/>
      <w:marLeft w:val="0"/>
      <w:marRight w:val="0"/>
      <w:marTop w:val="0"/>
      <w:marBottom w:val="0"/>
      <w:divBdr>
        <w:top w:val="none" w:sz="0" w:space="0" w:color="auto"/>
        <w:left w:val="none" w:sz="0" w:space="0" w:color="auto"/>
        <w:bottom w:val="none" w:sz="0" w:space="0" w:color="auto"/>
        <w:right w:val="none" w:sz="0" w:space="0" w:color="auto"/>
      </w:divBdr>
    </w:div>
    <w:div w:id="598297488">
      <w:bodyDiv w:val="1"/>
      <w:marLeft w:val="0"/>
      <w:marRight w:val="0"/>
      <w:marTop w:val="0"/>
      <w:marBottom w:val="0"/>
      <w:divBdr>
        <w:top w:val="none" w:sz="0" w:space="0" w:color="auto"/>
        <w:left w:val="none" w:sz="0" w:space="0" w:color="auto"/>
        <w:bottom w:val="none" w:sz="0" w:space="0" w:color="auto"/>
        <w:right w:val="none" w:sz="0" w:space="0" w:color="auto"/>
      </w:divBdr>
    </w:div>
    <w:div w:id="639504101">
      <w:bodyDiv w:val="1"/>
      <w:marLeft w:val="0"/>
      <w:marRight w:val="0"/>
      <w:marTop w:val="0"/>
      <w:marBottom w:val="0"/>
      <w:divBdr>
        <w:top w:val="none" w:sz="0" w:space="0" w:color="auto"/>
        <w:left w:val="none" w:sz="0" w:space="0" w:color="auto"/>
        <w:bottom w:val="none" w:sz="0" w:space="0" w:color="auto"/>
        <w:right w:val="none" w:sz="0" w:space="0" w:color="auto"/>
      </w:divBdr>
    </w:div>
    <w:div w:id="687297128">
      <w:bodyDiv w:val="1"/>
      <w:marLeft w:val="0"/>
      <w:marRight w:val="0"/>
      <w:marTop w:val="0"/>
      <w:marBottom w:val="0"/>
      <w:divBdr>
        <w:top w:val="none" w:sz="0" w:space="0" w:color="auto"/>
        <w:left w:val="none" w:sz="0" w:space="0" w:color="auto"/>
        <w:bottom w:val="none" w:sz="0" w:space="0" w:color="auto"/>
        <w:right w:val="none" w:sz="0" w:space="0" w:color="auto"/>
      </w:divBdr>
      <w:divsChild>
        <w:div w:id="206421">
          <w:marLeft w:val="0"/>
          <w:marRight w:val="0"/>
          <w:marTop w:val="0"/>
          <w:marBottom w:val="0"/>
          <w:divBdr>
            <w:top w:val="none" w:sz="0" w:space="0" w:color="auto"/>
            <w:left w:val="none" w:sz="0" w:space="0" w:color="auto"/>
            <w:bottom w:val="none" w:sz="0" w:space="0" w:color="auto"/>
            <w:right w:val="none" w:sz="0" w:space="0" w:color="auto"/>
          </w:divBdr>
          <w:divsChild>
            <w:div w:id="1472598334">
              <w:marLeft w:val="0"/>
              <w:marRight w:val="0"/>
              <w:marTop w:val="0"/>
              <w:marBottom w:val="0"/>
              <w:divBdr>
                <w:top w:val="none" w:sz="0" w:space="0" w:color="auto"/>
                <w:left w:val="none" w:sz="0" w:space="0" w:color="auto"/>
                <w:bottom w:val="none" w:sz="0" w:space="0" w:color="auto"/>
                <w:right w:val="none" w:sz="0" w:space="0" w:color="auto"/>
              </w:divBdr>
              <w:divsChild>
                <w:div w:id="1008826412">
                  <w:marLeft w:val="-225"/>
                  <w:marRight w:val="-225"/>
                  <w:marTop w:val="0"/>
                  <w:marBottom w:val="0"/>
                  <w:divBdr>
                    <w:top w:val="none" w:sz="0" w:space="0" w:color="auto"/>
                    <w:left w:val="none" w:sz="0" w:space="0" w:color="auto"/>
                    <w:bottom w:val="none" w:sz="0" w:space="0" w:color="auto"/>
                    <w:right w:val="none" w:sz="0" w:space="0" w:color="auto"/>
                  </w:divBdr>
                  <w:divsChild>
                    <w:div w:id="540674874">
                      <w:marLeft w:val="0"/>
                      <w:marRight w:val="0"/>
                      <w:marTop w:val="0"/>
                      <w:marBottom w:val="0"/>
                      <w:divBdr>
                        <w:top w:val="none" w:sz="0" w:space="0" w:color="auto"/>
                        <w:left w:val="none" w:sz="0" w:space="0" w:color="auto"/>
                        <w:bottom w:val="none" w:sz="0" w:space="0" w:color="auto"/>
                        <w:right w:val="none" w:sz="0" w:space="0" w:color="auto"/>
                      </w:divBdr>
                      <w:divsChild>
                        <w:div w:id="1892422468">
                          <w:marLeft w:val="-225"/>
                          <w:marRight w:val="-225"/>
                          <w:marTop w:val="0"/>
                          <w:marBottom w:val="0"/>
                          <w:divBdr>
                            <w:top w:val="none" w:sz="0" w:space="0" w:color="auto"/>
                            <w:left w:val="none" w:sz="0" w:space="0" w:color="auto"/>
                            <w:bottom w:val="none" w:sz="0" w:space="0" w:color="auto"/>
                            <w:right w:val="none" w:sz="0" w:space="0" w:color="auto"/>
                          </w:divBdr>
                          <w:divsChild>
                            <w:div w:id="2010711176">
                              <w:marLeft w:val="0"/>
                              <w:marRight w:val="0"/>
                              <w:marTop w:val="0"/>
                              <w:marBottom w:val="0"/>
                              <w:divBdr>
                                <w:top w:val="none" w:sz="0" w:space="0" w:color="auto"/>
                                <w:left w:val="none" w:sz="0" w:space="0" w:color="auto"/>
                                <w:bottom w:val="none" w:sz="0" w:space="0" w:color="auto"/>
                                <w:right w:val="none" w:sz="0" w:space="0" w:color="auto"/>
                              </w:divBdr>
                              <w:divsChild>
                                <w:div w:id="1124931035">
                                  <w:marLeft w:val="0"/>
                                  <w:marRight w:val="0"/>
                                  <w:marTop w:val="0"/>
                                  <w:marBottom w:val="0"/>
                                  <w:divBdr>
                                    <w:top w:val="none" w:sz="0" w:space="0" w:color="auto"/>
                                    <w:left w:val="none" w:sz="0" w:space="0" w:color="auto"/>
                                    <w:bottom w:val="none" w:sz="0" w:space="0" w:color="auto"/>
                                    <w:right w:val="none" w:sz="0" w:space="0" w:color="auto"/>
                                  </w:divBdr>
                                  <w:divsChild>
                                    <w:div w:id="533081953">
                                      <w:marLeft w:val="0"/>
                                      <w:marRight w:val="0"/>
                                      <w:marTop w:val="0"/>
                                      <w:marBottom w:val="0"/>
                                      <w:divBdr>
                                        <w:top w:val="none" w:sz="0" w:space="0" w:color="auto"/>
                                        <w:left w:val="none" w:sz="0" w:space="0" w:color="auto"/>
                                        <w:bottom w:val="none" w:sz="0" w:space="0" w:color="auto"/>
                                        <w:right w:val="none" w:sz="0" w:space="0" w:color="auto"/>
                                      </w:divBdr>
                                      <w:divsChild>
                                        <w:div w:id="1879465661">
                                          <w:marLeft w:val="0"/>
                                          <w:marRight w:val="0"/>
                                          <w:marTop w:val="0"/>
                                          <w:marBottom w:val="0"/>
                                          <w:divBdr>
                                            <w:top w:val="none" w:sz="0" w:space="0" w:color="auto"/>
                                            <w:left w:val="none" w:sz="0" w:space="0" w:color="auto"/>
                                            <w:bottom w:val="none" w:sz="0" w:space="0" w:color="auto"/>
                                            <w:right w:val="none" w:sz="0" w:space="0" w:color="auto"/>
                                          </w:divBdr>
                                          <w:divsChild>
                                            <w:div w:id="195580778">
                                              <w:marLeft w:val="0"/>
                                              <w:marRight w:val="0"/>
                                              <w:marTop w:val="0"/>
                                              <w:marBottom w:val="0"/>
                                              <w:divBdr>
                                                <w:top w:val="none" w:sz="0" w:space="0" w:color="auto"/>
                                                <w:left w:val="none" w:sz="0" w:space="0" w:color="auto"/>
                                                <w:bottom w:val="none" w:sz="0" w:space="0" w:color="auto"/>
                                                <w:right w:val="none" w:sz="0" w:space="0" w:color="auto"/>
                                              </w:divBdr>
                                            </w:div>
                                            <w:div w:id="712464596">
                                              <w:marLeft w:val="0"/>
                                              <w:marRight w:val="0"/>
                                              <w:marTop w:val="0"/>
                                              <w:marBottom w:val="0"/>
                                              <w:divBdr>
                                                <w:top w:val="none" w:sz="0" w:space="0" w:color="auto"/>
                                                <w:left w:val="none" w:sz="0" w:space="0" w:color="auto"/>
                                                <w:bottom w:val="none" w:sz="0" w:space="0" w:color="auto"/>
                                                <w:right w:val="none" w:sz="0" w:space="0" w:color="auto"/>
                                              </w:divBdr>
                                            </w:div>
                                            <w:div w:id="1428381963">
                                              <w:marLeft w:val="0"/>
                                              <w:marRight w:val="0"/>
                                              <w:marTop w:val="0"/>
                                              <w:marBottom w:val="0"/>
                                              <w:divBdr>
                                                <w:top w:val="none" w:sz="0" w:space="0" w:color="auto"/>
                                                <w:left w:val="none" w:sz="0" w:space="0" w:color="auto"/>
                                                <w:bottom w:val="none" w:sz="0" w:space="0" w:color="auto"/>
                                                <w:right w:val="none" w:sz="0" w:space="0" w:color="auto"/>
                                              </w:divBdr>
                                            </w:div>
                                            <w:div w:id="2042054039">
                                              <w:marLeft w:val="0"/>
                                              <w:marRight w:val="0"/>
                                              <w:marTop w:val="0"/>
                                              <w:marBottom w:val="0"/>
                                              <w:divBdr>
                                                <w:top w:val="none" w:sz="0" w:space="0" w:color="auto"/>
                                                <w:left w:val="none" w:sz="0" w:space="0" w:color="auto"/>
                                                <w:bottom w:val="none" w:sz="0" w:space="0" w:color="auto"/>
                                                <w:right w:val="none" w:sz="0" w:space="0" w:color="auto"/>
                                              </w:divBdr>
                                            </w:div>
                                            <w:div w:id="1100218609">
                                              <w:marLeft w:val="0"/>
                                              <w:marRight w:val="0"/>
                                              <w:marTop w:val="0"/>
                                              <w:marBottom w:val="0"/>
                                              <w:divBdr>
                                                <w:top w:val="none" w:sz="0" w:space="0" w:color="auto"/>
                                                <w:left w:val="none" w:sz="0" w:space="0" w:color="auto"/>
                                                <w:bottom w:val="none" w:sz="0" w:space="0" w:color="auto"/>
                                                <w:right w:val="none" w:sz="0" w:space="0" w:color="auto"/>
                                              </w:divBdr>
                                            </w:div>
                                            <w:div w:id="829098749">
                                              <w:marLeft w:val="0"/>
                                              <w:marRight w:val="0"/>
                                              <w:marTop w:val="0"/>
                                              <w:marBottom w:val="0"/>
                                              <w:divBdr>
                                                <w:top w:val="none" w:sz="0" w:space="0" w:color="auto"/>
                                                <w:left w:val="none" w:sz="0" w:space="0" w:color="auto"/>
                                                <w:bottom w:val="none" w:sz="0" w:space="0" w:color="auto"/>
                                                <w:right w:val="none" w:sz="0" w:space="0" w:color="auto"/>
                                              </w:divBdr>
                                              <w:divsChild>
                                                <w:div w:id="807287840">
                                                  <w:marLeft w:val="0"/>
                                                  <w:marRight w:val="0"/>
                                                  <w:marTop w:val="0"/>
                                                  <w:marBottom w:val="0"/>
                                                  <w:divBdr>
                                                    <w:top w:val="none" w:sz="0" w:space="0" w:color="auto"/>
                                                    <w:left w:val="none" w:sz="0" w:space="0" w:color="auto"/>
                                                    <w:bottom w:val="none" w:sz="0" w:space="0" w:color="auto"/>
                                                    <w:right w:val="none" w:sz="0" w:space="0" w:color="auto"/>
                                                  </w:divBdr>
                                                </w:div>
                                              </w:divsChild>
                                            </w:div>
                                            <w:div w:id="668600692">
                                              <w:marLeft w:val="0"/>
                                              <w:marRight w:val="0"/>
                                              <w:marTop w:val="0"/>
                                              <w:marBottom w:val="0"/>
                                              <w:divBdr>
                                                <w:top w:val="none" w:sz="0" w:space="0" w:color="auto"/>
                                                <w:left w:val="none" w:sz="0" w:space="0" w:color="auto"/>
                                                <w:bottom w:val="none" w:sz="0" w:space="0" w:color="auto"/>
                                                <w:right w:val="none" w:sz="0" w:space="0" w:color="auto"/>
                                              </w:divBdr>
                                            </w:div>
                                            <w:div w:id="94754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3334822">
      <w:bodyDiv w:val="1"/>
      <w:marLeft w:val="0"/>
      <w:marRight w:val="0"/>
      <w:marTop w:val="0"/>
      <w:marBottom w:val="0"/>
      <w:divBdr>
        <w:top w:val="none" w:sz="0" w:space="0" w:color="auto"/>
        <w:left w:val="none" w:sz="0" w:space="0" w:color="auto"/>
        <w:bottom w:val="none" w:sz="0" w:space="0" w:color="auto"/>
        <w:right w:val="none" w:sz="0" w:space="0" w:color="auto"/>
      </w:divBdr>
    </w:div>
    <w:div w:id="860825179">
      <w:bodyDiv w:val="1"/>
      <w:marLeft w:val="0"/>
      <w:marRight w:val="0"/>
      <w:marTop w:val="0"/>
      <w:marBottom w:val="0"/>
      <w:divBdr>
        <w:top w:val="none" w:sz="0" w:space="0" w:color="auto"/>
        <w:left w:val="none" w:sz="0" w:space="0" w:color="auto"/>
        <w:bottom w:val="none" w:sz="0" w:space="0" w:color="auto"/>
        <w:right w:val="none" w:sz="0" w:space="0" w:color="auto"/>
      </w:divBdr>
    </w:div>
    <w:div w:id="880244765">
      <w:bodyDiv w:val="1"/>
      <w:marLeft w:val="0"/>
      <w:marRight w:val="0"/>
      <w:marTop w:val="0"/>
      <w:marBottom w:val="0"/>
      <w:divBdr>
        <w:top w:val="none" w:sz="0" w:space="0" w:color="auto"/>
        <w:left w:val="none" w:sz="0" w:space="0" w:color="auto"/>
        <w:bottom w:val="none" w:sz="0" w:space="0" w:color="auto"/>
        <w:right w:val="none" w:sz="0" w:space="0" w:color="auto"/>
      </w:divBdr>
    </w:div>
    <w:div w:id="909969546">
      <w:bodyDiv w:val="1"/>
      <w:marLeft w:val="0"/>
      <w:marRight w:val="0"/>
      <w:marTop w:val="0"/>
      <w:marBottom w:val="0"/>
      <w:divBdr>
        <w:top w:val="none" w:sz="0" w:space="0" w:color="auto"/>
        <w:left w:val="none" w:sz="0" w:space="0" w:color="auto"/>
        <w:bottom w:val="none" w:sz="0" w:space="0" w:color="auto"/>
        <w:right w:val="none" w:sz="0" w:space="0" w:color="auto"/>
      </w:divBdr>
    </w:div>
    <w:div w:id="994184812">
      <w:bodyDiv w:val="1"/>
      <w:marLeft w:val="0"/>
      <w:marRight w:val="0"/>
      <w:marTop w:val="0"/>
      <w:marBottom w:val="0"/>
      <w:divBdr>
        <w:top w:val="none" w:sz="0" w:space="0" w:color="auto"/>
        <w:left w:val="none" w:sz="0" w:space="0" w:color="auto"/>
        <w:bottom w:val="none" w:sz="0" w:space="0" w:color="auto"/>
        <w:right w:val="none" w:sz="0" w:space="0" w:color="auto"/>
      </w:divBdr>
    </w:div>
    <w:div w:id="1009255250">
      <w:bodyDiv w:val="1"/>
      <w:marLeft w:val="0"/>
      <w:marRight w:val="0"/>
      <w:marTop w:val="0"/>
      <w:marBottom w:val="0"/>
      <w:divBdr>
        <w:top w:val="none" w:sz="0" w:space="0" w:color="auto"/>
        <w:left w:val="none" w:sz="0" w:space="0" w:color="auto"/>
        <w:bottom w:val="none" w:sz="0" w:space="0" w:color="auto"/>
        <w:right w:val="none" w:sz="0" w:space="0" w:color="auto"/>
      </w:divBdr>
    </w:div>
    <w:div w:id="1125540396">
      <w:bodyDiv w:val="1"/>
      <w:marLeft w:val="0"/>
      <w:marRight w:val="0"/>
      <w:marTop w:val="0"/>
      <w:marBottom w:val="0"/>
      <w:divBdr>
        <w:top w:val="none" w:sz="0" w:space="0" w:color="auto"/>
        <w:left w:val="none" w:sz="0" w:space="0" w:color="auto"/>
        <w:bottom w:val="none" w:sz="0" w:space="0" w:color="auto"/>
        <w:right w:val="none" w:sz="0" w:space="0" w:color="auto"/>
      </w:divBdr>
    </w:div>
    <w:div w:id="1162771172">
      <w:bodyDiv w:val="1"/>
      <w:marLeft w:val="0"/>
      <w:marRight w:val="0"/>
      <w:marTop w:val="0"/>
      <w:marBottom w:val="0"/>
      <w:divBdr>
        <w:top w:val="none" w:sz="0" w:space="0" w:color="auto"/>
        <w:left w:val="none" w:sz="0" w:space="0" w:color="auto"/>
        <w:bottom w:val="none" w:sz="0" w:space="0" w:color="auto"/>
        <w:right w:val="none" w:sz="0" w:space="0" w:color="auto"/>
      </w:divBdr>
      <w:divsChild>
        <w:div w:id="1403718539">
          <w:marLeft w:val="547"/>
          <w:marRight w:val="0"/>
          <w:marTop w:val="101"/>
          <w:marBottom w:val="0"/>
          <w:divBdr>
            <w:top w:val="none" w:sz="0" w:space="0" w:color="auto"/>
            <w:left w:val="none" w:sz="0" w:space="0" w:color="auto"/>
            <w:bottom w:val="none" w:sz="0" w:space="0" w:color="auto"/>
            <w:right w:val="none" w:sz="0" w:space="0" w:color="auto"/>
          </w:divBdr>
        </w:div>
        <w:div w:id="653876642">
          <w:marLeft w:val="547"/>
          <w:marRight w:val="0"/>
          <w:marTop w:val="101"/>
          <w:marBottom w:val="0"/>
          <w:divBdr>
            <w:top w:val="none" w:sz="0" w:space="0" w:color="auto"/>
            <w:left w:val="none" w:sz="0" w:space="0" w:color="auto"/>
            <w:bottom w:val="none" w:sz="0" w:space="0" w:color="auto"/>
            <w:right w:val="none" w:sz="0" w:space="0" w:color="auto"/>
          </w:divBdr>
        </w:div>
      </w:divsChild>
    </w:div>
    <w:div w:id="1213158398">
      <w:bodyDiv w:val="1"/>
      <w:marLeft w:val="0"/>
      <w:marRight w:val="0"/>
      <w:marTop w:val="0"/>
      <w:marBottom w:val="0"/>
      <w:divBdr>
        <w:top w:val="none" w:sz="0" w:space="0" w:color="auto"/>
        <w:left w:val="none" w:sz="0" w:space="0" w:color="auto"/>
        <w:bottom w:val="none" w:sz="0" w:space="0" w:color="auto"/>
        <w:right w:val="none" w:sz="0" w:space="0" w:color="auto"/>
      </w:divBdr>
    </w:div>
    <w:div w:id="1255432619">
      <w:bodyDiv w:val="1"/>
      <w:marLeft w:val="0"/>
      <w:marRight w:val="0"/>
      <w:marTop w:val="0"/>
      <w:marBottom w:val="0"/>
      <w:divBdr>
        <w:top w:val="none" w:sz="0" w:space="0" w:color="auto"/>
        <w:left w:val="none" w:sz="0" w:space="0" w:color="auto"/>
        <w:bottom w:val="none" w:sz="0" w:space="0" w:color="auto"/>
        <w:right w:val="none" w:sz="0" w:space="0" w:color="auto"/>
      </w:divBdr>
    </w:div>
    <w:div w:id="1389844807">
      <w:bodyDiv w:val="1"/>
      <w:marLeft w:val="0"/>
      <w:marRight w:val="0"/>
      <w:marTop w:val="0"/>
      <w:marBottom w:val="0"/>
      <w:divBdr>
        <w:top w:val="none" w:sz="0" w:space="0" w:color="auto"/>
        <w:left w:val="none" w:sz="0" w:space="0" w:color="auto"/>
        <w:bottom w:val="none" w:sz="0" w:space="0" w:color="auto"/>
        <w:right w:val="none" w:sz="0" w:space="0" w:color="auto"/>
      </w:divBdr>
      <w:divsChild>
        <w:div w:id="831137323">
          <w:marLeft w:val="0"/>
          <w:marRight w:val="0"/>
          <w:marTop w:val="0"/>
          <w:marBottom w:val="0"/>
          <w:divBdr>
            <w:top w:val="none" w:sz="0" w:space="0" w:color="auto"/>
            <w:left w:val="none" w:sz="0" w:space="0" w:color="auto"/>
            <w:bottom w:val="none" w:sz="0" w:space="0" w:color="auto"/>
            <w:right w:val="none" w:sz="0" w:space="0" w:color="auto"/>
          </w:divBdr>
          <w:divsChild>
            <w:div w:id="1464080650">
              <w:marLeft w:val="0"/>
              <w:marRight w:val="0"/>
              <w:marTop w:val="0"/>
              <w:marBottom w:val="0"/>
              <w:divBdr>
                <w:top w:val="none" w:sz="0" w:space="0" w:color="auto"/>
                <w:left w:val="none" w:sz="0" w:space="0" w:color="auto"/>
                <w:bottom w:val="none" w:sz="0" w:space="0" w:color="auto"/>
                <w:right w:val="none" w:sz="0" w:space="0" w:color="auto"/>
              </w:divBdr>
              <w:divsChild>
                <w:div w:id="1963540156">
                  <w:marLeft w:val="-225"/>
                  <w:marRight w:val="-225"/>
                  <w:marTop w:val="0"/>
                  <w:marBottom w:val="0"/>
                  <w:divBdr>
                    <w:top w:val="none" w:sz="0" w:space="0" w:color="auto"/>
                    <w:left w:val="none" w:sz="0" w:space="0" w:color="auto"/>
                    <w:bottom w:val="none" w:sz="0" w:space="0" w:color="auto"/>
                    <w:right w:val="none" w:sz="0" w:space="0" w:color="auto"/>
                  </w:divBdr>
                  <w:divsChild>
                    <w:div w:id="685861081">
                      <w:marLeft w:val="0"/>
                      <w:marRight w:val="0"/>
                      <w:marTop w:val="0"/>
                      <w:marBottom w:val="0"/>
                      <w:divBdr>
                        <w:top w:val="none" w:sz="0" w:space="0" w:color="auto"/>
                        <w:left w:val="none" w:sz="0" w:space="0" w:color="auto"/>
                        <w:bottom w:val="none" w:sz="0" w:space="0" w:color="auto"/>
                        <w:right w:val="none" w:sz="0" w:space="0" w:color="auto"/>
                      </w:divBdr>
                      <w:divsChild>
                        <w:div w:id="1468354173">
                          <w:marLeft w:val="-225"/>
                          <w:marRight w:val="-225"/>
                          <w:marTop w:val="0"/>
                          <w:marBottom w:val="0"/>
                          <w:divBdr>
                            <w:top w:val="none" w:sz="0" w:space="0" w:color="auto"/>
                            <w:left w:val="none" w:sz="0" w:space="0" w:color="auto"/>
                            <w:bottom w:val="none" w:sz="0" w:space="0" w:color="auto"/>
                            <w:right w:val="none" w:sz="0" w:space="0" w:color="auto"/>
                          </w:divBdr>
                          <w:divsChild>
                            <w:div w:id="1218274046">
                              <w:marLeft w:val="0"/>
                              <w:marRight w:val="0"/>
                              <w:marTop w:val="0"/>
                              <w:marBottom w:val="0"/>
                              <w:divBdr>
                                <w:top w:val="none" w:sz="0" w:space="0" w:color="auto"/>
                                <w:left w:val="none" w:sz="0" w:space="0" w:color="auto"/>
                                <w:bottom w:val="none" w:sz="0" w:space="0" w:color="auto"/>
                                <w:right w:val="none" w:sz="0" w:space="0" w:color="auto"/>
                              </w:divBdr>
                              <w:divsChild>
                                <w:div w:id="308826666">
                                  <w:marLeft w:val="0"/>
                                  <w:marRight w:val="0"/>
                                  <w:marTop w:val="0"/>
                                  <w:marBottom w:val="0"/>
                                  <w:divBdr>
                                    <w:top w:val="none" w:sz="0" w:space="0" w:color="auto"/>
                                    <w:left w:val="none" w:sz="0" w:space="0" w:color="auto"/>
                                    <w:bottom w:val="none" w:sz="0" w:space="0" w:color="auto"/>
                                    <w:right w:val="none" w:sz="0" w:space="0" w:color="auto"/>
                                  </w:divBdr>
                                  <w:divsChild>
                                    <w:div w:id="136343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422208">
      <w:bodyDiv w:val="1"/>
      <w:marLeft w:val="0"/>
      <w:marRight w:val="0"/>
      <w:marTop w:val="0"/>
      <w:marBottom w:val="0"/>
      <w:divBdr>
        <w:top w:val="none" w:sz="0" w:space="0" w:color="auto"/>
        <w:left w:val="none" w:sz="0" w:space="0" w:color="auto"/>
        <w:bottom w:val="none" w:sz="0" w:space="0" w:color="auto"/>
        <w:right w:val="none" w:sz="0" w:space="0" w:color="auto"/>
      </w:divBdr>
    </w:div>
    <w:div w:id="1421950628">
      <w:bodyDiv w:val="1"/>
      <w:marLeft w:val="0"/>
      <w:marRight w:val="0"/>
      <w:marTop w:val="0"/>
      <w:marBottom w:val="0"/>
      <w:divBdr>
        <w:top w:val="none" w:sz="0" w:space="0" w:color="auto"/>
        <w:left w:val="none" w:sz="0" w:space="0" w:color="auto"/>
        <w:bottom w:val="none" w:sz="0" w:space="0" w:color="auto"/>
        <w:right w:val="none" w:sz="0" w:space="0" w:color="auto"/>
      </w:divBdr>
    </w:div>
    <w:div w:id="1449930057">
      <w:bodyDiv w:val="1"/>
      <w:marLeft w:val="0"/>
      <w:marRight w:val="0"/>
      <w:marTop w:val="0"/>
      <w:marBottom w:val="0"/>
      <w:divBdr>
        <w:top w:val="none" w:sz="0" w:space="0" w:color="auto"/>
        <w:left w:val="none" w:sz="0" w:space="0" w:color="auto"/>
        <w:bottom w:val="none" w:sz="0" w:space="0" w:color="auto"/>
        <w:right w:val="none" w:sz="0" w:space="0" w:color="auto"/>
      </w:divBdr>
    </w:div>
    <w:div w:id="1730810089">
      <w:bodyDiv w:val="1"/>
      <w:marLeft w:val="0"/>
      <w:marRight w:val="0"/>
      <w:marTop w:val="0"/>
      <w:marBottom w:val="0"/>
      <w:divBdr>
        <w:top w:val="none" w:sz="0" w:space="0" w:color="auto"/>
        <w:left w:val="none" w:sz="0" w:space="0" w:color="auto"/>
        <w:bottom w:val="none" w:sz="0" w:space="0" w:color="auto"/>
        <w:right w:val="none" w:sz="0" w:space="0" w:color="auto"/>
      </w:divBdr>
    </w:div>
    <w:div w:id="1748267513">
      <w:bodyDiv w:val="1"/>
      <w:marLeft w:val="0"/>
      <w:marRight w:val="0"/>
      <w:marTop w:val="0"/>
      <w:marBottom w:val="0"/>
      <w:divBdr>
        <w:top w:val="none" w:sz="0" w:space="0" w:color="auto"/>
        <w:left w:val="none" w:sz="0" w:space="0" w:color="auto"/>
        <w:bottom w:val="none" w:sz="0" w:space="0" w:color="auto"/>
        <w:right w:val="none" w:sz="0" w:space="0" w:color="auto"/>
      </w:divBdr>
    </w:div>
    <w:div w:id="1774744330">
      <w:bodyDiv w:val="1"/>
      <w:marLeft w:val="0"/>
      <w:marRight w:val="0"/>
      <w:marTop w:val="0"/>
      <w:marBottom w:val="0"/>
      <w:divBdr>
        <w:top w:val="none" w:sz="0" w:space="0" w:color="auto"/>
        <w:left w:val="none" w:sz="0" w:space="0" w:color="auto"/>
        <w:bottom w:val="none" w:sz="0" w:space="0" w:color="auto"/>
        <w:right w:val="none" w:sz="0" w:space="0" w:color="auto"/>
      </w:divBdr>
    </w:div>
    <w:div w:id="1784225518">
      <w:bodyDiv w:val="1"/>
      <w:marLeft w:val="0"/>
      <w:marRight w:val="0"/>
      <w:marTop w:val="0"/>
      <w:marBottom w:val="0"/>
      <w:divBdr>
        <w:top w:val="none" w:sz="0" w:space="0" w:color="auto"/>
        <w:left w:val="none" w:sz="0" w:space="0" w:color="auto"/>
        <w:bottom w:val="none" w:sz="0" w:space="0" w:color="auto"/>
        <w:right w:val="none" w:sz="0" w:space="0" w:color="auto"/>
      </w:divBdr>
      <w:divsChild>
        <w:div w:id="243994169">
          <w:marLeft w:val="446"/>
          <w:marRight w:val="0"/>
          <w:marTop w:val="0"/>
          <w:marBottom w:val="0"/>
          <w:divBdr>
            <w:top w:val="none" w:sz="0" w:space="0" w:color="auto"/>
            <w:left w:val="none" w:sz="0" w:space="0" w:color="auto"/>
            <w:bottom w:val="none" w:sz="0" w:space="0" w:color="auto"/>
            <w:right w:val="none" w:sz="0" w:space="0" w:color="auto"/>
          </w:divBdr>
        </w:div>
        <w:div w:id="486630512">
          <w:marLeft w:val="446"/>
          <w:marRight w:val="0"/>
          <w:marTop w:val="0"/>
          <w:marBottom w:val="0"/>
          <w:divBdr>
            <w:top w:val="none" w:sz="0" w:space="0" w:color="auto"/>
            <w:left w:val="none" w:sz="0" w:space="0" w:color="auto"/>
            <w:bottom w:val="none" w:sz="0" w:space="0" w:color="auto"/>
            <w:right w:val="none" w:sz="0" w:space="0" w:color="auto"/>
          </w:divBdr>
        </w:div>
        <w:div w:id="1146825817">
          <w:marLeft w:val="446"/>
          <w:marRight w:val="0"/>
          <w:marTop w:val="0"/>
          <w:marBottom w:val="0"/>
          <w:divBdr>
            <w:top w:val="none" w:sz="0" w:space="0" w:color="auto"/>
            <w:left w:val="none" w:sz="0" w:space="0" w:color="auto"/>
            <w:bottom w:val="none" w:sz="0" w:space="0" w:color="auto"/>
            <w:right w:val="none" w:sz="0" w:space="0" w:color="auto"/>
          </w:divBdr>
        </w:div>
      </w:divsChild>
    </w:div>
    <w:div w:id="1788814049">
      <w:bodyDiv w:val="1"/>
      <w:marLeft w:val="0"/>
      <w:marRight w:val="0"/>
      <w:marTop w:val="0"/>
      <w:marBottom w:val="0"/>
      <w:divBdr>
        <w:top w:val="none" w:sz="0" w:space="0" w:color="auto"/>
        <w:left w:val="none" w:sz="0" w:space="0" w:color="auto"/>
        <w:bottom w:val="none" w:sz="0" w:space="0" w:color="auto"/>
        <w:right w:val="none" w:sz="0" w:space="0" w:color="auto"/>
      </w:divBdr>
    </w:div>
    <w:div w:id="1798793284">
      <w:bodyDiv w:val="1"/>
      <w:marLeft w:val="0"/>
      <w:marRight w:val="0"/>
      <w:marTop w:val="0"/>
      <w:marBottom w:val="0"/>
      <w:divBdr>
        <w:top w:val="none" w:sz="0" w:space="0" w:color="auto"/>
        <w:left w:val="none" w:sz="0" w:space="0" w:color="auto"/>
        <w:bottom w:val="none" w:sz="0" w:space="0" w:color="auto"/>
        <w:right w:val="none" w:sz="0" w:space="0" w:color="auto"/>
      </w:divBdr>
    </w:div>
    <w:div w:id="1932808359">
      <w:bodyDiv w:val="1"/>
      <w:marLeft w:val="0"/>
      <w:marRight w:val="0"/>
      <w:marTop w:val="0"/>
      <w:marBottom w:val="0"/>
      <w:divBdr>
        <w:top w:val="none" w:sz="0" w:space="0" w:color="auto"/>
        <w:left w:val="none" w:sz="0" w:space="0" w:color="auto"/>
        <w:bottom w:val="none" w:sz="0" w:space="0" w:color="auto"/>
        <w:right w:val="none" w:sz="0" w:space="0" w:color="auto"/>
      </w:divBdr>
    </w:div>
    <w:div w:id="1953241133">
      <w:bodyDiv w:val="1"/>
      <w:marLeft w:val="0"/>
      <w:marRight w:val="0"/>
      <w:marTop w:val="0"/>
      <w:marBottom w:val="0"/>
      <w:divBdr>
        <w:top w:val="none" w:sz="0" w:space="0" w:color="auto"/>
        <w:left w:val="none" w:sz="0" w:space="0" w:color="auto"/>
        <w:bottom w:val="none" w:sz="0" w:space="0" w:color="auto"/>
        <w:right w:val="none" w:sz="0" w:space="0" w:color="auto"/>
      </w:divBdr>
    </w:div>
    <w:div w:id="1975792357">
      <w:bodyDiv w:val="1"/>
      <w:marLeft w:val="0"/>
      <w:marRight w:val="0"/>
      <w:marTop w:val="0"/>
      <w:marBottom w:val="0"/>
      <w:divBdr>
        <w:top w:val="none" w:sz="0" w:space="0" w:color="auto"/>
        <w:left w:val="none" w:sz="0" w:space="0" w:color="auto"/>
        <w:bottom w:val="none" w:sz="0" w:space="0" w:color="auto"/>
        <w:right w:val="none" w:sz="0" w:space="0" w:color="auto"/>
      </w:divBdr>
    </w:div>
    <w:div w:id="1985312215">
      <w:bodyDiv w:val="1"/>
      <w:marLeft w:val="0"/>
      <w:marRight w:val="0"/>
      <w:marTop w:val="0"/>
      <w:marBottom w:val="0"/>
      <w:divBdr>
        <w:top w:val="none" w:sz="0" w:space="0" w:color="auto"/>
        <w:left w:val="none" w:sz="0" w:space="0" w:color="auto"/>
        <w:bottom w:val="none" w:sz="0" w:space="0" w:color="auto"/>
        <w:right w:val="none" w:sz="0" w:space="0" w:color="auto"/>
      </w:divBdr>
    </w:div>
    <w:div w:id="204952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are.admin.ch/are/fr/home/developpement-et-amenagement-du-territoire/strategie-et-planification/conceptions-et-plans-sectoriels/plans-sectoriels-de-la-confederation/sda/remaniement-et-renforcement.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f:fields xmlns:f="http://schemas.fabasoft.com/folio/2007/fields">
  <f:record ref="">
    <f:field ref="objname" par="" edit="true" text="Konzept Windenergie DE [27.06.2017]"/>
    <f:field ref="objsubject" par="" edit="true" text=""/>
    <f:field ref="objcreatedby" par="" text="Cattaneo, Mattia (ARE - CAM)"/>
    <f:field ref="objcreatedat" par="" text="27.06.2017 09:39:52"/>
    <f:field ref="objchangedby" par="" text="Cattaneo, Mattia (ARE - CAM)"/>
    <f:field ref="objmodifiedat" par="" text="27.06.2017 09:39:55"/>
    <f:field ref="doc_FSCFOLIO_1_1001_FieldDocumentNumber" par="" text=""/>
    <f:field ref="doc_FSCFOLIO_1_1001_FieldSubject" par="" edit="true" text=""/>
    <f:field ref="FSCFOLIO_1_1001_FieldCurrentUser" par="" text="Mattia Cattaneo"/>
    <f:field ref="CCAPRECONFIG_15_1001_Objektname" par="" edit="true" text="Konzept Windenergie DE [27.06.2017]"/>
    <f:field ref="CHPRECONFIG_1_1001_Objektname" par="" edit="true" text="Konzept Windenergie DE [27.06.2017]"/>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Courrier B"/>
    <f:field ref="CCAPRECONFIG_15_1001_Kategorie" par="" text="Destinataire"/>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Posta B"/>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Firma" par="" text=""/>
    <f:field ref="BAVCFG_15_1700_ZustellungAm" par="" text=""/>
    <f:field ref="BAVCFG_15_1700_Anrede_Adresse" par="" edit="true" text=""/>
    <f:field ref="BAVCFG_15_1700_Firma_Kurz"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CHPRECONFIG_1_1001_Objektname" text="Classe d'objets"/>
    <f:field ref="objcreatedat" text="Créé le/à"/>
    <f:field ref="objcreatedby" text="Créé par"/>
    <f:field ref="objchangedby" text="Dernière modification apportée par"/>
    <f:field ref="objmodifiedat" text="Dernière modification le/à"/>
    <f:field ref="objname" text="Nom"/>
    <f:field ref="CCAPRECONFIG_15_1001_Objektname" text="Nom d'objet"/>
    <f:field ref="objsubject" text="Objet (une seule ligne)"/>
    <f:field ref="FSCFOLIO_1_1001_FieldCurrentUser" text="Utilisateur actuel"/>
  </f:display>
  <f:display par="" text="&gt; Destinataires">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CCAPRECONFIG_15_1001_zH" text="à l'att. de"/>
    <f:field ref="CCAPRECONFIG_15_1001_Adresse" text="Adresse"/>
    <f:field ref="CHPRECONFIG_1_1001_EMailAdresse" text="Adresse e-mail"/>
    <f:field ref="CCAPRECONFIG_15_1001_Postalische_Adresse" text="Adresse postale"/>
    <f:field ref="BAVCFG_15_1700_Adresse1_AP" text="Adresse1_AP"/>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CAPRECONFIG_15_1001_Postfach" text="Case postale"/>
    <f:field ref="CCAPRECONFIG_15_1001_Postleitzahl" text="Code postal"/>
    <f:field ref="CCAPRECONFIG_15_1001_Organisationskurzname" text="Diminutif de l'organisation"/>
    <f:field ref="CCAPRECONFIG_15_1001_Email" text="E-Mail"/>
    <f:field ref="BAVCFG_15_1700_EMail_AP" text="E-Mail_AP"/>
    <f:field ref="CCAPRECONFIG_15_1001_Stiege" text="Escalier"/>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CHPRECONFIG_1_1001_Anrede" text="Formule d'appel"/>
    <f:field ref="CCAPRECONFIG_15_1001_Anrede" text="Formule d'appel"/>
    <f:field ref="CCAPRECONFIG_15_1001_Funktionsbezeichnung" text="Funktionsbezeichnung"/>
    <f:field ref="CCAPRECONFIG_15_1001_Geburtsdatum" text="Geburtsdatum"/>
    <f:field ref="CCAPRECONFIG_15_1001_Geschlecht_Anrede" text="Geschlecht_Anrede"/>
    <f:field ref="CCAPRECONFIG_15_1001_Nachgestellter_Titel" text="Intitulé du poste"/>
    <f:field ref="CCAPRECONFIG_15_1001_Kategorie" text="Kategorie"/>
    <f:field ref="CHPRECONFIG_1_1001_Ort" text="Localité"/>
    <f:field ref="CCAPRECONFIG_15_1001_Ort" text="Localité"/>
    <f:field ref="BAVCFG_15_1700_Nachname_AP" text="Nachname_AP"/>
    <f:field ref="CCAPRECONFIG_15_1001_Nachname" text="Nom"/>
    <f:field ref="CHPRECONFIG_1_1001_Nachname" text="Nom"/>
    <f:field ref="CCAPRECONFIG_15_1001_Organisationsname" text="Nom de l'organisation"/>
    <f:field ref="CCAPRECONFIG_15_1001_Name_Zeile_2" text="Nom_Ligne_2"/>
    <f:field ref="CCAPRECONFIG_15_1001_Name_Zeile_3" text="Nom_Ligne_3"/>
    <f:field ref="CHPRECONFIG_1_1001_Postleitzahl" text="NPA"/>
    <f:field ref="CCAPRECONFIG_15_1001_Hausnummer" text="Numéro"/>
    <f:field ref="BAVCFG_15_1700_Ort_AP" text="Ort_AP"/>
    <f:field ref="CCAPRECONFIG_15_1001_Land" text="Pays"/>
    <f:field ref="CCAPRECONFIG_15_1001_Tuer" text="Porte"/>
    <f:field ref="BAVCFG_15_1700_Posfach_AP" text="Posfach_AP"/>
    <f:field ref="BAVCFG_15_1700_Postleitzahl_AP" text="Postleitzahl_AP"/>
    <f:field ref="CCAPRECONFIG_15_1001_Vorname" text="Prénom"/>
    <f:field ref="CHPRECONFIG_1_1001_Vorname" text="Prénom"/>
    <f:field ref="CCAPRECONFIG_15_1001_Rechtsform" text="Rechtsform"/>
    <f:field ref="CCAPRECONFIG_15_1001_Abschriftsbemerkung" text="Remarque de l'expéditeur"/>
    <f:field ref="CHPRECONFIG_1_1001_Strasse" text="Rue"/>
    <f:field ref="CCAPRECONFIG_15_1001_Strasse" text="Rue"/>
    <f:field ref="CCAPRECONFIG_15_1001_Geschlecht" text="Sexe"/>
    <f:field ref="CCAPRECONFIG_15_1001_Sozialversicherungsnummer" text="Sozialversicherungsnummer"/>
    <f:field ref="CCAPRECONFIG_15_1001_Stock" text="Stock"/>
    <f:field ref="BAVCFG_15_1700_Strasse2_AP" text="Strasse2_AP"/>
    <f:field ref="BAVCFG_15_1700_Strasse_AP" text="Strasse_AP"/>
    <f:field ref="CCAPRECONFIG_15_1001_Telefon" text="Telefon"/>
    <f:field ref="BAVCFG_15_1700_Titel_AP" text="Titel_AP"/>
    <f:field ref="CCAPRECONFIG_15_1001_Titel" text="Titre"/>
    <f:field ref="CHPRECONFIG_1_1001_Titel" text="Titre"/>
    <f:field ref="CCAPRECONFIG_15_1001_Versandart" text="Type d'envoi"/>
    <f:field ref="BAVCFG_15_1700_Vorname_AP" text="Vorname_AP"/>
    <f:field ref="CCAPRECONFIG_15_1001_Ziel" text="Ziel"/>
    <f:field ref="BAVCFG_15_1700_Zusatzzeile1_AP" text="Zusatzzeile1_AP"/>
    <f:field ref="BAVCFG_15_1700_Zusatzzeile2_AP" text="Zusatzzeile2_AP"/>
    <f:field ref="BAVCFG_15_1700_ZustellungAm" text="ZustellungAm"/>
  </f:display>
  <f:display par="" text="Publipostage">
    <f:field ref="doc_FSCFOLIO_1_1001_FieldDocumentNumber" text="Numéro de document"/>
    <f:field ref="doc_FSCFOLIO_1_1001_FieldSubject" text="Objet"/>
  </f:display>
</f:field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5F9612DF438B5A47B14598812F0FBE46" ma:contentTypeVersion="0" ma:contentTypeDescription="Ein neues Dokument erstellen." ma:contentTypeScope="" ma:versionID="89e8cd02937708299a66b9aafcdbaefc">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03D9B-2D19-40C5-9BF5-EC11E61F2D82}">
  <ds:schemaRefs>
    <ds:schemaRef ds:uri="http://schemas.microsoft.com/sharepoint/v3/contenttype/forms"/>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customXml/itemProps3.xml><?xml version="1.0" encoding="utf-8"?>
<ds:datastoreItem xmlns:ds="http://schemas.openxmlformats.org/officeDocument/2006/customXml" ds:itemID="{97C3ADCD-4F54-4DF0-BA92-C04EA776309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457BE50-9235-457B-BF39-D8846916DB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A7FABB58-2A60-47D8-BDEE-C5D5E64F0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13449</Words>
  <Characters>84734</Characters>
  <Application>Microsoft Office Word</Application>
  <DocSecurity>0</DocSecurity>
  <Lines>706</Lines>
  <Paragraphs>195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Rapport explicativ Plan sectoriel SDA</vt:lpstr>
      <vt:lpstr/>
    </vt:vector>
  </TitlesOfParts>
  <Company>Bundesamt für Raumentwicklung ARE</Company>
  <LinksUpToDate>false</LinksUpToDate>
  <CharactersWithSpaces>97988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explicativ Plan sectoriel SDA</dc:title>
  <dc:subject/>
  <dc:creator>Bundesamt für Raumentwicklung ARE</dc:creator>
  <cp:keywords/>
  <dc:description/>
  <cp:lastModifiedBy>Grimm Olivia ARE</cp:lastModifiedBy>
  <cp:revision>74</cp:revision>
  <cp:lastPrinted>2018-12-19T14:59:00Z</cp:lastPrinted>
  <dcterms:created xsi:type="dcterms:W3CDTF">2018-11-28T09:37:00Z</dcterms:created>
  <dcterms:modified xsi:type="dcterms:W3CDTF">2018-12-19T15:03:00Z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ARECFG@100.2000:Doc_Dossier">
    <vt:lpwstr>00 - Verabschiedung BR</vt:lpwstr>
  </property>
  <property fmtid="{D5CDD505-2E9C-101B-9397-08002B2CF9AE}" pid="3" name="FSC#ARECFG@100.2000:Doc_Rubrik">
    <vt:lpwstr>341.3 Konzept Windenergie</vt:lpwstr>
  </property>
  <property fmtid="{D5CDD505-2E9C-101B-9397-08002B2CF9AE}" pid="4" name="FSC#ARECFG@100.2000:Doc_Ordnungspos_1">
    <vt:lpwstr>3 Koordination Mobilität und Infrastrukturen_x000d_
34 Koordination Versorgung und Energie_x000d_
341 Konzepte und Sachpläne Versorgung + Energie</vt:lpwstr>
  </property>
  <property fmtid="{D5CDD505-2E9C-101B-9397-08002B2CF9AE}" pid="5" name="FSC#ARECFG@100.2000:Doc_Ordnungspos_2">
    <vt:lpwstr>00 - Verabschiedung BR</vt:lpwstr>
  </property>
  <property fmtid="{D5CDD505-2E9C-101B-9397-08002B2CF9AE}" pid="6" name="FSC#ARECFG@100.2000:Doc_Ordnungspos_3">
    <vt:lpwstr>00 - Verabschiedung BR</vt:lpwstr>
  </property>
  <property fmtid="{D5CDD505-2E9C-101B-9397-08002B2CF9AE}" pid="7" name="FSC#ARECFG@100.2000:Doc_Ordnungspos_4">
    <vt:lpwstr>00 - Verabschiedung BR</vt:lpwstr>
  </property>
  <property fmtid="{D5CDD505-2E9C-101B-9397-08002B2CF9AE}" pid="8" name="FSC#ARECFG@100.2000:Rec_Contactpers">
    <vt:lpwstr/>
  </property>
  <property fmtid="{D5CDD505-2E9C-101B-9397-08002B2CF9AE}" pid="9" name="FSC#ARECFG@100.2000:Rec_FullName">
    <vt:lpwstr/>
  </property>
  <property fmtid="{D5CDD505-2E9C-101B-9397-08002B2CF9AE}" pid="10" name="FSC#ARECFG@100.2000:Rec_CompleteAddress">
    <vt:lpwstr/>
  </property>
  <property fmtid="{D5CDD505-2E9C-101B-9397-08002B2CF9AE}" pid="11" name="FSC#ARECFG@100.2000:Rec_Email">
    <vt:lpwstr/>
  </property>
  <property fmtid="{D5CDD505-2E9C-101B-9397-08002B2CF9AE}" pid="12" name="FSC#ARECFG@100.2000:Rec_Introduction">
    <vt:lpwstr/>
  </property>
  <property fmtid="{D5CDD505-2E9C-101B-9397-08002B2CF9AE}" pid="13" name="FSC#ARECFG@100.2000:Rec_TransMedia">
    <vt:lpwstr/>
  </property>
  <property fmtid="{D5CDD505-2E9C-101B-9397-08002B2CF9AE}" pid="14" name="FSC#ARECFG@100.2000:Subfile_FileRespOrg">
    <vt:lpwstr>Planifications fédérales</vt:lpwstr>
  </property>
  <property fmtid="{D5CDD505-2E9C-101B-9397-08002B2CF9AE}" pid="15" name="FSC#ARECFG@100.2000:Subfile_FileResponsible">
    <vt:lpwstr>Mattia Cattaneo</vt:lpwstr>
  </property>
  <property fmtid="{D5CDD505-2E9C-101B-9397-08002B2CF9AE}" pid="16" name="FSC#ARECFG@100.2000:Subfile_Sektionschef">
    <vt:lpwstr>Dr. Lena Poschet</vt:lpwstr>
  </property>
  <property fmtid="{D5CDD505-2E9C-101B-9397-08002B2CF9AE}" pid="17" name="FSC#ARECFG@100.2000:Doc_cooAddress">
    <vt:lpwstr>COO.2093.100.5.697158</vt:lpwstr>
  </property>
  <property fmtid="{D5CDD505-2E9C-101B-9397-08002B2CF9AE}" pid="18" name="FSC#ARECFG@100.2000:Doc_FileReference">
    <vt:lpwstr>341.3-00004/00014/00001/00008</vt:lpwstr>
  </property>
  <property fmtid="{D5CDD505-2E9C-101B-9397-08002B2CF9AE}" pid="19" name="FSC#ARECFG@100.2000:Subfile_Titel">
    <vt:lpwstr/>
  </property>
  <property fmtid="{D5CDD505-2E9C-101B-9397-08002B2CF9AE}" pid="20" name="FSC#ARECFG@100.2000:Proj_Number">
    <vt:lpwstr/>
  </property>
  <property fmtid="{D5CDD505-2E9C-101B-9397-08002B2CF9AE}" pid="21" name="FSC#ARECFG@100.2000:Proj_Total">
    <vt:lpwstr/>
  </property>
  <property fmtid="{D5CDD505-2E9C-101B-9397-08002B2CF9AE}" pid="22" name="FSC#ARECFG@100.2000:Proj_Start">
    <vt:lpwstr/>
  </property>
  <property fmtid="{D5CDD505-2E9C-101B-9397-08002B2CF9AE}" pid="23" name="FSC#ARECFG@100.2000:Proj_Ende">
    <vt:lpwstr/>
  </property>
  <property fmtid="{D5CDD505-2E9C-101B-9397-08002B2CF9AE}" pid="24" name="FSC#ARECFG@100.2000:Proj_Ziele">
    <vt:lpwstr/>
  </property>
  <property fmtid="{D5CDD505-2E9C-101B-9397-08002B2CF9AE}" pid="25" name="FSC#ARECFG@100.2000:Proj_Kurzbeschr">
    <vt:lpwstr/>
  </property>
  <property fmtid="{D5CDD505-2E9C-101B-9397-08002B2CF9AE}" pid="26" name="FSC#ARECFG@100.2000:Proj_Schwerpunkt">
    <vt:lpwstr/>
  </property>
  <property fmtid="{D5CDD505-2E9C-101B-9397-08002B2CF9AE}" pid="27" name="FSC#ARECFG@100.2000:Proj_Jahr_1">
    <vt:lpwstr>0</vt:lpwstr>
  </property>
  <property fmtid="{D5CDD505-2E9C-101B-9397-08002B2CF9AE}" pid="28" name="FSC#ARECFG@100.2000:Proj_Jahr_2">
    <vt:lpwstr>1</vt:lpwstr>
  </property>
  <property fmtid="{D5CDD505-2E9C-101B-9397-08002B2CF9AE}" pid="29" name="FSC#ARECFG@100.2000:Proj_Jahr_3">
    <vt:lpwstr>2</vt:lpwstr>
  </property>
  <property fmtid="{D5CDD505-2E9C-101B-9397-08002B2CF9AE}" pid="30" name="FSC#ARECFG@100.2000:Proj_Jahr_4">
    <vt:lpwstr>3</vt:lpwstr>
  </property>
  <property fmtid="{D5CDD505-2E9C-101B-9397-08002B2CF9AE}" pid="31" name="FSC#ARECFG@100.2000:Proj_Jahr_5">
    <vt:lpwstr>4</vt:lpwstr>
  </property>
  <property fmtid="{D5CDD505-2E9C-101B-9397-08002B2CF9AE}" pid="32" name="FSC#ARECFG@100.2000:Proj_Betrag_1">
    <vt:lpwstr/>
  </property>
  <property fmtid="{D5CDD505-2E9C-101B-9397-08002B2CF9AE}" pid="33" name="FSC#ARECFG@100.2000:Proj_Betrag_2">
    <vt:lpwstr/>
  </property>
  <property fmtid="{D5CDD505-2E9C-101B-9397-08002B2CF9AE}" pid="34" name="FSC#ARECFG@100.2000:Proj_Betrag_3">
    <vt:lpwstr/>
  </property>
  <property fmtid="{D5CDD505-2E9C-101B-9397-08002B2CF9AE}" pid="35" name="FSC#ARECFG@100.2000:Proj_Betrag_4">
    <vt:lpwstr/>
  </property>
  <property fmtid="{D5CDD505-2E9C-101B-9397-08002B2CF9AE}" pid="36" name="FSC#ARECFG@100.2000:Proj_Betrag_5">
    <vt:lpwstr/>
  </property>
  <property fmtid="{D5CDD505-2E9C-101B-9397-08002B2CF9AE}" pid="37" name="FSC#ARECFG@100.2000:Proj_Anteil_ARE">
    <vt:lpwstr/>
  </property>
  <property fmtid="{D5CDD505-2E9C-101B-9397-08002B2CF9AE}" pid="38" name="FSC#ARECFG@100.2000:Proj_Herkunft_Geld">
    <vt:lpwstr/>
  </property>
  <property fmtid="{D5CDD505-2E9C-101B-9397-08002B2CF9AE}" pid="39" name="FSC#ARECFG@100.2000:Proj_Kreditart">
    <vt:lpwstr/>
  </property>
  <property fmtid="{D5CDD505-2E9C-101B-9397-08002B2CF9AE}" pid="40" name="FSC#ARECFG@100.2000:Proj_Beschaffung">
    <vt:lpwstr/>
  </property>
  <property fmtid="{D5CDD505-2E9C-101B-9397-08002B2CF9AE}" pid="41" name="FSC#ARECFG@100.2000:Proj_Beschaffung_Bemerk">
    <vt:lpwstr/>
  </property>
  <property fmtid="{D5CDD505-2E9C-101B-9397-08002B2CF9AE}" pid="42" name="FSC#ARECFG@100.2000:Vert_Jahr_1">
    <vt:lpwstr>0</vt:lpwstr>
  </property>
  <property fmtid="{D5CDD505-2E9C-101B-9397-08002B2CF9AE}" pid="43" name="FSC#ARECFG@100.2000:Vert_Jahr_2">
    <vt:lpwstr>1</vt:lpwstr>
  </property>
  <property fmtid="{D5CDD505-2E9C-101B-9397-08002B2CF9AE}" pid="44" name="FSC#ARECFG@100.2000:Vert_Jahr_3">
    <vt:lpwstr>2</vt:lpwstr>
  </property>
  <property fmtid="{D5CDD505-2E9C-101B-9397-08002B2CF9AE}" pid="45" name="FSC#ARECFG@100.2000:Vert_Jahr_4">
    <vt:lpwstr>3</vt:lpwstr>
  </property>
  <property fmtid="{D5CDD505-2E9C-101B-9397-08002B2CF9AE}" pid="46" name="FSC#ARECFG@100.2000:Vert_Jahr_5">
    <vt:lpwstr>4</vt:lpwstr>
  </property>
  <property fmtid="{D5CDD505-2E9C-101B-9397-08002B2CF9AE}" pid="47" name="FSC#ARECFG@100.2000:Vert_Betrag_1">
    <vt:lpwstr/>
  </property>
  <property fmtid="{D5CDD505-2E9C-101B-9397-08002B2CF9AE}" pid="48" name="FSC#ARECFG@100.2000:Vert_Betrag_2">
    <vt:lpwstr/>
  </property>
  <property fmtid="{D5CDD505-2E9C-101B-9397-08002B2CF9AE}" pid="49" name="FSC#ARECFG@100.2000:Vert_Betrag_3">
    <vt:lpwstr/>
  </property>
  <property fmtid="{D5CDD505-2E9C-101B-9397-08002B2CF9AE}" pid="50" name="FSC#ARECFG@100.2000:Vert_Betrag_4">
    <vt:lpwstr/>
  </property>
  <property fmtid="{D5CDD505-2E9C-101B-9397-08002B2CF9AE}" pid="51" name="FSC#ARECFG@100.2000:Vert_Betrag_5">
    <vt:lpwstr/>
  </property>
  <property fmtid="{D5CDD505-2E9C-101B-9397-08002B2CF9AE}" pid="52" name="FSC#ARECFG@100.2000:Vert_Selbstaendig">
    <vt:lpwstr/>
  </property>
  <property fmtid="{D5CDD505-2E9C-101B-9397-08002B2CF9AE}" pid="53" name="FSC#ARECFG@100.2000:Vert_Total">
    <vt:lpwstr/>
  </property>
  <property fmtid="{D5CDD505-2E9C-101B-9397-08002B2CF9AE}" pid="54" name="FSC#ARECFG@100.2000:Proj_Genehmiger">
    <vt:lpwstr/>
  </property>
  <property fmtid="{D5CDD505-2E9C-101B-9397-08002B2CF9AE}" pid="55" name="FSC#ARECFG@100.2000:Vert_Genehmiger">
    <vt:lpwstr/>
  </property>
  <property fmtid="{D5CDD505-2E9C-101B-9397-08002B2CF9AE}" pid="56" name="FSC#UVEKCFG@15.1700:Function">
    <vt:lpwstr/>
  </property>
  <property fmtid="{D5CDD505-2E9C-101B-9397-08002B2CF9AE}" pid="57" name="FSC#UVEKCFG@15.1700:FileRespOrg">
    <vt:lpwstr>Planifications fédérales</vt:lpwstr>
  </property>
  <property fmtid="{D5CDD505-2E9C-101B-9397-08002B2CF9AE}" pid="58" name="FSC#UVEKCFG@15.1700:DefaultGroupFileResponsible">
    <vt:lpwstr/>
  </property>
  <property fmtid="{D5CDD505-2E9C-101B-9397-08002B2CF9AE}" pid="59" name="FSC#UVEKCFG@15.1700:FileRespFunction">
    <vt:lpwstr/>
  </property>
  <property fmtid="{D5CDD505-2E9C-101B-9397-08002B2CF9AE}" pid="60" name="FSC#UVEKCFG@15.1700:AssignedClassification">
    <vt:lpwstr/>
  </property>
  <property fmtid="{D5CDD505-2E9C-101B-9397-08002B2CF9AE}" pid="61" name="FSC#UVEKCFG@15.1700:AssignedClassificationCode">
    <vt:lpwstr/>
  </property>
  <property fmtid="{D5CDD505-2E9C-101B-9397-08002B2CF9AE}" pid="62" name="FSC#UVEKCFG@15.1700:FileResponsible">
    <vt:lpwstr/>
  </property>
  <property fmtid="{D5CDD505-2E9C-101B-9397-08002B2CF9AE}" pid="63" name="FSC#UVEKCFG@15.1700:FileResponsibleTel">
    <vt:lpwstr/>
  </property>
  <property fmtid="{D5CDD505-2E9C-101B-9397-08002B2CF9AE}" pid="64" name="FSC#UVEKCFG@15.1700:FileResponsibleEmail">
    <vt:lpwstr/>
  </property>
  <property fmtid="{D5CDD505-2E9C-101B-9397-08002B2CF9AE}" pid="65" name="FSC#UVEKCFG@15.1700:FileResponsibleFax">
    <vt:lpwstr/>
  </property>
  <property fmtid="{D5CDD505-2E9C-101B-9397-08002B2CF9AE}" pid="66" name="FSC#UVEKCFG@15.1700:FileResponsibleAddress">
    <vt:lpwstr/>
  </property>
  <property fmtid="{D5CDD505-2E9C-101B-9397-08002B2CF9AE}" pid="67" name="FSC#UVEKCFG@15.1700:FileResponsibleStreet">
    <vt:lpwstr/>
  </property>
  <property fmtid="{D5CDD505-2E9C-101B-9397-08002B2CF9AE}" pid="68" name="FSC#UVEKCFG@15.1700:FileResponsiblezipcode">
    <vt:lpwstr/>
  </property>
  <property fmtid="{D5CDD505-2E9C-101B-9397-08002B2CF9AE}" pid="69" name="FSC#UVEKCFG@15.1700:FileResponsiblecity">
    <vt:lpwstr/>
  </property>
  <property fmtid="{D5CDD505-2E9C-101B-9397-08002B2CF9AE}" pid="70" name="FSC#UVEKCFG@15.1700:FileResponsibleAbbreviation">
    <vt:lpwstr/>
  </property>
  <property fmtid="{D5CDD505-2E9C-101B-9397-08002B2CF9AE}" pid="71" name="FSC#UVEKCFG@15.1700:FileRespOrgHome">
    <vt:lpwstr>Worblentalstrasse 66, 3063 Ittigen</vt:lpwstr>
  </property>
  <property fmtid="{D5CDD505-2E9C-101B-9397-08002B2CF9AE}" pid="72" name="FSC#UVEKCFG@15.1700:CurrUserAbbreviation">
    <vt:lpwstr>CAM</vt:lpwstr>
  </property>
  <property fmtid="{D5CDD505-2E9C-101B-9397-08002B2CF9AE}" pid="73" name="FSC#UVEKCFG@15.1700:CategoryReference">
    <vt:lpwstr>341.3</vt:lpwstr>
  </property>
  <property fmtid="{D5CDD505-2E9C-101B-9397-08002B2CF9AE}" pid="74" name="FSC#UVEKCFG@15.1700:cooAddress">
    <vt:lpwstr>COO.2093.100.5.697156</vt:lpwstr>
  </property>
  <property fmtid="{D5CDD505-2E9C-101B-9397-08002B2CF9AE}" pid="75" name="FSC#UVEKCFG@15.1700:sleeveFileReference">
    <vt:lpwstr/>
  </property>
  <property fmtid="{D5CDD505-2E9C-101B-9397-08002B2CF9AE}" pid="76" name="FSC#UVEKCFG@15.1700:BureauName">
    <vt:lpwstr/>
  </property>
  <property fmtid="{D5CDD505-2E9C-101B-9397-08002B2CF9AE}" pid="77" name="FSC#UVEKCFG@15.1700:BureauShortName">
    <vt:lpwstr/>
  </property>
  <property fmtid="{D5CDD505-2E9C-101B-9397-08002B2CF9AE}" pid="78" name="FSC#UVEKCFG@15.1700:BureauWebsite">
    <vt:lpwstr/>
  </property>
  <property fmtid="{D5CDD505-2E9C-101B-9397-08002B2CF9AE}" pid="79" name="FSC#UVEKCFG@15.1700:SubFileTitle">
    <vt:lpwstr>Konzept Windenergie DE [27.06.2017]</vt:lpwstr>
  </property>
  <property fmtid="{D5CDD505-2E9C-101B-9397-08002B2CF9AE}" pid="80" name="FSC#UVEKCFG@15.1700:ForeignNumber">
    <vt:lpwstr/>
  </property>
  <property fmtid="{D5CDD505-2E9C-101B-9397-08002B2CF9AE}" pid="81" name="FSC#UVEKCFG@15.1700:Amtstitel">
    <vt:lpwstr/>
  </property>
  <property fmtid="{D5CDD505-2E9C-101B-9397-08002B2CF9AE}" pid="82" name="FSC#UVEKCFG@15.1700:ZusendungAm">
    <vt:lpwstr/>
  </property>
  <property fmtid="{D5CDD505-2E9C-101B-9397-08002B2CF9AE}" pid="83" name="FSC#UVEKCFG@15.1700:SignerLeft">
    <vt:lpwstr/>
  </property>
  <property fmtid="{D5CDD505-2E9C-101B-9397-08002B2CF9AE}" pid="84" name="FSC#UVEKCFG@15.1700:SignerRight">
    <vt:lpwstr/>
  </property>
  <property fmtid="{D5CDD505-2E9C-101B-9397-08002B2CF9AE}" pid="85" name="FSC#UVEKCFG@15.1700:SignerLeftJobTitle">
    <vt:lpwstr/>
  </property>
  <property fmtid="{D5CDD505-2E9C-101B-9397-08002B2CF9AE}" pid="86" name="FSC#UVEKCFG@15.1700:SignerRightJobTitle">
    <vt:lpwstr/>
  </property>
  <property fmtid="{D5CDD505-2E9C-101B-9397-08002B2CF9AE}" pid="87" name="FSC#UVEKCFG@15.1700:SignerLeftFunction">
    <vt:lpwstr/>
  </property>
  <property fmtid="{D5CDD505-2E9C-101B-9397-08002B2CF9AE}" pid="88" name="FSC#UVEKCFG@15.1700:SignerRightFunction">
    <vt:lpwstr/>
  </property>
  <property fmtid="{D5CDD505-2E9C-101B-9397-08002B2CF9AE}" pid="89" name="FSC#UVEKCFG@15.1700:SignerLeftUserRoleGroup">
    <vt:lpwstr/>
  </property>
  <property fmtid="{D5CDD505-2E9C-101B-9397-08002B2CF9AE}" pid="90" name="FSC#UVEKCFG@15.1700:SignerRightUserRoleGroup">
    <vt:lpwstr/>
  </property>
  <property fmtid="{D5CDD505-2E9C-101B-9397-08002B2CF9AE}" pid="91" name="FSC#COOELAK@1.1001:Subject">
    <vt:lpwstr/>
  </property>
  <property fmtid="{D5CDD505-2E9C-101B-9397-08002B2CF9AE}" pid="92" name="FSC#COOELAK@1.1001:FileReference">
    <vt:lpwstr>341.3-00004</vt:lpwstr>
  </property>
  <property fmtid="{D5CDD505-2E9C-101B-9397-08002B2CF9AE}" pid="93" name="FSC#COOELAK@1.1001:FileRefYear">
    <vt:lpwstr>2017</vt:lpwstr>
  </property>
  <property fmtid="{D5CDD505-2E9C-101B-9397-08002B2CF9AE}" pid="94" name="FSC#COOELAK@1.1001:FileRefOrdinal">
    <vt:lpwstr>4</vt:lpwstr>
  </property>
  <property fmtid="{D5CDD505-2E9C-101B-9397-08002B2CF9AE}" pid="95" name="FSC#COOELAK@1.1001:FileRefOU">
    <vt:lpwstr>BP</vt:lpwstr>
  </property>
  <property fmtid="{D5CDD505-2E9C-101B-9397-08002B2CF9AE}" pid="96" name="FSC#COOELAK@1.1001:Organization">
    <vt:lpwstr/>
  </property>
  <property fmtid="{D5CDD505-2E9C-101B-9397-08002B2CF9AE}" pid="97" name="FSC#COOELAK@1.1001:Owner">
    <vt:lpwstr>Cattaneo Mattia</vt:lpwstr>
  </property>
  <property fmtid="{D5CDD505-2E9C-101B-9397-08002B2CF9AE}" pid="98" name="FSC#COOELAK@1.1001:OwnerExtension">
    <vt:lpwstr>+41 58 462 89 25</vt:lpwstr>
  </property>
  <property fmtid="{D5CDD505-2E9C-101B-9397-08002B2CF9AE}" pid="99" name="FSC#COOELAK@1.1001:OwnerFaxExtension">
    <vt:lpwstr>+ 41 58 463 18 86</vt:lpwstr>
  </property>
  <property fmtid="{D5CDD505-2E9C-101B-9397-08002B2CF9AE}" pid="100" name="FSC#COOELAK@1.1001:DispatchedBy">
    <vt:lpwstr/>
  </property>
  <property fmtid="{D5CDD505-2E9C-101B-9397-08002B2CF9AE}" pid="101" name="FSC#COOELAK@1.1001:DispatchedAt">
    <vt:lpwstr/>
  </property>
  <property fmtid="{D5CDD505-2E9C-101B-9397-08002B2CF9AE}" pid="102" name="FSC#COOELAK@1.1001:ApprovedBy">
    <vt:lpwstr/>
  </property>
  <property fmtid="{D5CDD505-2E9C-101B-9397-08002B2CF9AE}" pid="103" name="FSC#COOELAK@1.1001:ApprovedAt">
    <vt:lpwstr/>
  </property>
  <property fmtid="{D5CDD505-2E9C-101B-9397-08002B2CF9AE}" pid="104" name="FSC#COOELAK@1.1001:Department">
    <vt:lpwstr>Planifications fédérales (ARE)</vt:lpwstr>
  </property>
  <property fmtid="{D5CDD505-2E9C-101B-9397-08002B2CF9AE}" pid="105" name="FSC#COOELAK@1.1001:CreatedAt">
    <vt:lpwstr>27.06.2017</vt:lpwstr>
  </property>
  <property fmtid="{D5CDD505-2E9C-101B-9397-08002B2CF9AE}" pid="106" name="FSC#COOELAK@1.1001:OU">
    <vt:lpwstr>Planifications fédérales (ARE)</vt:lpwstr>
  </property>
  <property fmtid="{D5CDD505-2E9C-101B-9397-08002B2CF9AE}" pid="107" name="FSC#COOELAK@1.1001:Priority">
    <vt:lpwstr> ()</vt:lpwstr>
  </property>
  <property fmtid="{D5CDD505-2E9C-101B-9397-08002B2CF9AE}" pid="108" name="FSC#COOELAK@1.1001:ObjBarCode">
    <vt:lpwstr>*COO.2093.100.5.697156*</vt:lpwstr>
  </property>
  <property fmtid="{D5CDD505-2E9C-101B-9397-08002B2CF9AE}" pid="109" name="FSC#COOELAK@1.1001:RefBarCode">
    <vt:lpwstr>*COO.2093.100.5.697158*</vt:lpwstr>
  </property>
  <property fmtid="{D5CDD505-2E9C-101B-9397-08002B2CF9AE}" pid="110" name="FSC#COOELAK@1.1001:FileRefBarCode">
    <vt:lpwstr>*341.3-00004*</vt:lpwstr>
  </property>
  <property fmtid="{D5CDD505-2E9C-101B-9397-08002B2CF9AE}" pid="111" name="FSC#COOELAK@1.1001:ExternalRef">
    <vt:lpwstr/>
  </property>
  <property fmtid="{D5CDD505-2E9C-101B-9397-08002B2CF9AE}" pid="112" name="FSC#COOELAK@1.1001:IncomingNumber">
    <vt:lpwstr/>
  </property>
  <property fmtid="{D5CDD505-2E9C-101B-9397-08002B2CF9AE}" pid="113" name="FSC#COOELAK@1.1001:IncomingSubject">
    <vt:lpwstr/>
  </property>
  <property fmtid="{D5CDD505-2E9C-101B-9397-08002B2CF9AE}" pid="114" name="FSC#COOELAK@1.1001:ProcessResponsible">
    <vt:lpwstr/>
  </property>
  <property fmtid="{D5CDD505-2E9C-101B-9397-08002B2CF9AE}" pid="115" name="FSC#COOELAK@1.1001:ProcessResponsiblePhone">
    <vt:lpwstr/>
  </property>
  <property fmtid="{D5CDD505-2E9C-101B-9397-08002B2CF9AE}" pid="116" name="FSC#COOELAK@1.1001:ProcessResponsibleMail">
    <vt:lpwstr/>
  </property>
  <property fmtid="{D5CDD505-2E9C-101B-9397-08002B2CF9AE}" pid="117" name="FSC#COOELAK@1.1001:ProcessResponsibleFax">
    <vt:lpwstr/>
  </property>
  <property fmtid="{D5CDD505-2E9C-101B-9397-08002B2CF9AE}" pid="118" name="FSC#COOELAK@1.1001:ApproverFirstName">
    <vt:lpwstr/>
  </property>
  <property fmtid="{D5CDD505-2E9C-101B-9397-08002B2CF9AE}" pid="119" name="FSC#COOELAK@1.1001:ApproverSurName">
    <vt:lpwstr/>
  </property>
  <property fmtid="{D5CDD505-2E9C-101B-9397-08002B2CF9AE}" pid="120" name="FSC#COOELAK@1.1001:ApproverTitle">
    <vt:lpwstr/>
  </property>
  <property fmtid="{D5CDD505-2E9C-101B-9397-08002B2CF9AE}" pid="121" name="FSC#COOELAK@1.1001:ExternalDate">
    <vt:lpwstr/>
  </property>
  <property fmtid="{D5CDD505-2E9C-101B-9397-08002B2CF9AE}" pid="122" name="FSC#COOELAK@1.1001:SettlementApprovedAt">
    <vt:lpwstr/>
  </property>
  <property fmtid="{D5CDD505-2E9C-101B-9397-08002B2CF9AE}" pid="123" name="FSC#COOELAK@1.1001:BaseNumber">
    <vt:lpwstr>341.3</vt:lpwstr>
  </property>
  <property fmtid="{D5CDD505-2E9C-101B-9397-08002B2CF9AE}" pid="124" name="FSC#COOELAK@1.1001:CurrentUserRolePos">
    <vt:lpwstr>Collaborateur, -trice spécialisé(e)</vt:lpwstr>
  </property>
  <property fmtid="{D5CDD505-2E9C-101B-9397-08002B2CF9AE}" pid="125" name="FSC#COOELAK@1.1001:CurrentUserEmail">
    <vt:lpwstr>mattia.cattaneo@are.admin.ch</vt:lpwstr>
  </property>
  <property fmtid="{D5CDD505-2E9C-101B-9397-08002B2CF9AE}" pid="126" name="FSC#ELAKGOV@1.1001:PersonalSubjGender">
    <vt:lpwstr/>
  </property>
  <property fmtid="{D5CDD505-2E9C-101B-9397-08002B2CF9AE}" pid="127" name="FSC#ELAKGOV@1.1001:PersonalSubjFirstName">
    <vt:lpwstr/>
  </property>
  <property fmtid="{D5CDD505-2E9C-101B-9397-08002B2CF9AE}" pid="128" name="FSC#ELAKGOV@1.1001:PersonalSubjSurName">
    <vt:lpwstr/>
  </property>
  <property fmtid="{D5CDD505-2E9C-101B-9397-08002B2CF9AE}" pid="129" name="FSC#ELAKGOV@1.1001:PersonalSubjSalutation">
    <vt:lpwstr/>
  </property>
  <property fmtid="{D5CDD505-2E9C-101B-9397-08002B2CF9AE}" pid="130" name="FSC#ELAKGOV@1.1001:PersonalSubjAddress">
    <vt:lpwstr/>
  </property>
  <property fmtid="{D5CDD505-2E9C-101B-9397-08002B2CF9AE}" pid="131" name="FSC#ATSTATECFG@1.1001:Office">
    <vt:lpwstr/>
  </property>
  <property fmtid="{D5CDD505-2E9C-101B-9397-08002B2CF9AE}" pid="132" name="FSC#ATSTATECFG@1.1001:Agent">
    <vt:lpwstr/>
  </property>
  <property fmtid="{D5CDD505-2E9C-101B-9397-08002B2CF9AE}" pid="133" name="FSC#ATSTATECFG@1.1001:AgentPhone">
    <vt:lpwstr/>
  </property>
  <property fmtid="{D5CDD505-2E9C-101B-9397-08002B2CF9AE}" pid="134" name="FSC#ATSTATECFG@1.1001:DepartmentFax">
    <vt:lpwstr>+ 41  58 463 18 86</vt:lpwstr>
  </property>
  <property fmtid="{D5CDD505-2E9C-101B-9397-08002B2CF9AE}" pid="135" name="FSC#ATSTATECFG@1.1001:DepartmentEmail">
    <vt:lpwstr>info@are.admin.ch</vt:lpwstr>
  </property>
  <property fmtid="{D5CDD505-2E9C-101B-9397-08002B2CF9AE}" pid="136" name="FSC#ATSTATECFG@1.1001:SubfileDate">
    <vt:lpwstr/>
  </property>
  <property fmtid="{D5CDD505-2E9C-101B-9397-08002B2CF9AE}" pid="137" name="FSC#ATSTATECFG@1.1001:SubfileSubject">
    <vt:lpwstr>Konzept Windenergie DE [27.06.2017]</vt:lpwstr>
  </property>
  <property fmtid="{D5CDD505-2E9C-101B-9397-08002B2CF9AE}" pid="138" name="FSC#ATSTATECFG@1.1001:DepartmentZipCode">
    <vt:lpwstr>3063</vt:lpwstr>
  </property>
  <property fmtid="{D5CDD505-2E9C-101B-9397-08002B2CF9AE}" pid="139" name="FSC#ATSTATECFG@1.1001:DepartmentCountry">
    <vt:lpwstr/>
  </property>
  <property fmtid="{D5CDD505-2E9C-101B-9397-08002B2CF9AE}" pid="140" name="FSC#ATSTATECFG@1.1001:DepartmentCity">
    <vt:lpwstr>Ittigen</vt:lpwstr>
  </property>
  <property fmtid="{D5CDD505-2E9C-101B-9397-08002B2CF9AE}" pid="141" name="FSC#ATSTATECFG@1.1001:DepartmentStreet">
    <vt:lpwstr>Worblentalstrasse 66</vt:lpwstr>
  </property>
  <property fmtid="{D5CDD505-2E9C-101B-9397-08002B2CF9AE}" pid="142" name="FSC#ATSTATECFG@1.1001:DepartmentDVR">
    <vt:lpwstr/>
  </property>
  <property fmtid="{D5CDD505-2E9C-101B-9397-08002B2CF9AE}" pid="143" name="FSC#ATSTATECFG@1.1001:DepartmentUID">
    <vt:lpwstr/>
  </property>
  <property fmtid="{D5CDD505-2E9C-101B-9397-08002B2CF9AE}" pid="144" name="FSC#ATSTATECFG@1.1001:SubfileReference">
    <vt:lpwstr>341.3-00004/00014/00001/00008</vt:lpwstr>
  </property>
  <property fmtid="{D5CDD505-2E9C-101B-9397-08002B2CF9AE}" pid="145" name="FSC#ATSTATECFG@1.1001:Clause">
    <vt:lpwstr/>
  </property>
  <property fmtid="{D5CDD505-2E9C-101B-9397-08002B2CF9AE}" pid="146" name="FSC#ATSTATECFG@1.1001:ApprovedSignature">
    <vt:lpwstr/>
  </property>
  <property fmtid="{D5CDD505-2E9C-101B-9397-08002B2CF9AE}" pid="147" name="FSC#ATSTATECFG@1.1001:BankAccount">
    <vt:lpwstr/>
  </property>
  <property fmtid="{D5CDD505-2E9C-101B-9397-08002B2CF9AE}" pid="148" name="FSC#ATSTATECFG@1.1001:BankAccountOwner">
    <vt:lpwstr/>
  </property>
  <property fmtid="{D5CDD505-2E9C-101B-9397-08002B2CF9AE}" pid="149" name="FSC#ATSTATECFG@1.1001:BankInstitute">
    <vt:lpwstr/>
  </property>
  <property fmtid="{D5CDD505-2E9C-101B-9397-08002B2CF9AE}" pid="150" name="FSC#ATSTATECFG@1.1001:BankAccountID">
    <vt:lpwstr/>
  </property>
  <property fmtid="{D5CDD505-2E9C-101B-9397-08002B2CF9AE}" pid="151" name="FSC#ATSTATECFG@1.1001:BankAccountIBAN">
    <vt:lpwstr/>
  </property>
  <property fmtid="{D5CDD505-2E9C-101B-9397-08002B2CF9AE}" pid="152" name="FSC#ATSTATECFG@1.1001:BankAccountBIC">
    <vt:lpwstr/>
  </property>
  <property fmtid="{D5CDD505-2E9C-101B-9397-08002B2CF9AE}" pid="153" name="FSC#ATSTATECFG@1.1001:BankName">
    <vt:lpwstr/>
  </property>
  <property fmtid="{D5CDD505-2E9C-101B-9397-08002B2CF9AE}" pid="154" name="FSC#COOSYSTEM@1.1:Container">
    <vt:lpwstr>COO.2093.100.5.697156</vt:lpwstr>
  </property>
  <property fmtid="{D5CDD505-2E9C-101B-9397-08002B2CF9AE}" pid="155" name="FSC#FSCFOLIO@1.1001:docpropproject">
    <vt:lpwstr/>
  </property>
  <property fmtid="{D5CDD505-2E9C-101B-9397-08002B2CF9AE}" pid="156" name="FSC$NOPARSEFILE">
    <vt:bool>false</vt:bool>
  </property>
  <property fmtid="{D5CDD505-2E9C-101B-9397-08002B2CF9AE}" pid="157" name="FSC#ARECFG@100.2000:Doc_SubDossier_Last">
    <vt:lpwstr>Word Dok.</vt:lpwstr>
  </property>
  <property fmtid="{D5CDD505-2E9C-101B-9397-08002B2CF9AE}" pid="158" name="FSC#ARECFG@100.2000:Doc_SubDossier_Location">
    <vt:lpwstr/>
  </property>
  <property fmtid="{D5CDD505-2E9C-101B-9397-08002B2CF9AE}" pid="159" name="FSC#ARECFG@100.2000:Doc_SubDossier_Path">
    <vt:lpwstr>Publikation KW - Dokumente DE</vt:lpwstr>
  </property>
  <property fmtid="{D5CDD505-2E9C-101B-9397-08002B2CF9AE}" pid="160" name="FSC#HonorarAnsatzPro">
    <vt:lpwstr/>
  </property>
  <property fmtid="{D5CDD505-2E9C-101B-9397-08002B2CF9AE}" pid="161" name="FSC#HonorarAnsatz">
    <vt:lpwstr/>
  </property>
  <property fmtid="{D5CDD505-2E9C-101B-9397-08002B2CF9AE}" pid="162" name="FSC#MWST">
    <vt:lpwstr/>
  </property>
  <property fmtid="{D5CDD505-2E9C-101B-9397-08002B2CF9AE}" pid="163" name="FSC#ARECFG@100.2000:Doc_Sprache">
    <vt:lpwstr>SUBLANG_FRENCH_UVEK</vt:lpwstr>
  </property>
  <property fmtid="{D5CDD505-2E9C-101B-9397-08002B2CF9AE}" pid="164" name="FSC#ARECFG@100.2000:Proj_Anteil_1">
    <vt:lpwstr/>
  </property>
  <property fmtid="{D5CDD505-2E9C-101B-9397-08002B2CF9AE}" pid="165" name="FSC#ARECFG@100.2000:Proj_Anteil_2">
    <vt:lpwstr/>
  </property>
  <property fmtid="{D5CDD505-2E9C-101B-9397-08002B2CF9AE}" pid="166" name="FSC#ARECFG@100.2000:Proj_Anteil_3">
    <vt:lpwstr/>
  </property>
  <property fmtid="{D5CDD505-2E9C-101B-9397-08002B2CF9AE}" pid="167" name="FSC#ARECFG@100.2000:Proj_Anteil_4">
    <vt:lpwstr/>
  </property>
  <property fmtid="{D5CDD505-2E9C-101B-9397-08002B2CF9AE}" pid="168" name="FSC#ARECFG@100.2000:Proj_Anteil_5">
    <vt:lpwstr/>
  </property>
  <property fmtid="{D5CDD505-2E9C-101B-9397-08002B2CF9AE}" pid="169" name="FSC#ARECFG@100.2000:Vert_Anteil_ARE_1">
    <vt:lpwstr/>
  </property>
  <property fmtid="{D5CDD505-2E9C-101B-9397-08002B2CF9AE}" pid="170" name="FSC#ARECFG@100.2000:Vert_Anteil_ARE_2">
    <vt:lpwstr/>
  </property>
  <property fmtid="{D5CDD505-2E9C-101B-9397-08002B2CF9AE}" pid="171" name="FSC#ARECFG@100.2000:Vert_Anteil_ARE_3">
    <vt:lpwstr/>
  </property>
  <property fmtid="{D5CDD505-2E9C-101B-9397-08002B2CF9AE}" pid="172" name="FSC#ARECFG@100.2000:Vert_Anteil_ARE_4">
    <vt:lpwstr/>
  </property>
  <property fmtid="{D5CDD505-2E9C-101B-9397-08002B2CF9AE}" pid="173" name="FSC#ARECFG@100.2000:Vert_Anteil_ARE_5">
    <vt:lpwstr/>
  </property>
  <property fmtid="{D5CDD505-2E9C-101B-9397-08002B2CF9AE}" pid="174" name="FSC#UVEKCFG@15.1700:DocumentNumber">
    <vt:lpwstr>2017-06-27-0046</vt:lpwstr>
  </property>
  <property fmtid="{D5CDD505-2E9C-101B-9397-08002B2CF9AE}" pid="175" name="FSC#UVEKCFG@15.1700:AssignmentNumber">
    <vt:lpwstr/>
  </property>
  <property fmtid="{D5CDD505-2E9C-101B-9397-08002B2CF9AE}" pid="176" name="FSC#UVEKCFG@15.1700:EM_Personal">
    <vt:lpwstr/>
  </property>
  <property fmtid="{D5CDD505-2E9C-101B-9397-08002B2CF9AE}" pid="177" name="FSC#UVEKCFG@15.1700:EM_Geschlecht">
    <vt:lpwstr/>
  </property>
  <property fmtid="{D5CDD505-2E9C-101B-9397-08002B2CF9AE}" pid="178" name="FSC#UVEKCFG@15.1700:EM_GebDatum">
    <vt:lpwstr/>
  </property>
  <property fmtid="{D5CDD505-2E9C-101B-9397-08002B2CF9AE}" pid="179" name="FSC#UVEKCFG@15.1700:EM_Funktion">
    <vt:lpwstr/>
  </property>
  <property fmtid="{D5CDD505-2E9C-101B-9397-08002B2CF9AE}" pid="180" name="FSC#UVEKCFG@15.1700:EM_Beruf">
    <vt:lpwstr/>
  </property>
  <property fmtid="{D5CDD505-2E9C-101B-9397-08002B2CF9AE}" pid="181" name="FSC#UVEKCFG@15.1700:EM_SVNR">
    <vt:lpwstr/>
  </property>
  <property fmtid="{D5CDD505-2E9C-101B-9397-08002B2CF9AE}" pid="182" name="FSC#UVEKCFG@15.1700:EM_Familienstand">
    <vt:lpwstr/>
  </property>
  <property fmtid="{D5CDD505-2E9C-101B-9397-08002B2CF9AE}" pid="183" name="FSC#UVEKCFG@15.1700:EM_Muttersprache">
    <vt:lpwstr/>
  </property>
  <property fmtid="{D5CDD505-2E9C-101B-9397-08002B2CF9AE}" pid="184" name="FSC#UVEKCFG@15.1700:EM_Geboren_in">
    <vt:lpwstr/>
  </property>
  <property fmtid="{D5CDD505-2E9C-101B-9397-08002B2CF9AE}" pid="185" name="FSC#UVEKCFG@15.1700:EM_Briefanrede">
    <vt:lpwstr/>
  </property>
  <property fmtid="{D5CDD505-2E9C-101B-9397-08002B2CF9AE}" pid="186" name="FSC#UVEKCFG@15.1700:EM_Kommunikationssprache">
    <vt:lpwstr/>
  </property>
  <property fmtid="{D5CDD505-2E9C-101B-9397-08002B2CF9AE}" pid="187" name="FSC#UVEKCFG@15.1700:EM_Webseite">
    <vt:lpwstr/>
  </property>
  <property fmtid="{D5CDD505-2E9C-101B-9397-08002B2CF9AE}" pid="188" name="FSC#UVEKCFG@15.1700:EM_TelNr_Business">
    <vt:lpwstr/>
  </property>
  <property fmtid="{D5CDD505-2E9C-101B-9397-08002B2CF9AE}" pid="189" name="FSC#UVEKCFG@15.1700:EM_TelNr_Private">
    <vt:lpwstr/>
  </property>
  <property fmtid="{D5CDD505-2E9C-101B-9397-08002B2CF9AE}" pid="190" name="FSC#UVEKCFG@15.1700:EM_TelNr_Mobile">
    <vt:lpwstr/>
  </property>
  <property fmtid="{D5CDD505-2E9C-101B-9397-08002B2CF9AE}" pid="191" name="FSC#UVEKCFG@15.1700:EM_TelNr_Other">
    <vt:lpwstr/>
  </property>
  <property fmtid="{D5CDD505-2E9C-101B-9397-08002B2CF9AE}" pid="192" name="FSC#UVEKCFG@15.1700:EM_EMail1">
    <vt:lpwstr/>
  </property>
  <property fmtid="{D5CDD505-2E9C-101B-9397-08002B2CF9AE}" pid="193" name="FSC#UVEKCFG@15.1700:EM_EMail2">
    <vt:lpwstr/>
  </property>
  <property fmtid="{D5CDD505-2E9C-101B-9397-08002B2CF9AE}" pid="194" name="FSC#UVEKCFG@15.1700:EM_EMail3">
    <vt:lpwstr/>
  </property>
  <property fmtid="{D5CDD505-2E9C-101B-9397-08002B2CF9AE}" pid="195" name="FSC#UVEKCFG@15.1700:EM_Name">
    <vt:lpwstr/>
  </property>
  <property fmtid="{D5CDD505-2E9C-101B-9397-08002B2CF9AE}" pid="196" name="FSC#UVEKCFG@15.1700:EM_UID">
    <vt:lpwstr/>
  </property>
  <property fmtid="{D5CDD505-2E9C-101B-9397-08002B2CF9AE}" pid="197" name="FSC#UVEKCFG@15.1700:EM_Rechtsform">
    <vt:lpwstr/>
  </property>
  <property fmtid="{D5CDD505-2E9C-101B-9397-08002B2CF9AE}" pid="198" name="FSC#UVEKCFG@15.1700:EM_Klassifizierung">
    <vt:lpwstr/>
  </property>
  <property fmtid="{D5CDD505-2E9C-101B-9397-08002B2CF9AE}" pid="199" name="FSC#UVEKCFG@15.1700:EM_Gruendungsjahr">
    <vt:lpwstr/>
  </property>
  <property fmtid="{D5CDD505-2E9C-101B-9397-08002B2CF9AE}" pid="200" name="FSC#UVEKCFG@15.1700:EM_Versandart">
    <vt:lpwstr>Posta B</vt:lpwstr>
  </property>
  <property fmtid="{D5CDD505-2E9C-101B-9397-08002B2CF9AE}" pid="201" name="FSC#UVEKCFG@15.1700:EM_Versandvermek">
    <vt:lpwstr/>
  </property>
  <property fmtid="{D5CDD505-2E9C-101B-9397-08002B2CF9AE}" pid="202" name="FSC#UVEKCFG@15.1700:EM_Anrede">
    <vt:lpwstr/>
  </property>
  <property fmtid="{D5CDD505-2E9C-101B-9397-08002B2CF9AE}" pid="203" name="FSC#UVEKCFG@15.1700:EM_Titel">
    <vt:lpwstr/>
  </property>
  <property fmtid="{D5CDD505-2E9C-101B-9397-08002B2CF9AE}" pid="204" name="FSC#UVEKCFG@15.1700:EM_Nachgestellter_Titel">
    <vt:lpwstr/>
  </property>
  <property fmtid="{D5CDD505-2E9C-101B-9397-08002B2CF9AE}" pid="205" name="FSC#UVEKCFG@15.1700:EM_Vorname">
    <vt:lpwstr/>
  </property>
  <property fmtid="{D5CDD505-2E9C-101B-9397-08002B2CF9AE}" pid="206" name="FSC#UVEKCFG@15.1700:EM_Nachname">
    <vt:lpwstr/>
  </property>
  <property fmtid="{D5CDD505-2E9C-101B-9397-08002B2CF9AE}" pid="207" name="FSC#UVEKCFG@15.1700:EM_Kurzbezeichnung">
    <vt:lpwstr/>
  </property>
  <property fmtid="{D5CDD505-2E9C-101B-9397-08002B2CF9AE}" pid="208" name="FSC#UVEKCFG@15.1700:EM_Organisations_Zeile_1">
    <vt:lpwstr/>
  </property>
  <property fmtid="{D5CDD505-2E9C-101B-9397-08002B2CF9AE}" pid="209" name="FSC#UVEKCFG@15.1700:EM_Organisations_Zeile_2">
    <vt:lpwstr/>
  </property>
  <property fmtid="{D5CDD505-2E9C-101B-9397-08002B2CF9AE}" pid="210" name="FSC#UVEKCFG@15.1700:EM_Organisations_Zeile_3">
    <vt:lpwstr/>
  </property>
  <property fmtid="{D5CDD505-2E9C-101B-9397-08002B2CF9AE}" pid="211" name="FSC#UVEKCFG@15.1700:EM_Strasse">
    <vt:lpwstr/>
  </property>
  <property fmtid="{D5CDD505-2E9C-101B-9397-08002B2CF9AE}" pid="212" name="FSC#UVEKCFG@15.1700:EM_Hausnummer">
    <vt:lpwstr/>
  </property>
  <property fmtid="{D5CDD505-2E9C-101B-9397-08002B2CF9AE}" pid="213" name="FSC#UVEKCFG@15.1700:EM_Strasse2">
    <vt:lpwstr/>
  </property>
  <property fmtid="{D5CDD505-2E9C-101B-9397-08002B2CF9AE}" pid="214" name="FSC#UVEKCFG@15.1700:EM_Hausnummer_Zusatz">
    <vt:lpwstr/>
  </property>
  <property fmtid="{D5CDD505-2E9C-101B-9397-08002B2CF9AE}" pid="215" name="FSC#UVEKCFG@15.1700:EM_Postfach">
    <vt:lpwstr/>
  </property>
  <property fmtid="{D5CDD505-2E9C-101B-9397-08002B2CF9AE}" pid="216" name="FSC#UVEKCFG@15.1700:EM_PLZ">
    <vt:lpwstr/>
  </property>
  <property fmtid="{D5CDD505-2E9C-101B-9397-08002B2CF9AE}" pid="217" name="FSC#UVEKCFG@15.1700:EM_Ort">
    <vt:lpwstr/>
  </property>
  <property fmtid="{D5CDD505-2E9C-101B-9397-08002B2CF9AE}" pid="218" name="FSC#UVEKCFG@15.1700:EM_Land">
    <vt:lpwstr/>
  </property>
  <property fmtid="{D5CDD505-2E9C-101B-9397-08002B2CF9AE}" pid="219" name="FSC#UVEKCFG@15.1700:EM_E_Mail_Adresse">
    <vt:lpwstr/>
  </property>
  <property fmtid="{D5CDD505-2E9C-101B-9397-08002B2CF9AE}" pid="220" name="FSC#UVEKCFG@15.1700:EM_Funktionsbezeichnung">
    <vt:lpwstr/>
  </property>
  <property fmtid="{D5CDD505-2E9C-101B-9397-08002B2CF9AE}" pid="221" name="FSC#UVEKCFG@15.1700:EM_Serienbrieffeld_1">
    <vt:lpwstr/>
  </property>
  <property fmtid="{D5CDD505-2E9C-101B-9397-08002B2CF9AE}" pid="222" name="FSC#UVEKCFG@15.1700:EM_Serienbrieffeld_2">
    <vt:lpwstr/>
  </property>
  <property fmtid="{D5CDD505-2E9C-101B-9397-08002B2CF9AE}" pid="223" name="FSC#UVEKCFG@15.1700:EM_Serienbrieffeld_3">
    <vt:lpwstr/>
  </property>
  <property fmtid="{D5CDD505-2E9C-101B-9397-08002B2CF9AE}" pid="224" name="FSC#UVEKCFG@15.1700:EM_Serienbrieffeld_4">
    <vt:lpwstr/>
  </property>
  <property fmtid="{D5CDD505-2E9C-101B-9397-08002B2CF9AE}" pid="225" name="FSC#UVEKCFG@15.1700:EM_Serienbrieffeld_5">
    <vt:lpwstr/>
  </property>
  <property fmtid="{D5CDD505-2E9C-101B-9397-08002B2CF9AE}" pid="226" name="FSC#UVEKCFG@15.1700:EM_Addresse_CH">
    <vt:lpwstr/>
  </property>
  <property fmtid="{D5CDD505-2E9C-101B-9397-08002B2CF9AE}" pid="227" name="FSC#UVEKCFG@15.1700:EM_Addresse_EU">
    <vt:lpwstr/>
  </property>
  <property fmtid="{D5CDD505-2E9C-101B-9397-08002B2CF9AE}" pid="228" name="FSC#UVEKCFG@15.1700:EM_Addresse_UK">
    <vt:lpwstr/>
  </property>
  <property fmtid="{D5CDD505-2E9C-101B-9397-08002B2CF9AE}" pid="229" name="FSC#UVEKCFG@15.1700:EM_Addresse_US">
    <vt:lpwstr/>
  </property>
  <property fmtid="{D5CDD505-2E9C-101B-9397-08002B2CF9AE}" pid="230" name="FSC#UVEKCFG@15.1700:EM_TelNr_Fax">
    <vt:lpwstr/>
  </property>
  <property fmtid="{D5CDD505-2E9C-101B-9397-08002B2CF9AE}" pid="231" name="FSC#UVEKCFG@15.1700:EM_Address">
    <vt:lpwstr/>
  </property>
  <property fmtid="{D5CDD505-2E9C-101B-9397-08002B2CF9AE}" pid="232" name="FSC#UVEKCFG@15.1700:Abs_Nachname">
    <vt:lpwstr/>
  </property>
  <property fmtid="{D5CDD505-2E9C-101B-9397-08002B2CF9AE}" pid="233" name="FSC#UVEKCFG@15.1700:Abs_Vorname">
    <vt:lpwstr/>
  </property>
  <property fmtid="{D5CDD505-2E9C-101B-9397-08002B2CF9AE}" pid="234" name="FSC#UVEKCFG@15.1700:Abs_Zeichen">
    <vt:lpwstr/>
  </property>
  <property fmtid="{D5CDD505-2E9C-101B-9397-08002B2CF9AE}" pid="235" name="FSC#UVEKCFG@15.1700:Anrede">
    <vt:lpwstr/>
  </property>
  <property fmtid="{D5CDD505-2E9C-101B-9397-08002B2CF9AE}" pid="236" name="FSC#UVEKCFG@15.1700:EM_Versandartspez">
    <vt:lpwstr/>
  </property>
  <property fmtid="{D5CDD505-2E9C-101B-9397-08002B2CF9AE}" pid="237" name="FSC#UVEKCFG@15.1700:Briefdatum">
    <vt:lpwstr>03.04.2018</vt:lpwstr>
  </property>
  <property fmtid="{D5CDD505-2E9C-101B-9397-08002B2CF9AE}" pid="238" name="FSC#UVEKCFG@15.1700:Empf_Zeichen">
    <vt:lpwstr/>
  </property>
  <property fmtid="{D5CDD505-2E9C-101B-9397-08002B2CF9AE}" pid="239" name="FSC#UVEKCFG@15.1700:FilialePLZ">
    <vt:lpwstr/>
  </property>
  <property fmtid="{D5CDD505-2E9C-101B-9397-08002B2CF9AE}" pid="240" name="FSC#UVEKCFG@15.1700:Gegenstand">
    <vt:lpwstr>Konzept Windenergie DE [27.06.2017]</vt:lpwstr>
  </property>
  <property fmtid="{D5CDD505-2E9C-101B-9397-08002B2CF9AE}" pid="241" name="FSC#UVEKCFG@15.1700:Nummer">
    <vt:lpwstr>2017-06-27-0046</vt:lpwstr>
  </property>
  <property fmtid="{D5CDD505-2E9C-101B-9397-08002B2CF9AE}" pid="242" name="FSC#UVEKCFG@15.1700:Unterschrift_Nachname">
    <vt:lpwstr/>
  </property>
  <property fmtid="{D5CDD505-2E9C-101B-9397-08002B2CF9AE}" pid="243" name="FSC#UVEKCFG@15.1700:Unterschrift_Vorname">
    <vt:lpwstr/>
  </property>
  <property fmtid="{D5CDD505-2E9C-101B-9397-08002B2CF9AE}" pid="244" name="ContentTypeId">
    <vt:lpwstr>0x0101005F9612DF438B5A47B14598812F0FBE46</vt:lpwstr>
  </property>
</Properties>
</file>