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2840" w14:textId="16EC69B8" w:rsidR="00C82F5A" w:rsidRPr="00E51727" w:rsidRDefault="00F36591">
      <w:pPr>
        <w:pStyle w:val="Titel"/>
        <w:rPr>
          <w:rFonts w:eastAsiaTheme="minorEastAsia"/>
          <w:lang w:val="it-CH" w:eastAsia="en-US"/>
        </w:rPr>
      </w:pPr>
      <w:r w:rsidRPr="00E51727">
        <w:rPr>
          <w:rFonts w:eastAsiaTheme="minorEastAsia"/>
          <w:lang w:val="it-CH" w:eastAsia="en-US"/>
        </w:rPr>
        <w:t>Piano</w:t>
      </w:r>
      <w:r w:rsidRPr="00E51727">
        <w:rPr>
          <w:lang w:val="it-CH"/>
        </w:rPr>
        <w:t xml:space="preserve"> </w:t>
      </w:r>
      <w:r w:rsidRPr="00E51727">
        <w:rPr>
          <w:rFonts w:eastAsiaTheme="minorEastAsia"/>
          <w:lang w:val="it-CH" w:eastAsia="en-US"/>
        </w:rPr>
        <w:t>settoriale delle superfici per l’avvicendamento delle colture</w:t>
      </w:r>
    </w:p>
    <w:p w14:paraId="5663511C" w14:textId="6EB06E00" w:rsidR="001E7906" w:rsidRPr="00E51727" w:rsidRDefault="001E7906">
      <w:pPr>
        <w:spacing w:after="160" w:line="259" w:lineRule="auto"/>
        <w:rPr>
          <w:rFonts w:eastAsiaTheme="minorEastAsia" w:cs="Arial"/>
          <w:color w:val="808080" w:themeColor="background1" w:themeShade="80"/>
          <w:lang w:val="it-CH" w:eastAsia="en-US"/>
        </w:rPr>
      </w:pPr>
      <w:r w:rsidRPr="00657DD5">
        <w:rPr>
          <w:rFonts w:eastAsiaTheme="minorEastAsia" w:cs="Arial"/>
          <w:color w:val="808080" w:themeColor="background1" w:themeShade="80"/>
          <w:lang w:val="it-CH" w:eastAsia="en-US"/>
        </w:rPr>
        <w:t>(</w:t>
      </w:r>
      <w:r w:rsidR="00DB1112" w:rsidRPr="00657DD5">
        <w:rPr>
          <w:rFonts w:eastAsiaTheme="minorEastAsia" w:cs="Arial"/>
          <w:color w:val="808080" w:themeColor="background1" w:themeShade="80"/>
          <w:lang w:val="it-CH" w:eastAsia="en-US"/>
        </w:rPr>
        <w:t>Versione per l’audizione, dicembre 2018</w:t>
      </w:r>
      <w:r w:rsidRPr="00657DD5">
        <w:rPr>
          <w:rFonts w:eastAsiaTheme="minorEastAsia" w:cs="Arial"/>
          <w:color w:val="808080" w:themeColor="background1" w:themeShade="80"/>
          <w:lang w:val="it-CH" w:eastAsia="en-US"/>
        </w:rPr>
        <w:t>)</w:t>
      </w:r>
    </w:p>
    <w:p w14:paraId="5BD89F12" w14:textId="473BA630" w:rsidR="00C82F5A" w:rsidRPr="00E51727" w:rsidRDefault="00C82F5A">
      <w:pPr>
        <w:spacing w:after="160" w:line="259" w:lineRule="auto"/>
        <w:rPr>
          <w:rFonts w:eastAsiaTheme="minorEastAsia" w:cs="Arial"/>
          <w:color w:val="808080" w:themeColor="background1" w:themeShade="80"/>
          <w:lang w:val="it-CH" w:eastAsia="en-US"/>
        </w:rPr>
      </w:pPr>
      <w:r w:rsidRPr="00E51727">
        <w:rPr>
          <w:rFonts w:eastAsiaTheme="minorEastAsia" w:cs="Arial"/>
          <w:color w:val="808080" w:themeColor="background1" w:themeShade="80"/>
          <w:lang w:val="it-CH" w:eastAsia="en-US"/>
        </w:rPr>
        <w:br w:type="page"/>
      </w:r>
    </w:p>
    <w:p w14:paraId="5A52AC02" w14:textId="64982543" w:rsidR="00524CF9" w:rsidRPr="00524CF9" w:rsidRDefault="00524CF9" w:rsidP="00524CF9">
      <w:pPr>
        <w:autoSpaceDE w:val="0"/>
        <w:autoSpaceDN w:val="0"/>
        <w:adjustRightInd w:val="0"/>
        <w:jc w:val="both"/>
        <w:rPr>
          <w:rFonts w:eastAsiaTheme="minorEastAsia" w:cs="Arial"/>
          <w:color w:val="808080" w:themeColor="text1" w:themeTint="7F"/>
          <w:lang w:val="it-CH" w:eastAsia="en-US"/>
        </w:rPr>
      </w:pPr>
      <w:r w:rsidRPr="00524CF9">
        <w:rPr>
          <w:rFonts w:eastAsiaTheme="minorEastAsia" w:cs="Arial"/>
          <w:color w:val="808080" w:themeColor="text1" w:themeTint="7F"/>
          <w:lang w:val="it-CH" w:eastAsia="en-US"/>
        </w:rPr>
        <w:lastRenderedPageBreak/>
        <w:t xml:space="preserve">Le concezioni e i piani settoriali ai sensi dell’articolo 13 della legge </w:t>
      </w:r>
      <w:r w:rsidR="009E764D" w:rsidRPr="00524CF9">
        <w:rPr>
          <w:rFonts w:eastAsiaTheme="minorEastAsia" w:cs="Arial"/>
          <w:color w:val="808080" w:themeColor="text1" w:themeTint="7F"/>
          <w:lang w:val="it-CH" w:eastAsia="en-US"/>
        </w:rPr>
        <w:t>del 22 giugno 1979</w:t>
      </w:r>
      <w:r w:rsidR="009E764D">
        <w:rPr>
          <w:rFonts w:eastAsiaTheme="minorEastAsia" w:cs="Arial"/>
          <w:color w:val="808080" w:themeColor="text1" w:themeTint="7F"/>
          <w:lang w:val="it-CH" w:eastAsia="en-US"/>
        </w:rPr>
        <w:t xml:space="preserve"> </w:t>
      </w:r>
      <w:r w:rsidRPr="00524CF9">
        <w:rPr>
          <w:rFonts w:eastAsiaTheme="minorEastAsia" w:cs="Arial"/>
          <w:color w:val="808080" w:themeColor="text1" w:themeTint="7F"/>
          <w:lang w:val="it-CH" w:eastAsia="en-US"/>
        </w:rPr>
        <w:t xml:space="preserve">sulla pianificazione del territorio (LPT; RS 700) costituiscono i principali strumenti pianificatori della Confederazione. Questi strumenti permettono alla Confederazione di soddisfare le disposizioni legali, di pianificare e coordinare i suoi compiti d’incidenza territoriale e di risolvere in maniera adeguata le problematiche, sempre più complesse, legate all’adempimento di compiti o alla realizzazione di progetti di interesse nazionale. Nell’ambito delle concezioni e dei piani settoriali, la Confederazione mostra come prevede di adempiere ai suoi compiti in un ambito settoriale o tematico, precisando gli obiettivi che vuole conseguire e le condizioni o le disposizioni da rispettare. Elaborati in stretta collaborazione tra i Servizi federali e i Cantoni, questi strumenti contribuiscono ad armonizzare gli sforzi della Confederazione e dei Cantoni in materia di pianificazione del territorio. </w:t>
      </w:r>
    </w:p>
    <w:p w14:paraId="22579D78" w14:textId="3BDA5C13" w:rsidR="004D5429" w:rsidRPr="00E51727" w:rsidRDefault="00524CF9" w:rsidP="00524CF9">
      <w:pPr>
        <w:autoSpaceDE w:val="0"/>
        <w:autoSpaceDN w:val="0"/>
        <w:adjustRightInd w:val="0"/>
        <w:jc w:val="both"/>
        <w:rPr>
          <w:rFonts w:eastAsiaTheme="minorEastAsia" w:cs="Arial"/>
          <w:i/>
          <w:iCs/>
          <w:color w:val="000000" w:themeColor="text1"/>
          <w:lang w:val="it-CH" w:eastAsia="en-US"/>
        </w:rPr>
      </w:pPr>
      <w:r w:rsidRPr="00524CF9">
        <w:rPr>
          <w:rFonts w:eastAsiaTheme="minorEastAsia" w:cs="Arial"/>
          <w:i/>
          <w:iCs/>
          <w:color w:val="808080" w:themeColor="text1" w:themeTint="7F"/>
          <w:lang w:val="it-CH" w:eastAsia="en-US"/>
        </w:rPr>
        <w:t xml:space="preserve">Ai sensi degli articoli 26 e segg. dell’ordinanza </w:t>
      </w:r>
      <w:r w:rsidR="009E764D" w:rsidRPr="00524CF9">
        <w:rPr>
          <w:rFonts w:eastAsiaTheme="minorEastAsia" w:cs="Arial"/>
          <w:i/>
          <w:iCs/>
          <w:color w:val="808080" w:themeColor="text1" w:themeTint="7F"/>
          <w:lang w:val="it-CH" w:eastAsia="en-US"/>
        </w:rPr>
        <w:t xml:space="preserve">del 28 giugno 2000 </w:t>
      </w:r>
      <w:r w:rsidRPr="00524CF9">
        <w:rPr>
          <w:rFonts w:eastAsiaTheme="minorEastAsia" w:cs="Arial"/>
          <w:i/>
          <w:iCs/>
          <w:color w:val="808080" w:themeColor="text1" w:themeTint="7F"/>
          <w:lang w:val="it-CH" w:eastAsia="en-US"/>
        </w:rPr>
        <w:t>sulla pianificazione del territorio (OPT; RS 700.1), nel Piano settoriale delle superfici per l’avvicendamento delle colture (SAC) non viene previsto, a differenza degli altri piani settoriali della Confederazione, alcun progetto, ma viene invece fissata l’estensione minima nazionale delle superfici per l'avvicendamento delle colture e la rispettiva ripartizione tra i Cantoni. Viene altresì definita la gestione territoriale delle SAC</w:t>
      </w:r>
      <w:r w:rsidR="3120AD34" w:rsidRPr="00E51727">
        <w:rPr>
          <w:rFonts w:eastAsiaTheme="minorEastAsia" w:cs="Arial"/>
          <w:i/>
          <w:iCs/>
          <w:color w:val="808080" w:themeColor="background1" w:themeShade="80"/>
          <w:lang w:val="it-CH" w:eastAsia="en-US"/>
        </w:rPr>
        <w:t>.</w:t>
      </w:r>
    </w:p>
    <w:p w14:paraId="4E4C406F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5E50D470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5DF2BF07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4497506D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7BF53A1D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09C3668C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2841ADA7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7AAF9A42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3DBDD7D4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370DB19D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2363A675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40F5A8DA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2B5B7E93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70139CE6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3B77190B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63088DA4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5A2EB3D4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4CB5B165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71634050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07A727FD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32B5D02E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04004231" w14:textId="77777777" w:rsidR="00D726BD" w:rsidRPr="00E51727" w:rsidRDefault="00D726BD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77C2F595" w14:textId="77777777" w:rsidR="00F50688" w:rsidRPr="00E51727" w:rsidRDefault="00F50688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429EC1E1" w14:textId="77777777" w:rsidR="00FA33BB" w:rsidRPr="00E51727" w:rsidRDefault="00FA33BB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322CE821" w14:textId="47CDF048" w:rsidR="00FA33BB" w:rsidRPr="00E51727" w:rsidRDefault="00FA33BB" w:rsidP="00355364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648FFE95" w14:textId="77777777" w:rsidR="006F6F6F" w:rsidRPr="00E51727" w:rsidRDefault="006F6F6F">
      <w:pPr>
        <w:spacing w:after="160" w:line="259" w:lineRule="auto"/>
        <w:rPr>
          <w:rFonts w:eastAsiaTheme="minorEastAsia" w:cs="Arial"/>
          <w:b/>
          <w:bCs/>
          <w:sz w:val="16"/>
          <w:szCs w:val="16"/>
          <w:u w:val="single"/>
          <w:lang w:val="it-CH"/>
        </w:rPr>
      </w:pPr>
      <w:r w:rsidRPr="00E51727">
        <w:rPr>
          <w:rFonts w:eastAsiaTheme="minorEastAsia" w:cs="Arial"/>
          <w:b/>
          <w:bCs/>
          <w:sz w:val="16"/>
          <w:szCs w:val="16"/>
          <w:u w:val="single"/>
          <w:lang w:val="it-CH"/>
        </w:rPr>
        <w:br w:type="page"/>
      </w:r>
    </w:p>
    <w:p w14:paraId="0A525899" w14:textId="77777777" w:rsidR="006E0169" w:rsidRPr="00E51727" w:rsidRDefault="006E0169" w:rsidP="006E0169">
      <w:pPr>
        <w:autoSpaceDE w:val="0"/>
        <w:autoSpaceDN w:val="0"/>
        <w:adjustRightInd w:val="0"/>
        <w:spacing w:line="240" w:lineRule="auto"/>
        <w:rPr>
          <w:rFonts w:eastAsiaTheme="minorEastAsia" w:cs="Arial"/>
          <w:b/>
          <w:sz w:val="16"/>
          <w:szCs w:val="16"/>
          <w:u w:val="single"/>
          <w:lang w:val="it-CH"/>
        </w:rPr>
      </w:pPr>
      <w:r w:rsidRPr="00E51727">
        <w:rPr>
          <w:rFonts w:eastAsiaTheme="minorEastAsia" w:cs="Arial"/>
          <w:b/>
          <w:bCs/>
          <w:sz w:val="16"/>
          <w:szCs w:val="16"/>
          <w:u w:val="single"/>
          <w:lang w:val="it-CH"/>
        </w:rPr>
        <w:lastRenderedPageBreak/>
        <w:t>Editore</w:t>
      </w:r>
    </w:p>
    <w:p w14:paraId="141D9577" w14:textId="77777777" w:rsidR="006E0169" w:rsidRPr="00E51727" w:rsidRDefault="006E0169" w:rsidP="006E0169">
      <w:pPr>
        <w:autoSpaceDE w:val="0"/>
        <w:autoSpaceDN w:val="0"/>
        <w:adjustRightInd w:val="0"/>
        <w:spacing w:line="240" w:lineRule="auto"/>
        <w:rPr>
          <w:rFonts w:eastAsiaTheme="minorEastAsia" w:cs="Arial"/>
          <w:sz w:val="16"/>
          <w:szCs w:val="16"/>
          <w:lang w:val="it-CH"/>
        </w:rPr>
      </w:pPr>
      <w:r w:rsidRPr="00E51727">
        <w:rPr>
          <w:rFonts w:eastAsiaTheme="minorEastAsia" w:cs="Arial"/>
          <w:sz w:val="16"/>
          <w:szCs w:val="16"/>
          <w:lang w:val="it-CH"/>
        </w:rPr>
        <w:t>Ufficio federale dello sviluppo territoriale (ARE)</w:t>
      </w:r>
    </w:p>
    <w:p w14:paraId="4DFBAC54" w14:textId="77777777" w:rsidR="006E0169" w:rsidRPr="00E51727" w:rsidRDefault="006E0169" w:rsidP="006E016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16"/>
          <w:szCs w:val="14"/>
          <w:lang w:val="it-CH"/>
        </w:rPr>
      </w:pPr>
    </w:p>
    <w:p w14:paraId="4B0EF1E6" w14:textId="77777777" w:rsidR="006E0169" w:rsidRPr="00E51727" w:rsidRDefault="006E0169" w:rsidP="006E0169">
      <w:pPr>
        <w:autoSpaceDE w:val="0"/>
        <w:autoSpaceDN w:val="0"/>
        <w:adjustRightInd w:val="0"/>
        <w:spacing w:line="240" w:lineRule="auto"/>
        <w:rPr>
          <w:rFonts w:eastAsiaTheme="minorEastAsia" w:cs="Arial"/>
          <w:b/>
          <w:sz w:val="16"/>
          <w:szCs w:val="16"/>
          <w:u w:val="single"/>
          <w:lang w:val="it-CH"/>
        </w:rPr>
      </w:pPr>
      <w:r w:rsidRPr="00E51727">
        <w:rPr>
          <w:rFonts w:eastAsiaTheme="minorEastAsia" w:cs="Arial"/>
          <w:b/>
          <w:bCs/>
          <w:sz w:val="16"/>
          <w:szCs w:val="16"/>
          <w:u w:val="single"/>
          <w:lang w:val="it-CH"/>
        </w:rPr>
        <w:t>Servizi federali coinvolti nell'elaborazione</w:t>
      </w:r>
    </w:p>
    <w:p w14:paraId="1762E72A" w14:textId="77777777" w:rsidR="006E0169" w:rsidRPr="00E51727" w:rsidRDefault="006E0169" w:rsidP="006E0169">
      <w:pPr>
        <w:autoSpaceDE w:val="0"/>
        <w:autoSpaceDN w:val="0"/>
        <w:adjustRightInd w:val="0"/>
        <w:spacing w:line="240" w:lineRule="auto"/>
        <w:rPr>
          <w:rFonts w:eastAsiaTheme="minorEastAsia" w:cs="Arial"/>
          <w:sz w:val="16"/>
          <w:szCs w:val="16"/>
          <w:lang w:val="it-CH"/>
        </w:rPr>
      </w:pPr>
      <w:r w:rsidRPr="00E51727">
        <w:rPr>
          <w:rFonts w:eastAsiaTheme="minorEastAsia" w:cs="Arial"/>
          <w:sz w:val="16"/>
          <w:szCs w:val="16"/>
          <w:lang w:val="it-CH"/>
        </w:rPr>
        <w:t>Ufficio federale dell’agricoltura (UFAG)</w:t>
      </w:r>
    </w:p>
    <w:p w14:paraId="484AEB3B" w14:textId="77777777" w:rsidR="006E0169" w:rsidRPr="00E51727" w:rsidRDefault="006E0169" w:rsidP="006E0169">
      <w:pPr>
        <w:autoSpaceDE w:val="0"/>
        <w:autoSpaceDN w:val="0"/>
        <w:adjustRightInd w:val="0"/>
        <w:spacing w:line="240" w:lineRule="auto"/>
        <w:rPr>
          <w:rFonts w:eastAsiaTheme="minorEastAsia" w:cs="Arial"/>
          <w:sz w:val="16"/>
          <w:szCs w:val="16"/>
          <w:lang w:val="it-CH"/>
        </w:rPr>
      </w:pPr>
      <w:r w:rsidRPr="00E51727">
        <w:rPr>
          <w:rFonts w:eastAsiaTheme="minorEastAsia" w:cs="Arial"/>
          <w:sz w:val="16"/>
          <w:szCs w:val="16"/>
          <w:lang w:val="it-CH"/>
        </w:rPr>
        <w:t>Ufficio federale dell’ambiente (UFAM)</w:t>
      </w:r>
    </w:p>
    <w:p w14:paraId="7D2F2061" w14:textId="1CB62836" w:rsidR="006E0169" w:rsidRPr="00E51727" w:rsidRDefault="006E0169" w:rsidP="006E0169">
      <w:pPr>
        <w:autoSpaceDE w:val="0"/>
        <w:autoSpaceDN w:val="0"/>
        <w:adjustRightInd w:val="0"/>
        <w:spacing w:line="240" w:lineRule="auto"/>
        <w:rPr>
          <w:rFonts w:eastAsiaTheme="minorEastAsia" w:cs="Arial"/>
          <w:sz w:val="16"/>
          <w:szCs w:val="16"/>
          <w:lang w:val="it-CH"/>
        </w:rPr>
      </w:pPr>
      <w:r w:rsidRPr="00E51727">
        <w:rPr>
          <w:rFonts w:eastAsiaTheme="minorEastAsia" w:cs="Arial"/>
          <w:sz w:val="16"/>
          <w:szCs w:val="16"/>
          <w:lang w:val="it-CH"/>
        </w:rPr>
        <w:t>Ufficio federale per l’approvvigionamento economico del Paese (UFAE)</w:t>
      </w:r>
    </w:p>
    <w:p w14:paraId="13FA234D" w14:textId="77777777" w:rsidR="006E0169" w:rsidRPr="00E51727" w:rsidRDefault="006E0169" w:rsidP="006E016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16"/>
          <w:szCs w:val="14"/>
          <w:lang w:val="it-CH"/>
        </w:rPr>
      </w:pPr>
    </w:p>
    <w:p w14:paraId="7E28F066" w14:textId="4466C133" w:rsidR="006E0169" w:rsidRPr="00E51727" w:rsidRDefault="006E0169" w:rsidP="006E0169">
      <w:pPr>
        <w:autoSpaceDE w:val="0"/>
        <w:autoSpaceDN w:val="0"/>
        <w:adjustRightInd w:val="0"/>
        <w:spacing w:line="240" w:lineRule="auto"/>
        <w:rPr>
          <w:rFonts w:eastAsiaTheme="minorEastAsia" w:cs="Arial"/>
          <w:sz w:val="16"/>
          <w:szCs w:val="16"/>
          <w:lang w:val="it-CH"/>
        </w:rPr>
      </w:pPr>
      <w:r w:rsidRPr="00E51727">
        <w:rPr>
          <w:rFonts w:eastAsiaTheme="minorEastAsia" w:cs="Arial"/>
          <w:sz w:val="16"/>
          <w:szCs w:val="16"/>
          <w:lang w:val="it-CH"/>
        </w:rPr>
        <w:t>Per favorire la leggibilità si</w:t>
      </w:r>
      <w:r w:rsidR="006043BD">
        <w:rPr>
          <w:rFonts w:eastAsiaTheme="minorEastAsia" w:cs="Arial"/>
          <w:sz w:val="16"/>
          <w:szCs w:val="16"/>
          <w:lang w:val="it-CH"/>
        </w:rPr>
        <w:t xml:space="preserve"> rinuncia al duplice utilizzo della forma maschile e </w:t>
      </w:r>
      <w:r w:rsidRPr="00E51727">
        <w:rPr>
          <w:rFonts w:eastAsiaTheme="minorEastAsia" w:cs="Arial"/>
          <w:sz w:val="16"/>
          <w:szCs w:val="16"/>
          <w:lang w:val="it-CH"/>
        </w:rPr>
        <w:t>femminile. Naturalmente le designazioni di persone e funzioni valgono per entrambi i sessi.</w:t>
      </w:r>
    </w:p>
    <w:p w14:paraId="039B7870" w14:textId="77777777" w:rsidR="006E0169" w:rsidRPr="00E51727" w:rsidRDefault="006E0169" w:rsidP="006E016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16"/>
          <w:szCs w:val="14"/>
          <w:lang w:val="it-CH"/>
        </w:rPr>
      </w:pPr>
    </w:p>
    <w:p w14:paraId="466113E5" w14:textId="7E680C11" w:rsidR="005734DB" w:rsidRPr="00E51727" w:rsidRDefault="006E0169" w:rsidP="006E0169">
      <w:pPr>
        <w:autoSpaceDE w:val="0"/>
        <w:autoSpaceDN w:val="0"/>
        <w:adjustRightInd w:val="0"/>
        <w:spacing w:line="240" w:lineRule="auto"/>
        <w:rPr>
          <w:rFonts w:eastAsiaTheme="minorEastAsia" w:cs="Arial"/>
          <w:sz w:val="16"/>
          <w:szCs w:val="16"/>
          <w:lang w:val="it-CH"/>
        </w:rPr>
      </w:pPr>
      <w:r w:rsidRPr="00E51727">
        <w:rPr>
          <w:rFonts w:eastAsiaTheme="minorEastAsia" w:cs="Arial"/>
          <w:sz w:val="16"/>
          <w:szCs w:val="16"/>
          <w:lang w:val="it-CH"/>
        </w:rPr>
        <w:t>© Ufficio federale dello sviluppo territoriale (ARE)</w:t>
      </w:r>
    </w:p>
    <w:p w14:paraId="154503F2" w14:textId="77777777" w:rsidR="00F4444E" w:rsidRPr="00E51727" w:rsidRDefault="325E5E49" w:rsidP="325E5E49">
      <w:pPr>
        <w:autoSpaceDE w:val="0"/>
        <w:autoSpaceDN w:val="0"/>
        <w:adjustRightInd w:val="0"/>
        <w:spacing w:before="240" w:line="240" w:lineRule="auto"/>
        <w:rPr>
          <w:b/>
          <w:bCs/>
          <w:sz w:val="14"/>
          <w:szCs w:val="14"/>
          <w:lang w:val="it-CH"/>
        </w:rPr>
      </w:pPr>
      <w:r w:rsidRPr="00E51727">
        <w:rPr>
          <w:rFonts w:eastAsiaTheme="minorEastAsia"/>
          <w:b/>
          <w:bCs/>
          <w:sz w:val="14"/>
          <w:szCs w:val="14"/>
          <w:lang w:val="it-CH"/>
        </w:rPr>
        <w:t xml:space="preserve">Bern, </w:t>
      </w:r>
      <w:r w:rsidRPr="00E51727">
        <w:rPr>
          <w:rFonts w:eastAsiaTheme="minorEastAsia"/>
          <w:b/>
          <w:bCs/>
          <w:sz w:val="14"/>
          <w:szCs w:val="14"/>
          <w:highlight w:val="yellow"/>
          <w:lang w:val="it-CH"/>
        </w:rPr>
        <w:t>xxx</w:t>
      </w:r>
      <w:r w:rsidRPr="00E51727">
        <w:rPr>
          <w:rFonts w:eastAsiaTheme="minorEastAsia"/>
          <w:b/>
          <w:bCs/>
          <w:sz w:val="14"/>
          <w:szCs w:val="14"/>
          <w:lang w:val="it-CH"/>
        </w:rPr>
        <w:t xml:space="preserve"> 2019</w:t>
      </w:r>
      <w:r w:rsidR="45821094" w:rsidRPr="00E51727">
        <w:rPr>
          <w:b/>
          <w:bCs/>
          <w:sz w:val="14"/>
          <w:szCs w:val="14"/>
          <w:lang w:val="it-CH"/>
        </w:rPr>
        <w:br w:type="page"/>
      </w:r>
    </w:p>
    <w:p w14:paraId="13B526E5" w14:textId="4C092E64" w:rsidR="00340180" w:rsidRPr="00E51727" w:rsidRDefault="007C077F" w:rsidP="325E5E49">
      <w:pPr>
        <w:rPr>
          <w:b/>
          <w:bCs/>
          <w:sz w:val="42"/>
          <w:szCs w:val="42"/>
          <w:lang w:val="it-CH"/>
        </w:rPr>
      </w:pPr>
      <w:r w:rsidRPr="00E51727">
        <w:rPr>
          <w:b/>
          <w:bCs/>
          <w:sz w:val="42"/>
          <w:szCs w:val="42"/>
          <w:lang w:val="it-CH"/>
        </w:rPr>
        <w:lastRenderedPageBreak/>
        <w:t>Indice</w:t>
      </w:r>
    </w:p>
    <w:p w14:paraId="469C44D9" w14:textId="3DCFF04A" w:rsidR="00BD32B4" w:rsidRDefault="0034018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E51727">
        <w:rPr>
          <w:lang w:val="it-CH"/>
        </w:rPr>
        <w:fldChar w:fldCharType="begin"/>
      </w:r>
      <w:r w:rsidRPr="00E51727">
        <w:rPr>
          <w:lang w:val="it-CH"/>
        </w:rPr>
        <w:instrText xml:space="preserve"> TOC \o "1-3" \h \z \u </w:instrText>
      </w:r>
      <w:r w:rsidRPr="00E51727">
        <w:rPr>
          <w:lang w:val="it-CH"/>
        </w:rPr>
        <w:fldChar w:fldCharType="separate"/>
      </w:r>
      <w:hyperlink w:anchor="_Toc533053007" w:history="1">
        <w:r w:rsidR="00BD32B4" w:rsidRPr="00DB5D3E">
          <w:rPr>
            <w:rStyle w:val="Hyperlink"/>
            <w:lang w:val="it-CH"/>
          </w:rPr>
          <w:t>1</w:t>
        </w:r>
        <w:r w:rsidR="00BD32B4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BD32B4" w:rsidRPr="00DB5D3E">
          <w:rPr>
            <w:rStyle w:val="Hyperlink"/>
            <w:lang w:val="it-CH"/>
          </w:rPr>
          <w:t>Situazione iniziale</w:t>
        </w:r>
        <w:r w:rsidR="00BD32B4">
          <w:rPr>
            <w:webHidden/>
          </w:rPr>
          <w:tab/>
        </w:r>
        <w:r w:rsidR="00BD32B4">
          <w:rPr>
            <w:webHidden/>
          </w:rPr>
          <w:fldChar w:fldCharType="begin"/>
        </w:r>
        <w:r w:rsidR="00BD32B4">
          <w:rPr>
            <w:webHidden/>
          </w:rPr>
          <w:instrText xml:space="preserve"> PAGEREF _Toc533053007 \h </w:instrText>
        </w:r>
        <w:r w:rsidR="00BD32B4">
          <w:rPr>
            <w:webHidden/>
          </w:rPr>
        </w:r>
        <w:r w:rsidR="00BD32B4">
          <w:rPr>
            <w:webHidden/>
          </w:rPr>
          <w:fldChar w:fldCharType="separate"/>
        </w:r>
        <w:r w:rsidR="00BD32B4">
          <w:rPr>
            <w:webHidden/>
          </w:rPr>
          <w:t>5</w:t>
        </w:r>
        <w:r w:rsidR="00BD32B4">
          <w:rPr>
            <w:webHidden/>
          </w:rPr>
          <w:fldChar w:fldCharType="end"/>
        </w:r>
      </w:hyperlink>
    </w:p>
    <w:p w14:paraId="740A160A" w14:textId="71F091E7" w:rsidR="00BD32B4" w:rsidRDefault="00BD32B4" w:rsidP="00BD32B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053008" w:history="1">
        <w:r w:rsidRPr="00DB5D3E">
          <w:rPr>
            <w:rStyle w:val="Hyperlink"/>
            <w:noProof/>
            <w:lang w:val="it-CH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B5D3E">
          <w:rPr>
            <w:rStyle w:val="Hyperlink"/>
            <w:noProof/>
            <w:lang w:val="it-CH"/>
          </w:rPr>
          <w:t>Introduzione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_Toc533053008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1FC7C56" w14:textId="6435100A" w:rsidR="00BD32B4" w:rsidRDefault="00BD32B4" w:rsidP="00BD32B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053009" w:history="1">
        <w:r w:rsidRPr="00DB5D3E">
          <w:rPr>
            <w:rStyle w:val="Hyperlink"/>
            <w:rFonts w:eastAsia="Arial"/>
            <w:noProof/>
            <w:lang w:val="it-CH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B5D3E">
          <w:rPr>
            <w:rStyle w:val="Hyperlink"/>
            <w:rFonts w:eastAsia="Arial"/>
            <w:noProof/>
            <w:lang w:val="it-CH"/>
          </w:rPr>
          <w:t>La pianificazione alimentare come base per il Piano settoriale SAC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_Toc533053009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E3ACF14" w14:textId="38C49389" w:rsidR="00BD32B4" w:rsidRDefault="00BD32B4" w:rsidP="00BD32B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053010" w:history="1">
        <w:r w:rsidRPr="00DB5D3E">
          <w:rPr>
            <w:rStyle w:val="Hyperlink"/>
            <w:noProof/>
            <w:lang w:val="it-CH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B5D3E">
          <w:rPr>
            <w:rStyle w:val="Hyperlink"/>
            <w:noProof/>
            <w:lang w:val="it-CH"/>
          </w:rPr>
          <w:t xml:space="preserve">Informazioni insufficienti sulle superfici: due fasi della rielaborazione del </w:t>
        </w:r>
        <w:r w:rsidRPr="00DB5D3E">
          <w:rPr>
            <w:rStyle w:val="Hyperlink"/>
            <w:noProof/>
            <w:lang w:val="it-CH"/>
          </w:rPr>
          <w:t>Piano</w:t>
        </w:r>
        <w:r>
          <w:rPr>
            <w:rStyle w:val="Hyperlink"/>
            <w:noProof/>
            <w:lang w:val="it-CH"/>
          </w:rPr>
          <w:t xml:space="preserve"> </w:t>
        </w:r>
        <w:r w:rsidRPr="00DB5D3E">
          <w:rPr>
            <w:rStyle w:val="Hyperlink"/>
            <w:noProof/>
            <w:lang w:val="it-CH"/>
          </w:rPr>
          <w:t>settoriale SAC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_Toc533053010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126F1F5" w14:textId="73740289" w:rsidR="00BD32B4" w:rsidRDefault="00BD32B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3053011" w:history="1">
        <w:r w:rsidRPr="00DB5D3E">
          <w:rPr>
            <w:rStyle w:val="Hyperlink"/>
            <w:lang w:val="it-CH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DB5D3E">
          <w:rPr>
            <w:rStyle w:val="Hyperlink"/>
            <w:lang w:val="it-CH"/>
          </w:rPr>
          <w:t>Scopo e impiego del piano settoriale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_Toc533053011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E1D069D" w14:textId="5EC7B499" w:rsidR="00BD32B4" w:rsidRDefault="00BD32B4" w:rsidP="00BD32B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053012" w:history="1">
        <w:r w:rsidRPr="00DB5D3E">
          <w:rPr>
            <w:rStyle w:val="Hyperlink"/>
            <w:noProof/>
            <w:lang w:val="it-CH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B5D3E">
          <w:rPr>
            <w:rStyle w:val="Hyperlink"/>
            <w:noProof/>
            <w:lang w:val="it-CH"/>
          </w:rPr>
          <w:t>Scopo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_Toc533053012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A93A13C" w14:textId="187C7CAD" w:rsidR="00BD32B4" w:rsidRDefault="00BD32B4" w:rsidP="00BD32B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053013" w:history="1">
        <w:r w:rsidRPr="00DB5D3E">
          <w:rPr>
            <w:rStyle w:val="Hyperlink"/>
            <w:noProof/>
            <w:lang w:val="it-CH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B5D3E">
          <w:rPr>
            <w:rStyle w:val="Hyperlink"/>
            <w:noProof/>
            <w:lang w:val="it-CH"/>
          </w:rPr>
          <w:t>Valenza e campo di applicazione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_Toc533053013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C9D44D4" w14:textId="3263FFE3" w:rsidR="00BD32B4" w:rsidRDefault="00BD32B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3053014" w:history="1">
        <w:r w:rsidRPr="00DB5D3E">
          <w:rPr>
            <w:rStyle w:val="Hyperlink"/>
            <w:lang w:val="it-CH"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DB5D3E">
          <w:rPr>
            <w:rStyle w:val="Hyperlink"/>
            <w:lang w:val="it-CH"/>
          </w:rPr>
          <w:t>Obiettivo e indicazioni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_Toc533053014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8663E2C" w14:textId="4F70357C" w:rsidR="00BD32B4" w:rsidRDefault="00BD32B4" w:rsidP="00BD32B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053015" w:history="1">
        <w:r w:rsidRPr="00DB5D3E">
          <w:rPr>
            <w:rStyle w:val="Hyperlink"/>
            <w:noProof/>
            <w:lang w:val="it-CH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B5D3E">
          <w:rPr>
            <w:rStyle w:val="Hyperlink"/>
            <w:noProof/>
            <w:lang w:val="it-CH"/>
          </w:rPr>
          <w:t>Obiettivo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_Toc533053015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56C10EC" w14:textId="304091C5" w:rsidR="00BD32B4" w:rsidRDefault="00BD32B4" w:rsidP="00BD32B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053016" w:history="1">
        <w:r w:rsidRPr="00DB5D3E">
          <w:rPr>
            <w:rStyle w:val="Hyperlink"/>
            <w:noProof/>
            <w:lang w:val="it-CH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B5D3E">
          <w:rPr>
            <w:rStyle w:val="Hyperlink"/>
            <w:noProof/>
            <w:lang w:val="it-CH"/>
          </w:rPr>
          <w:t>Indicazioni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_Toc533053016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DD21FFF" w14:textId="53CDBC61" w:rsidR="00BD32B4" w:rsidRDefault="00BD32B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3053017" w:history="1">
        <w:r w:rsidRPr="00DB5D3E">
          <w:rPr>
            <w:rStyle w:val="Hyperlink"/>
            <w:lang w:val="it-CH"/>
          </w:rPr>
          <w:t>4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DB5D3E">
          <w:rPr>
            <w:rStyle w:val="Hyperlink"/>
            <w:lang w:val="it-CH"/>
          </w:rPr>
          <w:t>Principi relativi alla gestione delle superfici per l’avvicendamento delle colture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_Toc533053017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12279EB" w14:textId="0707F561" w:rsidR="00BD32B4" w:rsidRDefault="00BD32B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3053018" w:history="1">
        <w:r w:rsidRPr="00DB5D3E">
          <w:rPr>
            <w:rStyle w:val="Hyperlink"/>
            <w:lang w:val="it-CH"/>
          </w:rPr>
          <w:t>5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DB5D3E">
          <w:rPr>
            <w:rStyle w:val="Hyperlink"/>
            <w:lang w:val="it-CH"/>
          </w:rPr>
          <w:t>Applicazione e attuazione del piano settoriale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_Toc533053018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22ABDEA6" w14:textId="5E4B0826" w:rsidR="00BD32B4" w:rsidRDefault="00BD32B4" w:rsidP="00BD32B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053019" w:history="1">
        <w:r w:rsidRPr="00DB5D3E">
          <w:rPr>
            <w:rStyle w:val="Hyperlink"/>
            <w:noProof/>
            <w:lang w:val="it-CH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B5D3E">
          <w:rPr>
            <w:rStyle w:val="Hyperlink"/>
            <w:noProof/>
            <w:lang w:val="it-CH"/>
          </w:rPr>
          <w:t>SAC e ponderazione degli interessi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_Toc533053019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6895B93" w14:textId="09CC5646" w:rsidR="00BD32B4" w:rsidRDefault="00BD32B4" w:rsidP="00BD32B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053020" w:history="1">
        <w:r w:rsidRPr="00DB5D3E">
          <w:rPr>
            <w:rStyle w:val="Hyperlink"/>
            <w:noProof/>
            <w:lang w:val="it-CH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B5D3E">
          <w:rPr>
            <w:rStyle w:val="Hyperlink"/>
            <w:noProof/>
            <w:lang w:val="it-CH"/>
          </w:rPr>
          <w:t>Obblighi delle singole autorità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_Toc533053020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E8AF081" w14:textId="4BD8D155" w:rsidR="00BD32B4" w:rsidRDefault="00BD32B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3053021" w:history="1">
        <w:r w:rsidRPr="00DB5D3E">
          <w:rPr>
            <w:rStyle w:val="Hyperlink"/>
            <w:lang w:val="it-CH"/>
          </w:rPr>
          <w:t>6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DB5D3E">
          <w:rPr>
            <w:rStyle w:val="Hyperlink"/>
            <w:lang w:val="it-CH"/>
          </w:rPr>
          <w:t>Allegato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_Toc533053021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43395BC8" w14:textId="4C6D8B29" w:rsidR="00BD32B4" w:rsidRDefault="00BD32B4" w:rsidP="00BD32B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053022" w:history="1">
        <w:r w:rsidRPr="00DB5D3E">
          <w:rPr>
            <w:rStyle w:val="Hyperlink"/>
            <w:noProof/>
            <w:lang w:val="it-IT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B5D3E">
          <w:rPr>
            <w:rStyle w:val="Hyperlink"/>
            <w:noProof/>
            <w:lang w:val="it-IT"/>
          </w:rPr>
          <w:t>Utilizzo dei diversi «termini SAC»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_Toc533053022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A82D61C" w14:textId="26AA06DD" w:rsidR="00BD32B4" w:rsidRDefault="00BD32B4" w:rsidP="00BD32B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053023" w:history="1">
        <w:r w:rsidRPr="00DB5D3E">
          <w:rPr>
            <w:rStyle w:val="Hyperlink"/>
            <w:noProof/>
            <w:lang w:val="it-CH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B5D3E">
          <w:rPr>
            <w:rStyle w:val="Hyperlink"/>
            <w:noProof/>
            <w:lang w:val="it-CH"/>
          </w:rPr>
          <w:t>Spiegazioni dei termini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_Toc533053023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85CAA77" w14:textId="21DD2932" w:rsidR="00BD32B4" w:rsidRDefault="00BD32B4" w:rsidP="00BD32B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053024" w:history="1">
        <w:r w:rsidRPr="00DB5D3E">
          <w:rPr>
            <w:rStyle w:val="Hyperlink"/>
            <w:noProof/>
            <w:lang w:val="it-CH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B5D3E">
          <w:rPr>
            <w:rStyle w:val="Hyperlink"/>
            <w:noProof/>
            <w:lang w:val="it-CH"/>
          </w:rPr>
          <w:t>Elenco delle abbreviazioni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_Toc533053024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30EDB6C" w14:textId="38100510" w:rsidR="00EC1813" w:rsidRPr="00E51727" w:rsidRDefault="00340180" w:rsidP="00BD32B4">
      <w:pPr>
        <w:pStyle w:val="Verzeichnis2"/>
        <w:rPr>
          <w:lang w:val="it-CH"/>
        </w:rPr>
      </w:pPr>
      <w:r w:rsidRPr="00E51727">
        <w:rPr>
          <w:lang w:val="it-CH"/>
        </w:rPr>
        <w:fldChar w:fldCharType="end"/>
      </w:r>
      <w:r w:rsidR="00A41C94" w:rsidRPr="00E51727">
        <w:rPr>
          <w:lang w:val="it-CH"/>
        </w:rPr>
        <w:br w:type="page"/>
      </w:r>
      <w:bookmarkStart w:id="0" w:name="_GoBack"/>
      <w:bookmarkEnd w:id="0"/>
    </w:p>
    <w:p w14:paraId="442EF4BE" w14:textId="485EFC04" w:rsidR="00BC4AF0" w:rsidRPr="00E51727" w:rsidRDefault="00575D51" w:rsidP="004410B2">
      <w:pPr>
        <w:pStyle w:val="berschrift1"/>
        <w:rPr>
          <w:lang w:val="it-CH"/>
        </w:rPr>
      </w:pPr>
      <w:bookmarkStart w:id="1" w:name="_Toc533053007"/>
      <w:r w:rsidRPr="00E51727">
        <w:rPr>
          <w:lang w:val="it-CH"/>
        </w:rPr>
        <w:lastRenderedPageBreak/>
        <w:t>Situazione iniziale</w:t>
      </w:r>
      <w:bookmarkEnd w:id="1"/>
    </w:p>
    <w:p w14:paraId="29C6FC30" w14:textId="5E5F42FD" w:rsidR="005D1CBC" w:rsidRPr="00E51727" w:rsidRDefault="00575D51" w:rsidP="005D1CBC">
      <w:pPr>
        <w:pStyle w:val="berschrift2"/>
        <w:rPr>
          <w:lang w:val="it-CH"/>
        </w:rPr>
      </w:pPr>
      <w:bookmarkStart w:id="2" w:name="_Toc533053008"/>
      <w:r w:rsidRPr="00E51727">
        <w:rPr>
          <w:lang w:val="it-CH"/>
        </w:rPr>
        <w:t>Introduzione</w:t>
      </w:r>
      <w:bookmarkEnd w:id="2"/>
    </w:p>
    <w:p w14:paraId="46839CEE" w14:textId="0562FE1C" w:rsidR="003A38A5" w:rsidRPr="00E51727" w:rsidRDefault="003A38A5" w:rsidP="003A38A5">
      <w:pPr>
        <w:rPr>
          <w:rFonts w:eastAsia="Arial" w:cs="Arial"/>
          <w:lang w:val="it-CH"/>
        </w:rPr>
      </w:pPr>
      <w:r w:rsidRPr="00E51727">
        <w:rPr>
          <w:lang w:val="it-CH"/>
        </w:rPr>
        <w:t xml:space="preserve">Un forte </w:t>
      </w:r>
      <w:r w:rsidR="0001598B" w:rsidRPr="00E51727">
        <w:rPr>
          <w:lang w:val="it-CH"/>
        </w:rPr>
        <w:t>incremento demografico</w:t>
      </w:r>
      <w:r w:rsidRPr="00E51727">
        <w:rPr>
          <w:lang w:val="it-CH"/>
        </w:rPr>
        <w:t xml:space="preserve"> e </w:t>
      </w:r>
      <w:r w:rsidR="0001598B" w:rsidRPr="00E51727">
        <w:rPr>
          <w:lang w:val="it-CH"/>
        </w:rPr>
        <w:t xml:space="preserve">una notevole crescita del </w:t>
      </w:r>
      <w:r w:rsidRPr="00E51727">
        <w:rPr>
          <w:lang w:val="it-CH"/>
        </w:rPr>
        <w:t>benessere</w:t>
      </w:r>
      <w:r w:rsidR="0001598B" w:rsidRPr="00E51727">
        <w:rPr>
          <w:lang w:val="it-CH"/>
        </w:rPr>
        <w:t>,</w:t>
      </w:r>
      <w:r w:rsidRPr="00E51727">
        <w:rPr>
          <w:lang w:val="it-CH"/>
        </w:rPr>
        <w:t xml:space="preserve"> </w:t>
      </w:r>
      <w:r w:rsidR="0001598B" w:rsidRPr="00E51727">
        <w:rPr>
          <w:lang w:val="it-CH"/>
        </w:rPr>
        <w:t xml:space="preserve">associati a un ampio mutamento degli stili di vita, </w:t>
      </w:r>
      <w:r w:rsidRPr="00E51727">
        <w:rPr>
          <w:rFonts w:eastAsia="Arial" w:cs="Arial"/>
          <w:lang w:val="it-CH"/>
        </w:rPr>
        <w:t>determinarono, durante il dopoguerra, una maggiore pressione su</w:t>
      </w:r>
      <w:r w:rsidR="0065787B">
        <w:rPr>
          <w:rFonts w:eastAsia="Arial" w:cs="Arial"/>
          <w:lang w:val="it-CH"/>
        </w:rPr>
        <w:t>lle superfici coltive</w:t>
      </w:r>
      <w:r w:rsidRPr="00E51727">
        <w:rPr>
          <w:rFonts w:eastAsia="Arial" w:cs="Arial"/>
          <w:lang w:val="it-CH"/>
        </w:rPr>
        <w:t xml:space="preserve">. </w:t>
      </w:r>
      <w:r w:rsidR="00CF2423">
        <w:rPr>
          <w:rFonts w:eastAsia="Arial" w:cs="Arial"/>
          <w:lang w:val="it-CH"/>
        </w:rPr>
        <w:t>Nel</w:t>
      </w:r>
      <w:r w:rsidR="00DB1112" w:rsidRPr="00D46C74">
        <w:rPr>
          <w:rFonts w:eastAsia="Arial" w:cs="Arial"/>
          <w:lang w:val="it-IT"/>
        </w:rPr>
        <w:t xml:space="preserve"> 1969</w:t>
      </w:r>
      <w:r w:rsidR="00DB1112">
        <w:rPr>
          <w:rFonts w:eastAsia="Arial" w:cs="Arial"/>
          <w:lang w:val="it-IT"/>
        </w:rPr>
        <w:t>,</w:t>
      </w:r>
      <w:r w:rsidR="00DB1112" w:rsidRPr="00D46C74">
        <w:rPr>
          <w:rFonts w:eastAsia="Arial" w:cs="Arial"/>
          <w:lang w:val="it-IT"/>
        </w:rPr>
        <w:t xml:space="preserve"> </w:t>
      </w:r>
      <w:r w:rsidR="00DB1112">
        <w:rPr>
          <w:rFonts w:eastAsia="Arial" w:cs="Arial"/>
          <w:lang w:val="it-IT"/>
        </w:rPr>
        <w:t>c</w:t>
      </w:r>
      <w:r w:rsidR="00DB1112" w:rsidRPr="00D46C74">
        <w:rPr>
          <w:rFonts w:eastAsia="Arial" w:cs="Arial"/>
          <w:lang w:val="it-IT"/>
        </w:rPr>
        <w:t xml:space="preserve">on </w:t>
      </w:r>
      <w:r w:rsidR="00DB1112">
        <w:rPr>
          <w:rFonts w:eastAsia="Arial" w:cs="Arial"/>
          <w:lang w:val="it-IT"/>
        </w:rPr>
        <w:t>l’inclusione</w:t>
      </w:r>
      <w:r w:rsidR="00DB1112" w:rsidRPr="00D46C74">
        <w:rPr>
          <w:rFonts w:eastAsia="Arial" w:cs="Arial"/>
          <w:lang w:val="it-IT"/>
        </w:rPr>
        <w:t xml:space="preserve"> nella Costituzione federale del</w:t>
      </w:r>
      <w:r w:rsidR="00DB1112">
        <w:rPr>
          <w:rFonts w:eastAsia="Arial" w:cs="Arial"/>
          <w:lang w:val="it-IT"/>
        </w:rPr>
        <w:t xml:space="preserve"> nuovo </w:t>
      </w:r>
      <w:r w:rsidR="00DB1112" w:rsidRPr="00D46C74">
        <w:rPr>
          <w:rFonts w:eastAsia="Arial" w:cs="Arial"/>
          <w:lang w:val="it-IT"/>
        </w:rPr>
        <w:t>articolo sulla pianificazione territoriale</w:t>
      </w:r>
      <w:r w:rsidR="00DB1112">
        <w:rPr>
          <w:rFonts w:eastAsia="Arial" w:cs="Arial"/>
          <w:lang w:val="it-IT"/>
        </w:rPr>
        <w:t>,</w:t>
      </w:r>
      <w:r w:rsidR="00DB1112" w:rsidRPr="00D46C74">
        <w:rPr>
          <w:rFonts w:eastAsia="Arial" w:cs="Arial"/>
          <w:lang w:val="it-IT"/>
        </w:rPr>
        <w:t xml:space="preserve"> </w:t>
      </w:r>
      <w:r w:rsidR="00DB1112">
        <w:rPr>
          <w:rFonts w:eastAsia="Arial" w:cs="Arial"/>
          <w:lang w:val="it-IT"/>
        </w:rPr>
        <w:t xml:space="preserve">si </w:t>
      </w:r>
      <w:r w:rsidR="00B96002">
        <w:rPr>
          <w:rFonts w:eastAsia="Arial" w:cs="Arial"/>
          <w:lang w:val="it-IT"/>
        </w:rPr>
        <w:t>chiedeva</w:t>
      </w:r>
      <w:r w:rsidR="00DB1112">
        <w:rPr>
          <w:rFonts w:eastAsia="Arial" w:cs="Arial"/>
          <w:lang w:val="it-IT"/>
        </w:rPr>
        <w:t xml:space="preserve"> </w:t>
      </w:r>
      <w:r w:rsidR="009E08F1">
        <w:rPr>
          <w:rFonts w:eastAsia="Arial" w:cs="Arial"/>
          <w:lang w:val="it-IT"/>
        </w:rPr>
        <w:t>un’</w:t>
      </w:r>
      <w:r w:rsidR="00DB1112" w:rsidRPr="00DB1112">
        <w:rPr>
          <w:rFonts w:eastAsia="Arial" w:cs="Arial"/>
          <w:lang w:val="it-IT"/>
        </w:rPr>
        <w:t xml:space="preserve">utilizzazione del suolo </w:t>
      </w:r>
      <w:r w:rsidR="00E80271" w:rsidRPr="00DB1112">
        <w:rPr>
          <w:rFonts w:eastAsia="Arial" w:cs="Arial"/>
          <w:lang w:val="it-IT"/>
        </w:rPr>
        <w:t xml:space="preserve">appropriata e parsimoniosa </w:t>
      </w:r>
      <w:r w:rsidR="00DB1112" w:rsidRPr="00DB1112">
        <w:rPr>
          <w:rFonts w:eastAsia="Arial" w:cs="Arial"/>
          <w:lang w:val="it-IT"/>
        </w:rPr>
        <w:t>e un insediamento del territorio</w:t>
      </w:r>
      <w:r w:rsidR="009E08F1" w:rsidRPr="009E08F1">
        <w:rPr>
          <w:rFonts w:eastAsia="Arial" w:cs="Arial"/>
          <w:lang w:val="it-IT"/>
        </w:rPr>
        <w:t xml:space="preserve"> </w:t>
      </w:r>
      <w:r w:rsidR="009E08F1" w:rsidRPr="00DB1112">
        <w:rPr>
          <w:rFonts w:eastAsia="Arial" w:cs="Arial"/>
          <w:lang w:val="it-IT"/>
        </w:rPr>
        <w:t>ordinato</w:t>
      </w:r>
      <w:r w:rsidR="00DB1112" w:rsidRPr="00D46C74">
        <w:rPr>
          <w:rFonts w:eastAsia="Arial" w:cs="Arial"/>
          <w:lang w:val="it-IT"/>
        </w:rPr>
        <w:t>. La legge sulla pianificazione del territorio del 1979</w:t>
      </w:r>
      <w:r w:rsidR="00B96002">
        <w:rPr>
          <w:rFonts w:eastAsia="Arial" w:cs="Arial"/>
          <w:lang w:val="it-IT"/>
        </w:rPr>
        <w:t>,</w:t>
      </w:r>
      <w:r w:rsidR="00DB1112" w:rsidRPr="00D46C74">
        <w:rPr>
          <w:rFonts w:eastAsia="Arial" w:cs="Arial"/>
          <w:lang w:val="it-IT"/>
        </w:rPr>
        <w:t xml:space="preserve"> </w:t>
      </w:r>
      <w:r w:rsidR="00B96002" w:rsidRPr="00D46C74">
        <w:rPr>
          <w:rFonts w:eastAsia="Arial" w:cs="Arial"/>
          <w:lang w:val="it-IT"/>
        </w:rPr>
        <w:t>inoltre</w:t>
      </w:r>
      <w:r w:rsidR="00B96002">
        <w:rPr>
          <w:rFonts w:eastAsia="Arial" w:cs="Arial"/>
          <w:lang w:val="it-IT"/>
        </w:rPr>
        <w:t>,</w:t>
      </w:r>
      <w:r w:rsidR="00B96002" w:rsidRPr="00D46C74">
        <w:rPr>
          <w:rFonts w:eastAsia="Arial" w:cs="Arial"/>
          <w:lang w:val="it-IT"/>
        </w:rPr>
        <w:t xml:space="preserve"> </w:t>
      </w:r>
      <w:r w:rsidR="00DB1112" w:rsidRPr="00D46C74">
        <w:rPr>
          <w:rFonts w:eastAsia="Arial" w:cs="Arial"/>
          <w:lang w:val="it-IT"/>
        </w:rPr>
        <w:t xml:space="preserve">avrebbe dovuto </w:t>
      </w:r>
      <w:r w:rsidR="00B96002">
        <w:rPr>
          <w:rFonts w:eastAsia="Arial" w:cs="Arial"/>
          <w:lang w:val="it-IT"/>
        </w:rPr>
        <w:t>contrastare</w:t>
      </w:r>
      <w:r w:rsidR="00DB1112" w:rsidRPr="00D46C74">
        <w:rPr>
          <w:rFonts w:eastAsia="Arial" w:cs="Arial"/>
          <w:lang w:val="it-IT"/>
        </w:rPr>
        <w:t xml:space="preserve"> la rapida e disordinata espansione insediativa in Svizzera e </w:t>
      </w:r>
      <w:r w:rsidR="00B96002">
        <w:rPr>
          <w:rFonts w:eastAsia="Arial" w:cs="Arial"/>
          <w:lang w:val="it-IT"/>
        </w:rPr>
        <w:t xml:space="preserve">contribuire a </w:t>
      </w:r>
      <w:r w:rsidR="00B96002" w:rsidRPr="00B96002">
        <w:rPr>
          <w:rFonts w:eastAsia="Arial" w:cs="Arial"/>
          <w:lang w:val="it-IT"/>
        </w:rPr>
        <w:t>mantenere sufficienti superfici coltive idonee</w:t>
      </w:r>
      <w:r w:rsidR="00B96002">
        <w:rPr>
          <w:rFonts w:eastAsia="Arial" w:cs="Arial"/>
          <w:lang w:val="it-IT"/>
        </w:rPr>
        <w:t xml:space="preserve"> </w:t>
      </w:r>
      <w:r w:rsidR="00B96002" w:rsidRPr="00B96002">
        <w:rPr>
          <w:rFonts w:eastAsia="Arial" w:cs="Arial"/>
          <w:lang w:val="it-IT"/>
        </w:rPr>
        <w:t>per l</w:t>
      </w:r>
      <w:r w:rsidR="00B96002">
        <w:rPr>
          <w:rFonts w:eastAsia="Arial" w:cs="Arial"/>
          <w:lang w:val="it-IT"/>
        </w:rPr>
        <w:t>’</w:t>
      </w:r>
      <w:r w:rsidR="00B96002" w:rsidRPr="00B96002">
        <w:rPr>
          <w:rFonts w:eastAsia="Arial" w:cs="Arial"/>
          <w:lang w:val="it-IT"/>
        </w:rPr>
        <w:t>agricoltura</w:t>
      </w:r>
      <w:r w:rsidRPr="00E51727">
        <w:rPr>
          <w:rFonts w:eastAsia="Arial" w:cs="Arial"/>
          <w:lang w:val="it-CH"/>
        </w:rPr>
        <w:t xml:space="preserve">. </w:t>
      </w:r>
      <w:r w:rsidR="00FF4A71" w:rsidRPr="00E51727">
        <w:rPr>
          <w:rFonts w:eastAsia="Arial" w:cs="Arial"/>
          <w:lang w:val="it-CH"/>
        </w:rPr>
        <w:t xml:space="preserve">Tali terreni </w:t>
      </w:r>
      <w:r w:rsidRPr="00E51727">
        <w:rPr>
          <w:rFonts w:eastAsia="Arial" w:cs="Arial"/>
          <w:lang w:val="it-CH"/>
        </w:rPr>
        <w:t xml:space="preserve">avrebbero dovuto continuare a garantire una sufficiente base </w:t>
      </w:r>
      <w:r w:rsidR="00FF4A71" w:rsidRPr="00E51727">
        <w:rPr>
          <w:rFonts w:eastAsia="Arial" w:cs="Arial"/>
          <w:lang w:val="it-CH"/>
        </w:rPr>
        <w:t xml:space="preserve">di </w:t>
      </w:r>
      <w:r w:rsidRPr="00E51727">
        <w:rPr>
          <w:rFonts w:eastAsia="Arial" w:cs="Arial"/>
          <w:lang w:val="it-CH"/>
        </w:rPr>
        <w:t xml:space="preserve">approvvigionamento </w:t>
      </w:r>
      <w:r w:rsidR="00FF4A71" w:rsidRPr="00E51727">
        <w:rPr>
          <w:rFonts w:eastAsia="Arial" w:cs="Arial"/>
          <w:lang w:val="it-CH"/>
        </w:rPr>
        <w:t xml:space="preserve">del Paese </w:t>
      </w:r>
      <w:r w:rsidRPr="00E51727">
        <w:rPr>
          <w:rFonts w:eastAsia="Arial" w:cs="Arial"/>
          <w:lang w:val="it-CH"/>
        </w:rPr>
        <w:t xml:space="preserve">in «tempi normali» come pure in </w:t>
      </w:r>
      <w:r w:rsidR="005E0045" w:rsidRPr="00E51727">
        <w:rPr>
          <w:rFonts w:eastAsia="Arial" w:cs="Arial"/>
          <w:lang w:val="it-CH"/>
        </w:rPr>
        <w:t xml:space="preserve">caso di </w:t>
      </w:r>
      <w:r w:rsidR="003435FE">
        <w:rPr>
          <w:rFonts w:eastAsia="Arial" w:cs="Arial"/>
          <w:lang w:val="it-CH"/>
        </w:rPr>
        <w:t>grave penuria</w:t>
      </w:r>
      <w:r w:rsidRPr="00E51727">
        <w:rPr>
          <w:rStyle w:val="Funotenzeichen"/>
          <w:rFonts w:eastAsia="Arial" w:cs="Arial"/>
          <w:lang w:val="it-CH"/>
        </w:rPr>
        <w:footnoteReference w:id="2"/>
      </w:r>
      <w:r w:rsidR="003435FE">
        <w:rPr>
          <w:rFonts w:eastAsia="Arial" w:cs="Arial"/>
          <w:lang w:val="it-CH"/>
        </w:rPr>
        <w:t xml:space="preserve">. </w:t>
      </w:r>
      <w:r w:rsidRPr="00E51727">
        <w:rPr>
          <w:rFonts w:eastAsia="Arial" w:cs="Arial"/>
          <w:lang w:val="it-CH"/>
        </w:rPr>
        <w:t xml:space="preserve">Il termine </w:t>
      </w:r>
      <w:r w:rsidR="009918E9" w:rsidRPr="00E51727">
        <w:rPr>
          <w:rFonts w:eastAsia="Arial" w:cs="Arial"/>
          <w:lang w:val="it-CH"/>
        </w:rPr>
        <w:t xml:space="preserve">di </w:t>
      </w:r>
      <w:r w:rsidR="00B96002">
        <w:rPr>
          <w:rFonts w:eastAsia="Arial" w:cs="Arial"/>
          <w:lang w:val="it-CH"/>
        </w:rPr>
        <w:t>«</w:t>
      </w:r>
      <w:r w:rsidRPr="00E51727">
        <w:rPr>
          <w:rFonts w:eastAsia="Arial" w:cs="Arial"/>
          <w:lang w:val="it-CH"/>
        </w:rPr>
        <w:t>superficie per l’a</w:t>
      </w:r>
      <w:r w:rsidR="009918E9" w:rsidRPr="00E51727">
        <w:rPr>
          <w:rFonts w:eastAsia="Arial" w:cs="Arial"/>
          <w:lang w:val="it-CH"/>
        </w:rPr>
        <w:t xml:space="preserve">vvicendamento </w:t>
      </w:r>
      <w:r w:rsidRPr="00E51727">
        <w:rPr>
          <w:rFonts w:eastAsia="Arial" w:cs="Arial"/>
          <w:lang w:val="it-CH"/>
        </w:rPr>
        <w:t>delle colture</w:t>
      </w:r>
      <w:r w:rsidR="00B96002">
        <w:rPr>
          <w:rFonts w:eastAsia="Arial" w:cs="Arial"/>
          <w:lang w:val="it-CH"/>
        </w:rPr>
        <w:t>»</w:t>
      </w:r>
      <w:r w:rsidRPr="00E51727">
        <w:rPr>
          <w:rFonts w:eastAsia="Arial" w:cs="Arial"/>
          <w:lang w:val="it-CH"/>
        </w:rPr>
        <w:t xml:space="preserve"> (SAC) venne infine definito nel</w:t>
      </w:r>
      <w:r w:rsidR="009918E9" w:rsidRPr="00E51727">
        <w:rPr>
          <w:rFonts w:eastAsia="Arial" w:cs="Arial"/>
          <w:lang w:val="it-CH"/>
        </w:rPr>
        <w:t xml:space="preserve"> </w:t>
      </w:r>
      <w:r w:rsidRPr="00E51727">
        <w:rPr>
          <w:rFonts w:eastAsia="Arial" w:cs="Arial"/>
          <w:lang w:val="it-CH"/>
        </w:rPr>
        <w:t>1986 nell’ordinanza sulla pianificazione del territorio (OPT). In tale ordinanza</w:t>
      </w:r>
      <w:r w:rsidR="00487523" w:rsidRPr="00E51727">
        <w:rPr>
          <w:rFonts w:eastAsia="Arial" w:cs="Arial"/>
          <w:lang w:val="it-CH"/>
        </w:rPr>
        <w:t xml:space="preserve">, inoltre, si stabiliva che </w:t>
      </w:r>
      <w:r w:rsidR="00C971D9" w:rsidRPr="00E51727">
        <w:rPr>
          <w:rFonts w:eastAsia="Arial" w:cs="Arial"/>
          <w:lang w:val="it-CH"/>
        </w:rPr>
        <w:t>occorre</w:t>
      </w:r>
      <w:r w:rsidR="00AA283A" w:rsidRPr="00E51727">
        <w:rPr>
          <w:rFonts w:eastAsia="Arial" w:cs="Arial"/>
          <w:lang w:val="it-CH"/>
        </w:rPr>
        <w:t>va</w:t>
      </w:r>
      <w:r w:rsidR="00C971D9" w:rsidRPr="00E51727">
        <w:rPr>
          <w:rFonts w:eastAsia="Arial" w:cs="Arial"/>
          <w:lang w:val="it-CH"/>
        </w:rPr>
        <w:t xml:space="preserve"> conservare</w:t>
      </w:r>
      <w:r w:rsidR="00487523" w:rsidRPr="00E51727">
        <w:rPr>
          <w:rFonts w:eastAsia="Arial" w:cs="Arial"/>
          <w:lang w:val="it-CH"/>
        </w:rPr>
        <w:t>,</w:t>
      </w:r>
      <w:r w:rsidR="00C971D9" w:rsidRPr="00E51727">
        <w:rPr>
          <w:rFonts w:eastAsia="Arial" w:cs="Arial"/>
          <w:lang w:val="it-CH"/>
        </w:rPr>
        <w:t xml:space="preserve"> </w:t>
      </w:r>
      <w:r w:rsidR="00CE2EF0" w:rsidRPr="00E51727">
        <w:rPr>
          <w:rFonts w:eastAsia="Arial" w:cs="Arial"/>
          <w:lang w:val="it-CH"/>
        </w:rPr>
        <w:t xml:space="preserve">in </w:t>
      </w:r>
      <w:r w:rsidR="00487523" w:rsidRPr="00E51727">
        <w:rPr>
          <w:rFonts w:eastAsia="Arial" w:cs="Arial"/>
          <w:lang w:val="it-CH"/>
        </w:rPr>
        <w:t>periodi perturbati,</w:t>
      </w:r>
      <w:r w:rsidRPr="00E51727">
        <w:rPr>
          <w:rFonts w:eastAsia="Arial" w:cs="Arial"/>
          <w:lang w:val="it-CH"/>
        </w:rPr>
        <w:t xml:space="preserve"> </w:t>
      </w:r>
      <w:r w:rsidR="00487523" w:rsidRPr="00E51727">
        <w:rPr>
          <w:rFonts w:eastAsia="Arial" w:cs="Arial"/>
          <w:lang w:val="it-CH"/>
        </w:rPr>
        <w:t>un’estensione minima di SAC</w:t>
      </w:r>
      <w:r w:rsidR="00B96002">
        <w:rPr>
          <w:rFonts w:eastAsia="Arial" w:cs="Arial"/>
          <w:lang w:val="it-CH"/>
        </w:rPr>
        <w:t xml:space="preserve">; quest’ultima venne </w:t>
      </w:r>
      <w:r w:rsidR="00CE2EF0" w:rsidRPr="00E51727">
        <w:rPr>
          <w:rFonts w:eastAsia="Arial" w:cs="Arial"/>
          <w:lang w:val="it-CH"/>
        </w:rPr>
        <w:t>determina</w:t>
      </w:r>
      <w:r w:rsidR="00487523" w:rsidRPr="00E51727">
        <w:rPr>
          <w:rFonts w:eastAsia="Arial" w:cs="Arial"/>
          <w:lang w:val="it-CH"/>
        </w:rPr>
        <w:t>ta</w:t>
      </w:r>
      <w:r w:rsidR="00CE2EF0" w:rsidRPr="00E51727">
        <w:rPr>
          <w:rFonts w:eastAsia="Arial" w:cs="Arial"/>
          <w:lang w:val="it-CH"/>
        </w:rPr>
        <w:t xml:space="preserve"> sulla base </w:t>
      </w:r>
      <w:r w:rsidR="00487523" w:rsidRPr="00E51727">
        <w:rPr>
          <w:rFonts w:eastAsia="Arial" w:cs="Arial"/>
          <w:lang w:val="it-CH"/>
        </w:rPr>
        <w:t xml:space="preserve">del piano di </w:t>
      </w:r>
      <w:r w:rsidR="00CE2EF0" w:rsidRPr="00E51727">
        <w:rPr>
          <w:rFonts w:eastAsia="Arial" w:cs="Arial"/>
          <w:lang w:val="it-CH"/>
        </w:rPr>
        <w:t>alimentazione</w:t>
      </w:r>
      <w:r w:rsidRPr="00E51727">
        <w:rPr>
          <w:rFonts w:eastAsia="Arial" w:cs="Arial"/>
          <w:lang w:val="it-CH"/>
        </w:rPr>
        <w:t xml:space="preserve"> </w:t>
      </w:r>
      <w:r w:rsidR="00B96002">
        <w:rPr>
          <w:rFonts w:eastAsia="Arial" w:cs="Arial"/>
          <w:lang w:val="it-CH"/>
        </w:rPr>
        <w:t>svizzero</w:t>
      </w:r>
      <w:r w:rsidRPr="00E51727">
        <w:rPr>
          <w:rFonts w:eastAsia="Arial" w:cs="Arial"/>
          <w:lang w:val="it-CH"/>
        </w:rPr>
        <w:t xml:space="preserve">. Vennero </w:t>
      </w:r>
      <w:r w:rsidR="00487523" w:rsidRPr="00E51727">
        <w:rPr>
          <w:rFonts w:eastAsia="Arial" w:cs="Arial"/>
          <w:lang w:val="it-CH"/>
        </w:rPr>
        <w:t xml:space="preserve">altresì </w:t>
      </w:r>
      <w:r w:rsidR="00DE5D97" w:rsidRPr="00E51727">
        <w:rPr>
          <w:rFonts w:eastAsia="Arial" w:cs="Arial"/>
          <w:lang w:val="it-CH"/>
        </w:rPr>
        <w:t xml:space="preserve">fornite delle indicazioni per i Cantoni </w:t>
      </w:r>
      <w:r w:rsidR="00487523" w:rsidRPr="00E51727">
        <w:rPr>
          <w:rFonts w:eastAsia="Arial" w:cs="Arial"/>
          <w:lang w:val="it-CH"/>
        </w:rPr>
        <w:t xml:space="preserve">ai fini della </w:t>
      </w:r>
      <w:r w:rsidRPr="00E51727">
        <w:rPr>
          <w:rFonts w:eastAsia="Arial" w:cs="Arial"/>
          <w:lang w:val="it-CH"/>
        </w:rPr>
        <w:t>garanzia delle SAC</w:t>
      </w:r>
      <w:r w:rsidRPr="00E51727">
        <w:rPr>
          <w:rStyle w:val="Funotenzeichen"/>
          <w:rFonts w:eastAsia="Arial" w:cs="Arial"/>
          <w:lang w:val="it-CH"/>
        </w:rPr>
        <w:footnoteReference w:id="3"/>
      </w:r>
      <w:r w:rsidR="003435FE" w:rsidRPr="00E51727">
        <w:rPr>
          <w:rFonts w:eastAsia="Arial" w:cs="Arial"/>
          <w:lang w:val="it-CH"/>
        </w:rPr>
        <w:t>.</w:t>
      </w:r>
    </w:p>
    <w:p w14:paraId="422835EB" w14:textId="061671BC" w:rsidR="003A38A5" w:rsidRPr="00E51727" w:rsidRDefault="003A38A5" w:rsidP="003A38A5">
      <w:pPr>
        <w:rPr>
          <w:lang w:val="it-CH"/>
        </w:rPr>
      </w:pPr>
      <w:r w:rsidRPr="00E51727">
        <w:rPr>
          <w:rFonts w:eastAsia="Arial"/>
          <w:lang w:val="it-CH"/>
        </w:rPr>
        <w:t>Il piano di alimentazione</w:t>
      </w:r>
      <w:r w:rsidR="007459DE" w:rsidRPr="00E51727">
        <w:rPr>
          <w:rFonts w:eastAsia="Arial"/>
          <w:lang w:val="it-CH"/>
        </w:rPr>
        <w:t xml:space="preserve"> per la Svizzera in periodi perturbati</w:t>
      </w:r>
      <w:r w:rsidRPr="00E51727">
        <w:rPr>
          <w:rFonts w:eastAsia="Arial"/>
          <w:lang w:val="it-CH"/>
        </w:rPr>
        <w:t xml:space="preserve"> </w:t>
      </w:r>
      <w:r w:rsidR="007459DE" w:rsidRPr="00E51727">
        <w:rPr>
          <w:rFonts w:eastAsia="Arial"/>
          <w:lang w:val="it-CH"/>
        </w:rPr>
        <w:t xml:space="preserve">(EP90), </w:t>
      </w:r>
      <w:r w:rsidRPr="00E51727">
        <w:rPr>
          <w:rFonts w:eastAsia="Arial"/>
          <w:lang w:val="it-CH"/>
        </w:rPr>
        <w:t xml:space="preserve">pubblicato per l’ultima volta nel 1988, </w:t>
      </w:r>
      <w:r w:rsidR="007459DE" w:rsidRPr="00E51727">
        <w:rPr>
          <w:rFonts w:eastAsia="Arial"/>
          <w:lang w:val="it-CH"/>
        </w:rPr>
        <w:t>indicava che la Svizzera,</w:t>
      </w:r>
      <w:r w:rsidRPr="00E51727">
        <w:rPr>
          <w:rFonts w:eastAsia="Arial"/>
          <w:lang w:val="it-CH"/>
        </w:rPr>
        <w:t xml:space="preserve"> in caso di </w:t>
      </w:r>
      <w:r w:rsidR="007459DE" w:rsidRPr="00E51727">
        <w:rPr>
          <w:rFonts w:eastAsia="Arial"/>
          <w:lang w:val="it-CH"/>
        </w:rPr>
        <w:t xml:space="preserve">perturbazione delle importazioni, </w:t>
      </w:r>
      <w:r w:rsidR="00FE7E04" w:rsidRPr="00E51727">
        <w:rPr>
          <w:rFonts w:eastAsia="Arial"/>
          <w:lang w:val="it-CH"/>
        </w:rPr>
        <w:t>avrebbe potuto</w:t>
      </w:r>
      <w:r w:rsidR="007459DE" w:rsidRPr="00E51727">
        <w:rPr>
          <w:rFonts w:eastAsia="Arial"/>
          <w:lang w:val="it-CH"/>
        </w:rPr>
        <w:t xml:space="preserve"> garantire </w:t>
      </w:r>
      <w:r w:rsidR="0033349D" w:rsidRPr="00E51727">
        <w:rPr>
          <w:rFonts w:eastAsia="Arial"/>
          <w:lang w:val="it-CH"/>
        </w:rPr>
        <w:t>l’approvvigionamento alimentare</w:t>
      </w:r>
      <w:r w:rsidR="007445F5" w:rsidRPr="00E51727">
        <w:rPr>
          <w:rFonts w:eastAsia="Arial"/>
          <w:lang w:val="it-CH"/>
        </w:rPr>
        <w:t xml:space="preserve"> nazionale </w:t>
      </w:r>
      <w:r w:rsidRPr="00E51727">
        <w:rPr>
          <w:rFonts w:eastAsia="Arial"/>
          <w:lang w:val="it-CH"/>
        </w:rPr>
        <w:t xml:space="preserve">su una superficie di 450 000 ha. Tutto </w:t>
      </w:r>
      <w:r w:rsidR="007445F5" w:rsidRPr="00E51727">
        <w:rPr>
          <w:rFonts w:eastAsia="Arial"/>
          <w:lang w:val="it-CH"/>
        </w:rPr>
        <w:t>questo</w:t>
      </w:r>
      <w:r w:rsidRPr="00E51727">
        <w:rPr>
          <w:rFonts w:eastAsia="Arial"/>
          <w:lang w:val="it-CH"/>
        </w:rPr>
        <w:t xml:space="preserve"> </w:t>
      </w:r>
      <w:r w:rsidR="00C20EAB" w:rsidRPr="00E51727">
        <w:rPr>
          <w:rFonts w:eastAsia="Arial"/>
          <w:lang w:val="it-CH"/>
        </w:rPr>
        <w:t>a condizione di ridurre</w:t>
      </w:r>
      <w:r w:rsidRPr="00E51727">
        <w:rPr>
          <w:rFonts w:eastAsia="Arial"/>
          <w:lang w:val="it-CH"/>
        </w:rPr>
        <w:t xml:space="preserve"> l’apporto energetico</w:t>
      </w:r>
      <w:r w:rsidR="00C20EAB" w:rsidRPr="00E51727">
        <w:rPr>
          <w:rFonts w:eastAsia="Arial"/>
          <w:lang w:val="it-CH"/>
        </w:rPr>
        <w:t xml:space="preserve">, passando </w:t>
      </w:r>
      <w:r w:rsidRPr="00E51727">
        <w:rPr>
          <w:rFonts w:eastAsia="Arial"/>
          <w:lang w:val="it-CH"/>
        </w:rPr>
        <w:t xml:space="preserve">da circa 3300 chilocalorie per persona al giorno (kcal/p/g) a </w:t>
      </w:r>
      <w:r w:rsidR="00C20EAB" w:rsidRPr="00E51727">
        <w:rPr>
          <w:rFonts w:eastAsia="Arial"/>
          <w:lang w:val="it-CH"/>
        </w:rPr>
        <w:t xml:space="preserve">circa </w:t>
      </w:r>
      <w:r w:rsidRPr="00E51727">
        <w:rPr>
          <w:rFonts w:eastAsia="Arial"/>
          <w:lang w:val="it-CH"/>
        </w:rPr>
        <w:t xml:space="preserve">2300 kcal/p/g. Da </w:t>
      </w:r>
      <w:r w:rsidR="007445F5" w:rsidRPr="00E51727">
        <w:rPr>
          <w:rFonts w:eastAsia="Arial"/>
          <w:lang w:val="it-CH"/>
        </w:rPr>
        <w:t xml:space="preserve">ciò derivò </w:t>
      </w:r>
      <w:r w:rsidRPr="00E51727">
        <w:rPr>
          <w:rFonts w:eastAsia="Arial"/>
          <w:lang w:val="it-CH"/>
        </w:rPr>
        <w:t>l’estensione minima d</w:t>
      </w:r>
      <w:r w:rsidR="007445F5" w:rsidRPr="00E51727">
        <w:rPr>
          <w:rFonts w:eastAsia="Arial"/>
          <w:lang w:val="it-CH"/>
        </w:rPr>
        <w:t>elle</w:t>
      </w:r>
      <w:r w:rsidRPr="00E51727">
        <w:rPr>
          <w:rFonts w:eastAsia="Arial"/>
          <w:lang w:val="it-CH"/>
        </w:rPr>
        <w:t xml:space="preserve"> SAC da </w:t>
      </w:r>
      <w:r w:rsidR="00924045">
        <w:rPr>
          <w:rFonts w:eastAsia="Arial"/>
          <w:lang w:val="it-CH"/>
        </w:rPr>
        <w:t>mantenere</w:t>
      </w:r>
      <w:r w:rsidR="00FE7E04" w:rsidRPr="00E51727">
        <w:rPr>
          <w:rFonts w:eastAsia="Arial"/>
          <w:lang w:val="it-CH"/>
        </w:rPr>
        <w:t xml:space="preserve">, superficie che venne </w:t>
      </w:r>
      <w:r w:rsidRPr="00E51727">
        <w:rPr>
          <w:rFonts w:eastAsia="Arial"/>
          <w:lang w:val="it-CH"/>
        </w:rPr>
        <w:t>poi suddivi</w:t>
      </w:r>
      <w:r w:rsidR="00C971D9" w:rsidRPr="00E51727">
        <w:rPr>
          <w:rFonts w:eastAsia="Arial"/>
          <w:lang w:val="it-CH"/>
        </w:rPr>
        <w:t>s</w:t>
      </w:r>
      <w:r w:rsidRPr="00E51727">
        <w:rPr>
          <w:rFonts w:eastAsia="Arial"/>
          <w:lang w:val="it-CH"/>
        </w:rPr>
        <w:t xml:space="preserve">a tra i Cantoni. </w:t>
      </w:r>
      <w:r w:rsidR="003A3055" w:rsidRPr="00E51727">
        <w:rPr>
          <w:rFonts w:eastAsia="Arial"/>
          <w:lang w:val="it-CH"/>
        </w:rPr>
        <w:t>Dopo la conclusione de</w:t>
      </w:r>
      <w:r w:rsidRPr="00E51727">
        <w:rPr>
          <w:rFonts w:eastAsia="Arial"/>
          <w:lang w:val="it-CH"/>
        </w:rPr>
        <w:t xml:space="preserve">i rilevamenti </w:t>
      </w:r>
      <w:r w:rsidR="003A3055" w:rsidRPr="00E51727">
        <w:rPr>
          <w:rFonts w:eastAsia="Arial"/>
          <w:lang w:val="it-CH"/>
        </w:rPr>
        <w:t>delle superfici</w:t>
      </w:r>
      <w:r w:rsidRPr="00E51727">
        <w:rPr>
          <w:rFonts w:eastAsia="Arial"/>
          <w:lang w:val="it-CH"/>
        </w:rPr>
        <w:t xml:space="preserve"> </w:t>
      </w:r>
      <w:r w:rsidR="003435FE">
        <w:rPr>
          <w:rFonts w:eastAsia="Arial"/>
          <w:lang w:val="it-CH"/>
        </w:rPr>
        <w:t>da parte dei</w:t>
      </w:r>
      <w:r w:rsidR="009E08F1">
        <w:rPr>
          <w:rFonts w:eastAsia="Arial"/>
          <w:lang w:val="it-CH"/>
        </w:rPr>
        <w:t xml:space="preserve"> </w:t>
      </w:r>
      <w:r w:rsidRPr="00E51727">
        <w:rPr>
          <w:rFonts w:eastAsia="Arial"/>
          <w:lang w:val="it-CH"/>
        </w:rPr>
        <w:t>Cantoni</w:t>
      </w:r>
      <w:r w:rsidR="00924045">
        <w:rPr>
          <w:rFonts w:eastAsia="Arial"/>
          <w:lang w:val="it-CH"/>
        </w:rPr>
        <w:t xml:space="preserve"> </w:t>
      </w:r>
      <w:r w:rsidR="00924045" w:rsidRPr="00E51727">
        <w:rPr>
          <w:rFonts w:eastAsia="Arial"/>
          <w:lang w:val="it-CH"/>
        </w:rPr>
        <w:t>(1988)</w:t>
      </w:r>
      <w:r w:rsidRPr="00E51727">
        <w:rPr>
          <w:rFonts w:eastAsia="Arial"/>
          <w:lang w:val="it-CH"/>
        </w:rPr>
        <w:t>,</w:t>
      </w:r>
      <w:r w:rsidRPr="00E51727">
        <w:rPr>
          <w:rFonts w:eastAsiaTheme="minorEastAsia"/>
          <w:lang w:val="it-CH"/>
        </w:rPr>
        <w:t xml:space="preserve"> </w:t>
      </w:r>
      <w:r w:rsidRPr="00E51727">
        <w:rPr>
          <w:rFonts w:eastAsiaTheme="minorEastAsia"/>
          <w:color w:val="000000"/>
          <w:lang w:val="it-CH" w:eastAsia="en-US"/>
        </w:rPr>
        <w:t>la Confederazione esaminò e armonizzò</w:t>
      </w:r>
      <w:r w:rsidR="003A3055" w:rsidRPr="00E51727">
        <w:rPr>
          <w:rFonts w:eastAsiaTheme="minorEastAsia"/>
          <w:color w:val="000000"/>
          <w:lang w:val="it-CH" w:eastAsia="en-US"/>
        </w:rPr>
        <w:t xml:space="preserve"> i risultati in collaborazione</w:t>
      </w:r>
      <w:r w:rsidR="00C20EAB" w:rsidRPr="00E51727">
        <w:rPr>
          <w:rFonts w:eastAsiaTheme="minorEastAsia"/>
          <w:color w:val="000000"/>
          <w:lang w:val="it-CH" w:eastAsia="en-US"/>
        </w:rPr>
        <w:t xml:space="preserve"> </w:t>
      </w:r>
      <w:r w:rsidR="003A3055" w:rsidRPr="00E51727">
        <w:rPr>
          <w:rFonts w:eastAsiaTheme="minorEastAsia"/>
          <w:color w:val="000000"/>
          <w:lang w:val="it-CH" w:eastAsia="en-US"/>
        </w:rPr>
        <w:t>con ciascun Cantone</w:t>
      </w:r>
      <w:r w:rsidRPr="00E51727">
        <w:rPr>
          <w:rFonts w:eastAsiaTheme="minorEastAsia"/>
          <w:color w:val="000000"/>
          <w:lang w:val="it-CH" w:eastAsia="en-US"/>
        </w:rPr>
        <w:t xml:space="preserve">. </w:t>
      </w:r>
      <w:r w:rsidR="003A3055" w:rsidRPr="00E51727">
        <w:rPr>
          <w:rFonts w:eastAsiaTheme="minorEastAsia"/>
          <w:color w:val="000000"/>
          <w:lang w:val="it-CH" w:eastAsia="en-US"/>
        </w:rPr>
        <w:t xml:space="preserve">I risultati </w:t>
      </w:r>
      <w:r w:rsidR="00FE7E04" w:rsidRPr="00E51727">
        <w:rPr>
          <w:rFonts w:eastAsiaTheme="minorEastAsia"/>
          <w:color w:val="000000"/>
          <w:lang w:val="it-CH" w:eastAsia="en-US"/>
        </w:rPr>
        <w:t>aggiornati</w:t>
      </w:r>
      <w:r w:rsidR="003A3055" w:rsidRPr="00E51727">
        <w:rPr>
          <w:rFonts w:eastAsiaTheme="minorEastAsia"/>
          <w:color w:val="000000"/>
          <w:lang w:val="it-CH" w:eastAsia="en-US"/>
        </w:rPr>
        <w:t xml:space="preserve"> dei Cantoni diedero un totale complessivo di circa 4</w:t>
      </w:r>
      <w:r w:rsidRPr="00E51727">
        <w:rPr>
          <w:rFonts w:eastAsiaTheme="minorEastAsia"/>
          <w:color w:val="000000"/>
          <w:lang w:val="it-CH" w:eastAsia="en-US"/>
        </w:rPr>
        <w:t xml:space="preserve">36 000 ha </w:t>
      </w:r>
      <w:r w:rsidR="003A3055" w:rsidRPr="00E51727">
        <w:rPr>
          <w:rFonts w:eastAsiaTheme="minorEastAsia"/>
          <w:color w:val="000000"/>
          <w:lang w:val="it-CH" w:eastAsia="en-US"/>
        </w:rPr>
        <w:t>di SAC disponibili al di fuori dei comprensori ins</w:t>
      </w:r>
      <w:r w:rsidR="00025C8F" w:rsidRPr="00E51727">
        <w:rPr>
          <w:rFonts w:eastAsiaTheme="minorEastAsia"/>
          <w:color w:val="000000"/>
          <w:lang w:val="it-CH" w:eastAsia="en-US"/>
        </w:rPr>
        <w:t>ediativi</w:t>
      </w:r>
      <w:r w:rsidRPr="00E51727">
        <w:rPr>
          <w:rFonts w:eastAsiaTheme="minorEastAsia"/>
          <w:color w:val="000000"/>
          <w:lang w:val="it-CH" w:eastAsia="en-US"/>
        </w:rPr>
        <w:t xml:space="preserve">. Altri 16 500 ha di SAC </w:t>
      </w:r>
      <w:r w:rsidR="00025C8F" w:rsidRPr="00E51727">
        <w:rPr>
          <w:rFonts w:eastAsiaTheme="minorEastAsia"/>
          <w:color w:val="000000"/>
          <w:lang w:val="it-CH" w:eastAsia="en-US"/>
        </w:rPr>
        <w:t xml:space="preserve">erano situati </w:t>
      </w:r>
      <w:r w:rsidRPr="00E51727">
        <w:rPr>
          <w:rFonts w:eastAsiaTheme="minorEastAsia"/>
          <w:color w:val="000000"/>
          <w:lang w:val="it-CH" w:eastAsia="en-US"/>
        </w:rPr>
        <w:t xml:space="preserve">in </w:t>
      </w:r>
      <w:r w:rsidR="00025C8F" w:rsidRPr="00E51727">
        <w:rPr>
          <w:rFonts w:eastAsiaTheme="minorEastAsia"/>
          <w:color w:val="000000"/>
          <w:lang w:val="it-CH" w:eastAsia="en-US"/>
        </w:rPr>
        <w:t>zone</w:t>
      </w:r>
      <w:r w:rsidRPr="00E51727">
        <w:rPr>
          <w:rFonts w:eastAsiaTheme="minorEastAsia"/>
          <w:color w:val="000000"/>
          <w:lang w:val="it-CH" w:eastAsia="en-US"/>
        </w:rPr>
        <w:t xml:space="preserve"> edificabili </w:t>
      </w:r>
      <w:r w:rsidR="00025C8F" w:rsidRPr="00E51727">
        <w:rPr>
          <w:rFonts w:eastAsiaTheme="minorEastAsia"/>
          <w:color w:val="000000"/>
          <w:lang w:val="it-CH" w:eastAsia="en-US"/>
        </w:rPr>
        <w:t>e</w:t>
      </w:r>
      <w:r w:rsidRPr="00E51727">
        <w:rPr>
          <w:rFonts w:eastAsiaTheme="minorEastAsia"/>
          <w:color w:val="000000"/>
          <w:lang w:val="it-CH" w:eastAsia="en-US"/>
        </w:rPr>
        <w:t xml:space="preserve"> in comprensori</w:t>
      </w:r>
      <w:r w:rsidR="00025C8F" w:rsidRPr="00E51727">
        <w:rPr>
          <w:rFonts w:eastAsiaTheme="minorEastAsia"/>
          <w:color w:val="000000"/>
          <w:lang w:val="it-CH" w:eastAsia="en-US"/>
        </w:rPr>
        <w:t xml:space="preserve"> che,</w:t>
      </w:r>
      <w:r w:rsidRPr="00E51727">
        <w:rPr>
          <w:rFonts w:eastAsiaTheme="minorEastAsia"/>
          <w:color w:val="000000"/>
          <w:lang w:val="it-CH" w:eastAsia="en-US"/>
        </w:rPr>
        <w:t xml:space="preserve"> nella pianif</w:t>
      </w:r>
      <w:r w:rsidR="00C971D9" w:rsidRPr="00E51727">
        <w:rPr>
          <w:rFonts w:eastAsiaTheme="minorEastAsia"/>
          <w:color w:val="000000"/>
          <w:lang w:val="it-CH" w:eastAsia="en-US"/>
        </w:rPr>
        <w:t>i</w:t>
      </w:r>
      <w:r w:rsidRPr="00E51727">
        <w:rPr>
          <w:rFonts w:eastAsiaTheme="minorEastAsia"/>
          <w:color w:val="000000"/>
          <w:lang w:val="it-CH" w:eastAsia="en-US"/>
        </w:rPr>
        <w:t>cazione direttrice,</w:t>
      </w:r>
      <w:r w:rsidR="00025C8F" w:rsidRPr="00E51727">
        <w:rPr>
          <w:rFonts w:eastAsiaTheme="minorEastAsia"/>
          <w:color w:val="000000"/>
          <w:lang w:val="it-CH" w:eastAsia="en-US"/>
        </w:rPr>
        <w:t xml:space="preserve"> erano</w:t>
      </w:r>
      <w:r w:rsidRPr="00E51727">
        <w:rPr>
          <w:rFonts w:eastAsiaTheme="minorEastAsia"/>
          <w:color w:val="000000"/>
          <w:lang w:val="it-CH" w:eastAsia="en-US"/>
        </w:rPr>
        <w:t xml:space="preserve"> </w:t>
      </w:r>
      <w:r w:rsidR="00025C8F" w:rsidRPr="00E51727">
        <w:rPr>
          <w:rFonts w:eastAsiaTheme="minorEastAsia"/>
          <w:color w:val="000000"/>
          <w:lang w:val="it-CH" w:eastAsia="en-US"/>
        </w:rPr>
        <w:t xml:space="preserve">destinati </w:t>
      </w:r>
      <w:r w:rsidRPr="00E51727">
        <w:rPr>
          <w:rFonts w:eastAsiaTheme="minorEastAsia"/>
          <w:color w:val="000000"/>
          <w:lang w:val="it-CH" w:eastAsia="en-US"/>
        </w:rPr>
        <w:t>a</w:t>
      </w:r>
      <w:r w:rsidR="00025C8F" w:rsidRPr="00E51727">
        <w:rPr>
          <w:rFonts w:eastAsiaTheme="minorEastAsia"/>
          <w:color w:val="000000"/>
          <w:lang w:val="it-CH" w:eastAsia="en-US"/>
        </w:rPr>
        <w:t xml:space="preserve">llo </w:t>
      </w:r>
      <w:r w:rsidRPr="00E51727">
        <w:rPr>
          <w:rFonts w:eastAsiaTheme="minorEastAsia"/>
          <w:color w:val="000000"/>
          <w:lang w:val="it-CH" w:eastAsia="en-US"/>
        </w:rPr>
        <w:t xml:space="preserve">sviluppo </w:t>
      </w:r>
      <w:r w:rsidRPr="00657DD5">
        <w:rPr>
          <w:rFonts w:eastAsiaTheme="minorEastAsia"/>
          <w:color w:val="000000"/>
          <w:lang w:val="it-CH" w:eastAsia="en-US"/>
        </w:rPr>
        <w:t>insediativo</w:t>
      </w:r>
      <w:r w:rsidRPr="00657DD5">
        <w:rPr>
          <w:rFonts w:eastAsiaTheme="minorEastAsia"/>
          <w:lang w:val="it-CH"/>
        </w:rPr>
        <w:t xml:space="preserve">. </w:t>
      </w:r>
      <w:r w:rsidRPr="00657DD5">
        <w:rPr>
          <w:lang w:val="it-CH"/>
        </w:rPr>
        <w:t xml:space="preserve">Il fabbisogno </w:t>
      </w:r>
      <w:r w:rsidR="00166A00" w:rsidRPr="00657DD5">
        <w:rPr>
          <w:lang w:val="it-CH"/>
        </w:rPr>
        <w:t>definito</w:t>
      </w:r>
      <w:r w:rsidR="00025C8F" w:rsidRPr="00657DD5">
        <w:rPr>
          <w:lang w:val="it-CH"/>
        </w:rPr>
        <w:t xml:space="preserve"> per la sicurezza alimentare, perciò, </w:t>
      </w:r>
      <w:r w:rsidR="00166A00" w:rsidRPr="00657DD5">
        <w:rPr>
          <w:lang w:val="it-CH"/>
        </w:rPr>
        <w:t>era già al di sotto della soglia minima</w:t>
      </w:r>
      <w:r w:rsidRPr="00657DD5">
        <w:rPr>
          <w:lang w:val="it-CH"/>
        </w:rPr>
        <w:t xml:space="preserve">. </w:t>
      </w:r>
      <w:r w:rsidR="00166A00" w:rsidRPr="00657DD5">
        <w:rPr>
          <w:rFonts w:eastAsia="Arial"/>
          <w:lang w:val="it-CH"/>
        </w:rPr>
        <w:t>Allo scopo di</w:t>
      </w:r>
      <w:r w:rsidR="00166A00" w:rsidRPr="00E51727">
        <w:rPr>
          <w:rFonts w:eastAsia="Arial"/>
          <w:lang w:val="it-CH"/>
        </w:rPr>
        <w:t xml:space="preserve"> </w:t>
      </w:r>
      <w:r w:rsidRPr="00E51727">
        <w:rPr>
          <w:rFonts w:eastAsia="Arial"/>
          <w:lang w:val="it-CH"/>
        </w:rPr>
        <w:t>garantire le SAC ancora disponibili, il Piano settoriale</w:t>
      </w:r>
      <w:r w:rsidR="00166A00" w:rsidRPr="00E51727">
        <w:rPr>
          <w:rFonts w:eastAsia="Arial"/>
          <w:lang w:val="it-CH"/>
        </w:rPr>
        <w:t xml:space="preserve"> </w:t>
      </w:r>
      <w:r w:rsidRPr="00E51727">
        <w:rPr>
          <w:rFonts w:eastAsia="Arial"/>
          <w:lang w:val="it-CH"/>
        </w:rPr>
        <w:t>SAC</w:t>
      </w:r>
      <w:r w:rsidR="00166A00" w:rsidRPr="00E51727">
        <w:rPr>
          <w:rFonts w:eastAsia="Arial"/>
          <w:lang w:val="it-CH"/>
        </w:rPr>
        <w:t>, con l</w:t>
      </w:r>
      <w:r w:rsidRPr="00E51727">
        <w:rPr>
          <w:rFonts w:eastAsia="Arial"/>
          <w:lang w:val="it-CH"/>
        </w:rPr>
        <w:t xml:space="preserve">’estensione minima e la sua </w:t>
      </w:r>
      <w:r w:rsidR="00B360DF" w:rsidRPr="00E51727">
        <w:rPr>
          <w:rFonts w:eastAsia="Arial"/>
          <w:lang w:val="it-CH"/>
        </w:rPr>
        <w:t>ripartizione</w:t>
      </w:r>
      <w:r w:rsidRPr="00E51727">
        <w:rPr>
          <w:rFonts w:eastAsia="Arial"/>
          <w:lang w:val="it-CH"/>
        </w:rPr>
        <w:t xml:space="preserve"> tra i Cantoni</w:t>
      </w:r>
      <w:r w:rsidR="00166A00" w:rsidRPr="00E51727">
        <w:rPr>
          <w:rFonts w:eastAsia="Arial"/>
          <w:lang w:val="it-CH"/>
        </w:rPr>
        <w:t>,</w:t>
      </w:r>
      <w:r w:rsidRPr="00E51727">
        <w:rPr>
          <w:rFonts w:eastAsia="Arial"/>
          <w:lang w:val="it-CH"/>
        </w:rPr>
        <w:t xml:space="preserve"> </w:t>
      </w:r>
      <w:r w:rsidR="00166A00" w:rsidRPr="00E51727">
        <w:rPr>
          <w:rFonts w:eastAsia="Arial"/>
          <w:lang w:val="it-CH"/>
        </w:rPr>
        <w:t>venne approvato dal Consiglio federale l</w:t>
      </w:r>
      <w:r w:rsidR="0033349D" w:rsidRPr="00E51727">
        <w:rPr>
          <w:rFonts w:eastAsia="Arial"/>
          <w:lang w:val="it-CH"/>
        </w:rPr>
        <w:t>’</w:t>
      </w:r>
      <w:r w:rsidR="00166A00" w:rsidRPr="00E51727">
        <w:rPr>
          <w:rFonts w:eastAsia="Arial"/>
          <w:lang w:val="it-CH"/>
        </w:rPr>
        <w:t>8 aprile 1992 mediante decreto</w:t>
      </w:r>
      <w:r w:rsidR="003435FE" w:rsidRPr="00E51727">
        <w:rPr>
          <w:rStyle w:val="Funotenzeichen"/>
          <w:rFonts w:eastAsia="Arial"/>
          <w:lang w:val="it-CH"/>
        </w:rPr>
        <w:footnoteReference w:id="4"/>
      </w:r>
      <w:r w:rsidRPr="00E51727">
        <w:rPr>
          <w:rFonts w:eastAsia="Arial"/>
          <w:lang w:val="it-CH"/>
        </w:rPr>
        <w:t>.</w:t>
      </w:r>
    </w:p>
    <w:p w14:paraId="1BA961F3" w14:textId="63C2F3BC" w:rsidR="003A38A5" w:rsidRPr="00E51727" w:rsidRDefault="003A38A5" w:rsidP="003A38A5">
      <w:pPr>
        <w:rPr>
          <w:rFonts w:eastAsia="Arial"/>
          <w:lang w:val="it-CH"/>
        </w:rPr>
      </w:pPr>
      <w:r w:rsidRPr="00E51727">
        <w:rPr>
          <w:rFonts w:eastAsia="Arial" w:cs="Arial"/>
          <w:lang w:val="it-CH"/>
        </w:rPr>
        <w:t>Grazie all</w:t>
      </w:r>
      <w:r w:rsidR="00924045">
        <w:rPr>
          <w:rFonts w:eastAsia="Arial" w:cs="Arial"/>
          <w:lang w:val="it-CH"/>
        </w:rPr>
        <w:t>a legge sulla pianificazione del territorio (</w:t>
      </w:r>
      <w:r w:rsidRPr="00E51727">
        <w:rPr>
          <w:rFonts w:eastAsia="Arial" w:cs="Arial"/>
          <w:lang w:val="it-CH"/>
        </w:rPr>
        <w:t>LPT</w:t>
      </w:r>
      <w:r w:rsidR="00924045">
        <w:rPr>
          <w:rFonts w:eastAsia="Arial" w:cs="Arial"/>
          <w:lang w:val="it-CH"/>
        </w:rPr>
        <w:t>)</w:t>
      </w:r>
      <w:r w:rsidRPr="00E51727">
        <w:rPr>
          <w:rFonts w:eastAsia="Arial" w:cs="Arial"/>
          <w:lang w:val="it-CH"/>
        </w:rPr>
        <w:t xml:space="preserve"> e al Piano settoriale SAC</w:t>
      </w:r>
      <w:r w:rsidR="0033349D" w:rsidRPr="00E51727">
        <w:rPr>
          <w:rFonts w:eastAsia="Arial" w:cs="Arial"/>
          <w:lang w:val="it-CH"/>
        </w:rPr>
        <w:t>,</w:t>
      </w:r>
      <w:r w:rsidRPr="00E51727">
        <w:rPr>
          <w:rFonts w:eastAsia="Arial" w:cs="Arial"/>
          <w:lang w:val="it-CH"/>
        </w:rPr>
        <w:t xml:space="preserve"> </w:t>
      </w:r>
      <w:r w:rsidR="00834D41" w:rsidRPr="00E51727">
        <w:rPr>
          <w:rFonts w:eastAsia="Arial" w:cs="Arial"/>
          <w:lang w:val="it-CH"/>
        </w:rPr>
        <w:t>è stato possibile limitare parzialmente l</w:t>
      </w:r>
      <w:r w:rsidRPr="00E51727">
        <w:rPr>
          <w:rFonts w:eastAsia="Arial" w:cs="Arial"/>
          <w:lang w:val="it-CH"/>
        </w:rPr>
        <w:t xml:space="preserve">a perdita di </w:t>
      </w:r>
      <w:r w:rsidR="004F2021">
        <w:rPr>
          <w:rFonts w:eastAsia="Arial" w:cs="Arial"/>
          <w:lang w:val="it-CH"/>
        </w:rPr>
        <w:t>superfici coltive</w:t>
      </w:r>
      <w:r w:rsidR="00834D41" w:rsidRPr="00E51727">
        <w:rPr>
          <w:rFonts w:eastAsia="Arial" w:cs="Arial"/>
          <w:lang w:val="it-CH"/>
        </w:rPr>
        <w:t xml:space="preserve"> </w:t>
      </w:r>
      <w:r w:rsidRPr="00E51727">
        <w:rPr>
          <w:rFonts w:eastAsia="Arial" w:cs="Arial"/>
          <w:lang w:val="it-CH"/>
        </w:rPr>
        <w:t xml:space="preserve">e </w:t>
      </w:r>
      <w:r w:rsidR="00834D41" w:rsidRPr="00E51727">
        <w:rPr>
          <w:rFonts w:eastAsia="Arial" w:cs="Arial"/>
          <w:lang w:val="it-CH"/>
        </w:rPr>
        <w:t>la dispersione</w:t>
      </w:r>
      <w:r w:rsidRPr="00E51727">
        <w:rPr>
          <w:rFonts w:eastAsia="Arial" w:cs="Arial"/>
          <w:lang w:val="it-CH"/>
        </w:rPr>
        <w:t xml:space="preserve"> degli insediamenti nel Paese. La perdita di suol</w:t>
      </w:r>
      <w:r w:rsidR="00834D41" w:rsidRPr="00E51727">
        <w:rPr>
          <w:rFonts w:eastAsia="Arial" w:cs="Arial"/>
          <w:lang w:val="it-CH"/>
        </w:rPr>
        <w:t>o</w:t>
      </w:r>
      <w:r w:rsidRPr="00E51727">
        <w:rPr>
          <w:rFonts w:eastAsia="Arial" w:cs="Arial"/>
          <w:lang w:val="it-CH"/>
        </w:rPr>
        <w:t xml:space="preserve">, tuttavia, </w:t>
      </w:r>
      <w:r w:rsidR="004E6EA9">
        <w:rPr>
          <w:rFonts w:eastAsia="Arial" w:cs="Arial"/>
          <w:lang w:val="it-CH"/>
        </w:rPr>
        <w:t xml:space="preserve">non ha smesso di </w:t>
      </w:r>
      <w:r w:rsidR="00834D41" w:rsidRPr="00E51727">
        <w:rPr>
          <w:rFonts w:eastAsia="Arial" w:cs="Arial"/>
          <w:lang w:val="it-CH"/>
        </w:rPr>
        <w:t xml:space="preserve">aumentare </w:t>
      </w:r>
      <w:r w:rsidRPr="00E51727">
        <w:rPr>
          <w:rFonts w:eastAsia="Arial" w:cs="Arial"/>
          <w:lang w:val="it-CH"/>
        </w:rPr>
        <w:t xml:space="preserve">a causa di </w:t>
      </w:r>
      <w:r w:rsidR="006B24C5" w:rsidRPr="00E51727">
        <w:rPr>
          <w:rFonts w:eastAsia="Arial" w:cs="Arial"/>
          <w:lang w:val="it-CH"/>
        </w:rPr>
        <w:t>zone</w:t>
      </w:r>
      <w:r w:rsidRPr="00E51727">
        <w:rPr>
          <w:rFonts w:eastAsia="Arial" w:cs="Arial"/>
          <w:lang w:val="it-CH"/>
        </w:rPr>
        <w:t xml:space="preserve"> edificabili sovradimensionate, </w:t>
      </w:r>
      <w:r w:rsidR="00834D41" w:rsidRPr="00E51727">
        <w:rPr>
          <w:rFonts w:eastAsia="Arial" w:cs="Arial"/>
          <w:lang w:val="it-CH"/>
        </w:rPr>
        <w:t xml:space="preserve">dell’espansione insediativa </w:t>
      </w:r>
      <w:r w:rsidRPr="00E51727">
        <w:rPr>
          <w:rFonts w:eastAsia="Arial" w:cs="Arial"/>
          <w:lang w:val="it-CH"/>
        </w:rPr>
        <w:t xml:space="preserve">e di un maggiore consumo di superficie </w:t>
      </w:r>
      <w:r w:rsidR="001E7E14" w:rsidRPr="00E51727">
        <w:rPr>
          <w:rFonts w:eastAsia="Arial" w:cs="Arial"/>
          <w:lang w:val="it-CH"/>
        </w:rPr>
        <w:t>pro capite</w:t>
      </w:r>
      <w:r w:rsidRPr="00E51727">
        <w:rPr>
          <w:rFonts w:eastAsia="Arial" w:cs="Arial"/>
          <w:lang w:val="it-CH"/>
        </w:rPr>
        <w:t xml:space="preserve">. Tra il 1985 e il 2009 in Svizzera sono andati perduti circa 85 </w:t>
      </w:r>
      <w:r w:rsidRPr="00E51727">
        <w:rPr>
          <w:rFonts w:eastAsia="Arial"/>
          <w:lang w:val="it-CH"/>
        </w:rPr>
        <w:t xml:space="preserve">000 ha di </w:t>
      </w:r>
      <w:r w:rsidR="004F2021">
        <w:rPr>
          <w:rFonts w:eastAsia="Arial"/>
          <w:lang w:val="it-CH"/>
        </w:rPr>
        <w:t>superfici coltive</w:t>
      </w:r>
      <w:r w:rsidRPr="00E51727">
        <w:rPr>
          <w:rFonts w:eastAsia="Arial"/>
          <w:lang w:val="it-CH"/>
        </w:rPr>
        <w:t xml:space="preserve">, ciò che corrisponde a circa </w:t>
      </w:r>
      <w:r w:rsidR="00B63BBE" w:rsidRPr="00E51727">
        <w:rPr>
          <w:rFonts w:eastAsia="Arial"/>
          <w:lang w:val="it-CH"/>
        </w:rPr>
        <w:t xml:space="preserve">1 </w:t>
      </w:r>
      <w:r w:rsidRPr="00E51727">
        <w:rPr>
          <w:rFonts w:eastAsia="Arial"/>
          <w:lang w:val="it-CH"/>
        </w:rPr>
        <w:t>m</w:t>
      </w:r>
      <w:r w:rsidRPr="00E51727">
        <w:rPr>
          <w:rFonts w:eastAsia="Arial"/>
          <w:vertAlign w:val="superscript"/>
          <w:lang w:val="it-CH"/>
        </w:rPr>
        <w:t>2</w:t>
      </w:r>
      <w:r w:rsidRPr="00E51727">
        <w:rPr>
          <w:rFonts w:eastAsia="Arial"/>
          <w:lang w:val="it-CH"/>
        </w:rPr>
        <w:t xml:space="preserve"> al secondo</w:t>
      </w:r>
      <w:r w:rsidR="00E642EA">
        <w:rPr>
          <w:rStyle w:val="Funotenzeichen"/>
          <w:rFonts w:eastAsia="Arial"/>
        </w:rPr>
        <w:footnoteReference w:id="5"/>
      </w:r>
      <w:r w:rsidR="003435FE" w:rsidRPr="00E51727">
        <w:rPr>
          <w:rFonts w:eastAsia="Arial"/>
          <w:lang w:val="it-CH"/>
        </w:rPr>
        <w:t>.</w:t>
      </w:r>
      <w:r w:rsidRPr="00E51727">
        <w:rPr>
          <w:rFonts w:eastAsia="Arial"/>
          <w:lang w:val="it-CH"/>
        </w:rPr>
        <w:t xml:space="preserve"> </w:t>
      </w:r>
      <w:r w:rsidR="00657DD5">
        <w:rPr>
          <w:rFonts w:eastAsia="Arial"/>
          <w:lang w:val="it-CH"/>
        </w:rPr>
        <w:t>I</w:t>
      </w:r>
      <w:r w:rsidR="001E7E14" w:rsidRPr="00E51727">
        <w:rPr>
          <w:rFonts w:eastAsia="Arial"/>
          <w:lang w:val="it-CH"/>
        </w:rPr>
        <w:t xml:space="preserve"> due</w:t>
      </w:r>
      <w:r w:rsidRPr="00E51727">
        <w:rPr>
          <w:rFonts w:eastAsia="Arial"/>
          <w:lang w:val="it-CH"/>
        </w:rPr>
        <w:t xml:space="preserve"> terzi di </w:t>
      </w:r>
      <w:r w:rsidR="001E7E14" w:rsidRPr="00E51727">
        <w:rPr>
          <w:rFonts w:eastAsia="Arial"/>
          <w:lang w:val="it-CH"/>
        </w:rPr>
        <w:t>tali terreni</w:t>
      </w:r>
      <w:r w:rsidR="00924045">
        <w:rPr>
          <w:rFonts w:eastAsia="Arial"/>
          <w:lang w:val="it-CH"/>
        </w:rPr>
        <w:t>, corrispondenti a circa 54 000 ha,</w:t>
      </w:r>
      <w:r w:rsidRPr="00E51727">
        <w:rPr>
          <w:rFonts w:eastAsia="Arial"/>
          <w:lang w:val="it-CH"/>
        </w:rPr>
        <w:t xml:space="preserve"> </w:t>
      </w:r>
      <w:r w:rsidR="001E7E14" w:rsidRPr="00E51727">
        <w:rPr>
          <w:rFonts w:eastAsia="Arial"/>
          <w:lang w:val="it-CH"/>
        </w:rPr>
        <w:t>sono diventati nuove superfici insediative</w:t>
      </w:r>
      <w:r w:rsidRPr="00E51727">
        <w:rPr>
          <w:rFonts w:eastAsia="Arial"/>
          <w:lang w:val="it-CH"/>
        </w:rPr>
        <w:t xml:space="preserve">, </w:t>
      </w:r>
      <w:r w:rsidR="00924045">
        <w:rPr>
          <w:rFonts w:eastAsia="Arial"/>
          <w:lang w:val="it-CH"/>
        </w:rPr>
        <w:t xml:space="preserve">il resto </w:t>
      </w:r>
      <w:r w:rsidR="00B63BBE" w:rsidRPr="00E51727">
        <w:rPr>
          <w:rFonts w:eastAsia="Arial"/>
          <w:lang w:val="it-CH"/>
        </w:rPr>
        <w:t>– per motivi di gestione del territorio</w:t>
      </w:r>
      <w:r w:rsidR="00924045">
        <w:rPr>
          <w:rFonts w:eastAsia="Arial"/>
          <w:lang w:val="it-CH"/>
        </w:rPr>
        <w:t>, in particolare ai fini di un’utilizzazione alpestre</w:t>
      </w:r>
      <w:r w:rsidR="00B63BBE" w:rsidRPr="00E51727">
        <w:rPr>
          <w:rFonts w:eastAsia="Arial"/>
          <w:lang w:val="it-CH"/>
        </w:rPr>
        <w:t xml:space="preserve"> – è stato </w:t>
      </w:r>
      <w:r w:rsidR="00924045">
        <w:rPr>
          <w:rFonts w:eastAsia="Arial"/>
          <w:lang w:val="it-CH"/>
        </w:rPr>
        <w:t>essenzialmente</w:t>
      </w:r>
      <w:r w:rsidR="00924045" w:rsidRPr="00E51727">
        <w:rPr>
          <w:rFonts w:eastAsia="Arial"/>
          <w:lang w:val="it-CH"/>
        </w:rPr>
        <w:t xml:space="preserve"> </w:t>
      </w:r>
      <w:r w:rsidR="00B63BBE" w:rsidRPr="00E51727">
        <w:rPr>
          <w:rFonts w:eastAsia="Arial"/>
          <w:lang w:val="it-CH"/>
        </w:rPr>
        <w:t>trasformato in</w:t>
      </w:r>
      <w:r w:rsidR="0082258D" w:rsidRPr="00E51727">
        <w:rPr>
          <w:rFonts w:eastAsia="Arial"/>
          <w:lang w:val="it-CH"/>
        </w:rPr>
        <w:t xml:space="preserve"> </w:t>
      </w:r>
      <w:r w:rsidR="00A13AE8" w:rsidRPr="00E51727">
        <w:rPr>
          <w:rFonts w:eastAsia="Arial"/>
          <w:lang w:val="it-CH"/>
        </w:rPr>
        <w:t>macchia</w:t>
      </w:r>
      <w:r w:rsidR="0082258D" w:rsidRPr="00E51727">
        <w:rPr>
          <w:rFonts w:eastAsia="Arial"/>
          <w:lang w:val="it-CH"/>
        </w:rPr>
        <w:t>,</w:t>
      </w:r>
      <w:r w:rsidR="00B63BBE" w:rsidRPr="00E51727">
        <w:rPr>
          <w:rFonts w:eastAsia="Arial"/>
          <w:lang w:val="it-CH"/>
        </w:rPr>
        <w:t xml:space="preserve"> </w:t>
      </w:r>
      <w:r w:rsidR="00401F0F" w:rsidRPr="00E51727">
        <w:rPr>
          <w:rFonts w:eastAsia="Arial"/>
          <w:lang w:val="it-CH"/>
        </w:rPr>
        <w:t>bosco, e</w:t>
      </w:r>
      <w:r w:rsidR="00B63BBE" w:rsidRPr="00E51727">
        <w:rPr>
          <w:rFonts w:eastAsia="Arial"/>
          <w:lang w:val="it-CH"/>
        </w:rPr>
        <w:t xml:space="preserve"> </w:t>
      </w:r>
      <w:r w:rsidR="00401F0F" w:rsidRPr="00E51727">
        <w:rPr>
          <w:rFonts w:eastAsia="Arial"/>
          <w:lang w:val="it-CH"/>
        </w:rPr>
        <w:t xml:space="preserve">altri </w:t>
      </w:r>
      <w:r w:rsidRPr="00E51727">
        <w:rPr>
          <w:lang w:val="it-CH"/>
        </w:rPr>
        <w:t>spazi natural</w:t>
      </w:r>
      <w:r w:rsidR="00B63BBE" w:rsidRPr="00E51727">
        <w:rPr>
          <w:lang w:val="it-CH"/>
        </w:rPr>
        <w:t>i</w:t>
      </w:r>
      <w:r w:rsidR="003435FE" w:rsidRPr="00E51727">
        <w:rPr>
          <w:rStyle w:val="Funotenzeichen"/>
          <w:rFonts w:eastAsia="Arial"/>
          <w:lang w:val="it-CH"/>
        </w:rPr>
        <w:footnoteReference w:id="6"/>
      </w:r>
      <w:r w:rsidRPr="00E51727">
        <w:rPr>
          <w:rFonts w:eastAsia="Arial"/>
          <w:lang w:val="it-CH"/>
        </w:rPr>
        <w:t xml:space="preserve">. </w:t>
      </w:r>
      <w:r w:rsidR="00727EB3">
        <w:rPr>
          <w:rFonts w:eastAsia="Arial"/>
          <w:lang w:val="it-CH"/>
        </w:rPr>
        <w:t>Si può pertanto ritenere</w:t>
      </w:r>
      <w:r w:rsidR="00727EB3" w:rsidRPr="00727EB3">
        <w:rPr>
          <w:rFonts w:eastAsia="Arial"/>
          <w:lang w:val="it-IT"/>
        </w:rPr>
        <w:t xml:space="preserve"> </w:t>
      </w:r>
      <w:r w:rsidR="00727EB3" w:rsidRPr="00801897">
        <w:rPr>
          <w:rFonts w:eastAsia="Arial"/>
          <w:lang w:val="it-IT"/>
        </w:rPr>
        <w:t xml:space="preserve">che il consumo di SAC </w:t>
      </w:r>
      <w:r w:rsidR="00727EB3">
        <w:rPr>
          <w:rFonts w:eastAsia="Arial"/>
          <w:lang w:val="it-IT"/>
        </w:rPr>
        <w:t>sia</w:t>
      </w:r>
      <w:r w:rsidR="00727EB3" w:rsidRPr="00801897">
        <w:rPr>
          <w:rFonts w:eastAsia="Arial"/>
          <w:lang w:val="it-IT"/>
        </w:rPr>
        <w:t xml:space="preserve"> da ricondurre </w:t>
      </w:r>
      <w:r w:rsidR="00727EB3">
        <w:rPr>
          <w:rFonts w:eastAsia="Arial"/>
          <w:lang w:val="it-IT"/>
        </w:rPr>
        <w:t xml:space="preserve">innanzitutto </w:t>
      </w:r>
      <w:r w:rsidR="00727EB3" w:rsidRPr="00801897">
        <w:rPr>
          <w:rFonts w:eastAsia="Arial"/>
          <w:lang w:val="it-IT"/>
        </w:rPr>
        <w:t>all’aumento delle superfici insediative</w:t>
      </w:r>
      <w:r w:rsidR="00727EB3">
        <w:rPr>
          <w:rFonts w:eastAsia="Arial"/>
          <w:lang w:val="it-IT"/>
        </w:rPr>
        <w:t>.</w:t>
      </w:r>
    </w:p>
    <w:p w14:paraId="4C1F5821" w14:textId="091A7B38" w:rsidR="003A38A5" w:rsidRPr="00E51727" w:rsidRDefault="003A38A5" w:rsidP="003A38A5">
      <w:pPr>
        <w:rPr>
          <w:sz w:val="22"/>
          <w:szCs w:val="22"/>
          <w:lang w:val="it-CH"/>
        </w:rPr>
      </w:pPr>
      <w:r w:rsidRPr="00E51727">
        <w:rPr>
          <w:rFonts w:eastAsia="Arial"/>
          <w:lang w:val="it-CH"/>
        </w:rPr>
        <w:lastRenderedPageBreak/>
        <w:t xml:space="preserve">L’obiettivo principale della prima </w:t>
      </w:r>
      <w:r w:rsidR="00401F0F" w:rsidRPr="00E51727">
        <w:rPr>
          <w:rFonts w:eastAsia="Arial"/>
          <w:lang w:val="it-CH"/>
        </w:rPr>
        <w:t>fase</w:t>
      </w:r>
      <w:r w:rsidRPr="00E51727">
        <w:rPr>
          <w:rFonts w:eastAsia="Arial"/>
          <w:lang w:val="it-CH"/>
        </w:rPr>
        <w:t xml:space="preserve"> della revisione della legge sulla pianificazione del territorio </w:t>
      </w:r>
      <w:r w:rsidR="00727EB3" w:rsidRPr="00E51727">
        <w:rPr>
          <w:rFonts w:eastAsia="Arial"/>
          <w:lang w:val="it-CH"/>
        </w:rPr>
        <w:t>(LPT 1)</w:t>
      </w:r>
      <w:r w:rsidR="005572F8">
        <w:rPr>
          <w:rFonts w:eastAsia="Arial"/>
          <w:lang w:val="it-CH"/>
        </w:rPr>
        <w:t>,</w:t>
      </w:r>
      <w:r w:rsidR="00727EB3">
        <w:rPr>
          <w:rFonts w:eastAsia="Arial"/>
          <w:lang w:val="it-CH"/>
        </w:rPr>
        <w:t xml:space="preserve"> </w:t>
      </w:r>
      <w:r w:rsidRPr="00E51727">
        <w:rPr>
          <w:rFonts w:eastAsia="Arial"/>
          <w:lang w:val="it-CH"/>
        </w:rPr>
        <w:t>entrata in vigore il 1°</w:t>
      </w:r>
      <w:r w:rsidR="00401F0F" w:rsidRPr="00E51727">
        <w:rPr>
          <w:rFonts w:eastAsia="Arial"/>
          <w:lang w:val="it-CH"/>
        </w:rPr>
        <w:t xml:space="preserve"> </w:t>
      </w:r>
      <w:r w:rsidRPr="00E51727">
        <w:rPr>
          <w:rFonts w:eastAsia="Arial"/>
          <w:lang w:val="it-CH"/>
        </w:rPr>
        <w:t>maggio 2014</w:t>
      </w:r>
      <w:r w:rsidR="005572F8">
        <w:rPr>
          <w:rFonts w:eastAsia="Arial"/>
          <w:lang w:val="it-CH"/>
        </w:rPr>
        <w:t>,</w:t>
      </w:r>
      <w:r w:rsidRPr="00E51727">
        <w:rPr>
          <w:rFonts w:eastAsia="Arial"/>
          <w:lang w:val="it-CH"/>
        </w:rPr>
        <w:t xml:space="preserve"> è </w:t>
      </w:r>
      <w:r w:rsidR="00401F0F" w:rsidRPr="00E51727">
        <w:rPr>
          <w:rFonts w:eastAsia="Arial"/>
          <w:lang w:val="it-CH"/>
        </w:rPr>
        <w:t xml:space="preserve">quello di </w:t>
      </w:r>
      <w:r w:rsidR="00C02660" w:rsidRPr="00E51727">
        <w:rPr>
          <w:rFonts w:eastAsia="Arial"/>
          <w:lang w:val="it-CH"/>
        </w:rPr>
        <w:t>favorire uno</w:t>
      </w:r>
      <w:r w:rsidRPr="00E51727">
        <w:rPr>
          <w:rFonts w:eastAsia="Arial"/>
          <w:lang w:val="it-CH"/>
        </w:rPr>
        <w:t xml:space="preserve"> sviluppo</w:t>
      </w:r>
      <w:r w:rsidR="00401F0F" w:rsidRPr="00E51727">
        <w:rPr>
          <w:rFonts w:eastAsia="Arial"/>
          <w:lang w:val="it-CH"/>
        </w:rPr>
        <w:t xml:space="preserve"> centripeto</w:t>
      </w:r>
      <w:r w:rsidRPr="00E51727">
        <w:rPr>
          <w:rFonts w:eastAsia="Arial"/>
          <w:lang w:val="it-CH"/>
        </w:rPr>
        <w:t xml:space="preserve"> degli insediamenti e </w:t>
      </w:r>
      <w:r w:rsidR="00C02660" w:rsidRPr="00E51727">
        <w:rPr>
          <w:rFonts w:eastAsia="Arial"/>
          <w:lang w:val="it-CH"/>
        </w:rPr>
        <w:t>di impedire un</w:t>
      </w:r>
      <w:r w:rsidR="008A6D1C">
        <w:rPr>
          <w:rFonts w:eastAsia="Arial"/>
          <w:lang w:val="it-CH"/>
        </w:rPr>
        <w:t>’</w:t>
      </w:r>
      <w:r w:rsidR="00C02660" w:rsidRPr="00E51727">
        <w:rPr>
          <w:rFonts w:eastAsia="Arial"/>
          <w:lang w:val="it-CH"/>
        </w:rPr>
        <w:t xml:space="preserve">ulteriore </w:t>
      </w:r>
      <w:r w:rsidRPr="00E51727">
        <w:rPr>
          <w:rFonts w:eastAsia="Arial"/>
          <w:lang w:val="it-CH"/>
        </w:rPr>
        <w:t xml:space="preserve">perdita di </w:t>
      </w:r>
      <w:r w:rsidR="004F2021">
        <w:rPr>
          <w:rFonts w:eastAsia="Arial"/>
          <w:lang w:val="it-CH"/>
        </w:rPr>
        <w:t>superfici coltive</w:t>
      </w:r>
      <w:r w:rsidRPr="00E51727">
        <w:rPr>
          <w:rFonts w:eastAsia="Arial"/>
          <w:lang w:val="it-CH"/>
        </w:rPr>
        <w:t xml:space="preserve">. </w:t>
      </w:r>
      <w:r w:rsidRPr="00E51727">
        <w:rPr>
          <w:lang w:val="it-CH"/>
        </w:rPr>
        <w:t xml:space="preserve">Dall’entrata in vigore della LPT 1, inoltre, </w:t>
      </w:r>
      <w:r w:rsidR="00747536" w:rsidRPr="00E51727">
        <w:rPr>
          <w:lang w:val="it-CH"/>
        </w:rPr>
        <w:t xml:space="preserve">valgono </w:t>
      </w:r>
      <w:r w:rsidRPr="00E51727">
        <w:rPr>
          <w:lang w:val="it-CH"/>
        </w:rPr>
        <w:t xml:space="preserve">nuove </w:t>
      </w:r>
      <w:r w:rsidR="00747536" w:rsidRPr="00E51727">
        <w:rPr>
          <w:lang w:val="it-CH"/>
        </w:rPr>
        <w:t>disposizioni</w:t>
      </w:r>
      <w:r w:rsidRPr="00E51727">
        <w:rPr>
          <w:lang w:val="it-CH"/>
        </w:rPr>
        <w:t xml:space="preserve"> che </w:t>
      </w:r>
      <w:r w:rsidR="00747536" w:rsidRPr="00E51727">
        <w:rPr>
          <w:lang w:val="it-CH"/>
        </w:rPr>
        <w:t xml:space="preserve">attribuiscono </w:t>
      </w:r>
      <w:r w:rsidRPr="00E51727">
        <w:rPr>
          <w:lang w:val="it-CH"/>
        </w:rPr>
        <w:t>alla protezione delle SAC un</w:t>
      </w:r>
      <w:r w:rsidR="00747536" w:rsidRPr="00E51727">
        <w:rPr>
          <w:lang w:val="it-CH"/>
        </w:rPr>
        <w:t xml:space="preserve">a maggiore importanza </w:t>
      </w:r>
      <w:r w:rsidRPr="00E51727">
        <w:rPr>
          <w:lang w:val="it-CH"/>
        </w:rPr>
        <w:t>rispetto al passato.</w:t>
      </w:r>
      <w:r w:rsidR="00747536" w:rsidRPr="00E51727">
        <w:rPr>
          <w:lang w:val="it-CH"/>
        </w:rPr>
        <w:t xml:space="preserve"> </w:t>
      </w:r>
      <w:r w:rsidRPr="00E51727">
        <w:rPr>
          <w:lang w:val="it-CH"/>
        </w:rPr>
        <w:t xml:space="preserve">Con la seconda </w:t>
      </w:r>
      <w:r w:rsidR="00747536" w:rsidRPr="00E51727">
        <w:rPr>
          <w:lang w:val="it-CH"/>
        </w:rPr>
        <w:t>fase</w:t>
      </w:r>
      <w:r w:rsidRPr="00E51727">
        <w:rPr>
          <w:lang w:val="it-CH"/>
        </w:rPr>
        <w:t xml:space="preserve"> della revisione della legge sulla pianificazione del territorio (LPT 2)</w:t>
      </w:r>
      <w:r w:rsidR="00747536" w:rsidRPr="00E51727">
        <w:rPr>
          <w:lang w:val="it-CH"/>
        </w:rPr>
        <w:t>,</w:t>
      </w:r>
      <w:r w:rsidRPr="00E51727">
        <w:rPr>
          <w:lang w:val="it-CH"/>
        </w:rPr>
        <w:t xml:space="preserve"> </w:t>
      </w:r>
      <w:r w:rsidR="00727EB3">
        <w:rPr>
          <w:lang w:val="it-CH"/>
        </w:rPr>
        <w:t>si intende</w:t>
      </w:r>
      <w:r w:rsidR="007A7B3A">
        <w:rPr>
          <w:lang w:val="it-CH"/>
        </w:rPr>
        <w:t>,</w:t>
      </w:r>
      <w:r w:rsidR="00727EB3">
        <w:rPr>
          <w:lang w:val="it-CH"/>
        </w:rPr>
        <w:t xml:space="preserve"> </w:t>
      </w:r>
      <w:r w:rsidR="007A7B3A">
        <w:rPr>
          <w:lang w:val="it-CH"/>
        </w:rPr>
        <w:t xml:space="preserve">in particolare, </w:t>
      </w:r>
      <w:r w:rsidR="00727EB3">
        <w:rPr>
          <w:lang w:val="it-CH"/>
        </w:rPr>
        <w:t xml:space="preserve">rafforzare </w:t>
      </w:r>
      <w:r w:rsidR="007A7B3A">
        <w:rPr>
          <w:lang w:val="it-CH"/>
        </w:rPr>
        <w:t>la protezione de</w:t>
      </w:r>
      <w:r w:rsidR="004F2021">
        <w:rPr>
          <w:lang w:val="it-CH"/>
        </w:rPr>
        <w:t>lle superfici coltive</w:t>
      </w:r>
      <w:r w:rsidRPr="00E51727">
        <w:rPr>
          <w:lang w:val="it-CH"/>
        </w:rPr>
        <w:t>.</w:t>
      </w:r>
    </w:p>
    <w:p w14:paraId="48AAFEA5" w14:textId="7F6E5013" w:rsidR="00221729" w:rsidRPr="00E51727" w:rsidRDefault="00380169" w:rsidP="003A38A5">
      <w:pPr>
        <w:rPr>
          <w:rFonts w:eastAsia="Arial" w:cs="Arial"/>
          <w:lang w:val="it-CH"/>
        </w:rPr>
      </w:pPr>
      <w:r w:rsidRPr="00E51727">
        <w:rPr>
          <w:rFonts w:eastAsia="Arial" w:cs="Arial"/>
          <w:lang w:val="it-CH"/>
        </w:rPr>
        <w:t>Tra la</w:t>
      </w:r>
      <w:r w:rsidR="003A38A5" w:rsidRPr="00E51727">
        <w:rPr>
          <w:rFonts w:eastAsia="Arial" w:cs="Arial"/>
          <w:lang w:val="it-CH"/>
        </w:rPr>
        <w:t xml:space="preserve"> popolazione e</w:t>
      </w:r>
      <w:r w:rsidRPr="00E51727">
        <w:rPr>
          <w:rFonts w:eastAsia="Arial" w:cs="Arial"/>
          <w:lang w:val="it-CH"/>
        </w:rPr>
        <w:t xml:space="preserve"> nel mondo politico</w:t>
      </w:r>
      <w:r w:rsidR="003A38A5" w:rsidRPr="00E51727">
        <w:rPr>
          <w:rFonts w:eastAsia="Arial" w:cs="Arial"/>
          <w:lang w:val="it-CH"/>
        </w:rPr>
        <w:t xml:space="preserve"> </w:t>
      </w:r>
      <w:r w:rsidR="00353F65" w:rsidRPr="00E51727">
        <w:rPr>
          <w:rFonts w:eastAsia="Arial" w:cs="Arial"/>
          <w:lang w:val="it-CH"/>
        </w:rPr>
        <w:t xml:space="preserve">si è </w:t>
      </w:r>
      <w:r w:rsidR="0033349D" w:rsidRPr="00E51727">
        <w:rPr>
          <w:rFonts w:eastAsia="Arial" w:cs="Arial"/>
          <w:lang w:val="it-CH"/>
        </w:rPr>
        <w:t xml:space="preserve">ormai </w:t>
      </w:r>
      <w:r w:rsidR="008A71F8">
        <w:rPr>
          <w:rFonts w:eastAsia="Arial" w:cs="Arial"/>
          <w:lang w:val="it-CH"/>
        </w:rPr>
        <w:t xml:space="preserve">consapevoli del </w:t>
      </w:r>
      <w:r w:rsidRPr="00E51727">
        <w:rPr>
          <w:rFonts w:eastAsia="Arial" w:cs="Arial"/>
          <w:lang w:val="it-CH"/>
        </w:rPr>
        <w:t>fatto che</w:t>
      </w:r>
      <w:r w:rsidR="003A38A5" w:rsidRPr="00E51727">
        <w:rPr>
          <w:rFonts w:eastAsia="Arial" w:cs="Arial"/>
          <w:lang w:val="it-CH"/>
        </w:rPr>
        <w:t xml:space="preserve"> </w:t>
      </w:r>
      <w:r w:rsidR="008A71F8">
        <w:rPr>
          <w:rFonts w:eastAsia="Arial" w:cs="Arial"/>
          <w:lang w:val="it-CH"/>
        </w:rPr>
        <w:t>occorre prestare maggiore attenzione alle superfici coltive</w:t>
      </w:r>
      <w:r w:rsidR="003F3AE4" w:rsidRPr="00E51727">
        <w:rPr>
          <w:rFonts w:eastAsia="Arial" w:cs="Arial"/>
          <w:lang w:val="it-CH"/>
        </w:rPr>
        <w:t>. Lo dimostrano bene</w:t>
      </w:r>
      <w:r w:rsidR="003A38A5" w:rsidRPr="00E51727">
        <w:rPr>
          <w:rFonts w:eastAsia="Arial" w:cs="Arial"/>
          <w:lang w:val="it-CH"/>
        </w:rPr>
        <w:t>,</w:t>
      </w:r>
      <w:r w:rsidR="00353F65" w:rsidRPr="00E51727">
        <w:rPr>
          <w:rFonts w:eastAsia="Arial" w:cs="Arial"/>
          <w:lang w:val="it-CH"/>
        </w:rPr>
        <w:t xml:space="preserve"> </w:t>
      </w:r>
      <w:r w:rsidR="003A38A5" w:rsidRPr="00E51727">
        <w:rPr>
          <w:rFonts w:eastAsia="Arial" w:cs="Arial"/>
          <w:lang w:val="it-CH"/>
        </w:rPr>
        <w:t>ad esempio</w:t>
      </w:r>
      <w:r w:rsidR="003F3AE4" w:rsidRPr="00E51727">
        <w:rPr>
          <w:rFonts w:eastAsia="Arial" w:cs="Arial"/>
          <w:lang w:val="it-CH"/>
        </w:rPr>
        <w:t>,</w:t>
      </w:r>
      <w:r w:rsidR="003A38A5" w:rsidRPr="00E51727">
        <w:rPr>
          <w:rFonts w:eastAsia="Arial" w:cs="Arial"/>
          <w:lang w:val="it-CH"/>
        </w:rPr>
        <w:t xml:space="preserve"> le iniziative su</w:t>
      </w:r>
      <w:r w:rsidR="00353F65" w:rsidRPr="00E51727">
        <w:rPr>
          <w:rFonts w:eastAsia="Arial" w:cs="Arial"/>
          <w:lang w:val="it-CH"/>
        </w:rPr>
        <w:t>i terreni coltivi</w:t>
      </w:r>
      <w:r w:rsidR="003A38A5" w:rsidRPr="00E51727">
        <w:rPr>
          <w:rFonts w:eastAsia="Arial" w:cs="Arial"/>
          <w:lang w:val="it-CH"/>
        </w:rPr>
        <w:t xml:space="preserve"> nei Cantoni di Zurigo, Berna, </w:t>
      </w:r>
      <w:proofErr w:type="spellStart"/>
      <w:r w:rsidR="003A38A5" w:rsidRPr="00E51727">
        <w:rPr>
          <w:rFonts w:eastAsia="Arial" w:cs="Arial"/>
          <w:lang w:val="it-CH"/>
        </w:rPr>
        <w:t>Turgovia</w:t>
      </w:r>
      <w:proofErr w:type="spellEnd"/>
      <w:r w:rsidR="003A38A5" w:rsidRPr="00E51727">
        <w:rPr>
          <w:rFonts w:eastAsia="Arial" w:cs="Arial"/>
          <w:lang w:val="it-CH"/>
        </w:rPr>
        <w:t xml:space="preserve"> e Lucerna nonché </w:t>
      </w:r>
      <w:r w:rsidR="00353F65" w:rsidRPr="00E51727">
        <w:rPr>
          <w:rFonts w:eastAsia="Arial" w:cs="Arial"/>
          <w:lang w:val="it-CH"/>
        </w:rPr>
        <w:t>l’</w:t>
      </w:r>
      <w:r w:rsidR="008A71F8">
        <w:rPr>
          <w:rFonts w:eastAsia="Arial" w:cs="Arial"/>
          <w:lang w:val="it-CH"/>
        </w:rPr>
        <w:t xml:space="preserve">accettazione da parte di popolo e Cantoni </w:t>
      </w:r>
      <w:r w:rsidR="003A38A5" w:rsidRPr="00E51727">
        <w:rPr>
          <w:rFonts w:eastAsia="Arial" w:cs="Arial"/>
          <w:lang w:val="it-CH"/>
        </w:rPr>
        <w:t>dell’</w:t>
      </w:r>
      <w:r w:rsidR="003A36B7">
        <w:rPr>
          <w:rFonts w:eastAsia="Arial" w:cs="Arial"/>
          <w:lang w:val="it-CH"/>
        </w:rPr>
        <w:t>I</w:t>
      </w:r>
      <w:r w:rsidR="003A38A5" w:rsidRPr="00E51727">
        <w:rPr>
          <w:rFonts w:eastAsia="Arial" w:cs="Arial"/>
          <w:lang w:val="it-CH"/>
        </w:rPr>
        <w:t>niziativa sull</w:t>
      </w:r>
      <w:r w:rsidR="008A71F8">
        <w:rPr>
          <w:rFonts w:eastAsia="Arial" w:cs="Arial"/>
          <w:lang w:val="it-CH"/>
        </w:rPr>
        <w:t>e abitazioni secondarie</w:t>
      </w:r>
      <w:r w:rsidR="003A38A5" w:rsidRPr="00E51727">
        <w:rPr>
          <w:rFonts w:eastAsia="Arial" w:cs="Arial"/>
          <w:lang w:val="it-CH"/>
        </w:rPr>
        <w:t xml:space="preserve"> e </w:t>
      </w:r>
      <w:r w:rsidR="003A36B7">
        <w:rPr>
          <w:rFonts w:eastAsia="Arial" w:cs="Arial"/>
          <w:lang w:val="it-CH"/>
        </w:rPr>
        <w:t xml:space="preserve">il deposito </w:t>
      </w:r>
      <w:r w:rsidR="003A38A5" w:rsidRPr="00E51727">
        <w:rPr>
          <w:rFonts w:eastAsia="Arial" w:cs="Arial"/>
          <w:lang w:val="it-CH"/>
        </w:rPr>
        <w:t xml:space="preserve">dell’Iniziativa contro la dispersione degli insediamenti. Il 24 settembre 2017, inoltre, popolo e Cantoni hanno </w:t>
      </w:r>
      <w:r w:rsidR="00551D78" w:rsidRPr="00E51727">
        <w:rPr>
          <w:rFonts w:eastAsia="Arial" w:cs="Arial"/>
          <w:lang w:val="it-CH"/>
        </w:rPr>
        <w:t>accettato</w:t>
      </w:r>
      <w:r w:rsidR="003A38A5" w:rsidRPr="00E51727">
        <w:rPr>
          <w:rFonts w:eastAsia="Arial" w:cs="Arial"/>
          <w:lang w:val="it-CH"/>
        </w:rPr>
        <w:t xml:space="preserve"> il nuovo articolo 104a della Costituzione </w:t>
      </w:r>
      <w:r w:rsidR="00551D78" w:rsidRPr="00E51727">
        <w:rPr>
          <w:rFonts w:eastAsia="Arial" w:cs="Arial"/>
          <w:lang w:val="it-CH"/>
        </w:rPr>
        <w:t xml:space="preserve">federale </w:t>
      </w:r>
      <w:r w:rsidR="003A38A5" w:rsidRPr="00E51727">
        <w:rPr>
          <w:rFonts w:eastAsia="Arial" w:cs="Arial"/>
          <w:lang w:val="it-CH"/>
        </w:rPr>
        <w:t xml:space="preserve">sulla </w:t>
      </w:r>
      <w:r w:rsidR="00551D78" w:rsidRPr="00E51727">
        <w:rPr>
          <w:rFonts w:eastAsia="Arial" w:cs="Arial"/>
          <w:lang w:val="it-CH"/>
        </w:rPr>
        <w:t>sicurezza alimentare</w:t>
      </w:r>
      <w:r w:rsidR="003A38A5" w:rsidRPr="00E51727">
        <w:rPr>
          <w:rFonts w:eastAsia="Arial" w:cs="Arial"/>
          <w:lang w:val="it-CH"/>
        </w:rPr>
        <w:t>. Quest</w:t>
      </w:r>
      <w:r w:rsidR="004648E3" w:rsidRPr="00E51727">
        <w:rPr>
          <w:rFonts w:eastAsia="Arial" w:cs="Arial"/>
          <w:lang w:val="it-CH"/>
        </w:rPr>
        <w:t>’</w:t>
      </w:r>
      <w:r w:rsidR="003A38A5" w:rsidRPr="00E51727">
        <w:rPr>
          <w:rFonts w:eastAsia="Arial" w:cs="Arial"/>
          <w:lang w:val="it-CH"/>
        </w:rPr>
        <w:t xml:space="preserve">ultimo ha come obiettivo la protezione </w:t>
      </w:r>
      <w:r w:rsidR="00551D78" w:rsidRPr="00E51727">
        <w:rPr>
          <w:rFonts w:eastAsia="Arial" w:cs="Arial"/>
          <w:lang w:val="it-CH"/>
        </w:rPr>
        <w:t>de</w:t>
      </w:r>
      <w:r w:rsidR="006E2C76">
        <w:rPr>
          <w:rFonts w:eastAsia="Arial" w:cs="Arial"/>
          <w:lang w:val="it-CH"/>
        </w:rPr>
        <w:t>lle terre coltive</w:t>
      </w:r>
      <w:r w:rsidR="003A38A5" w:rsidRPr="00E51727">
        <w:rPr>
          <w:rFonts w:eastAsia="Arial" w:cs="Arial"/>
          <w:lang w:val="it-CH"/>
        </w:rPr>
        <w:t xml:space="preserve">, </w:t>
      </w:r>
      <w:r w:rsidR="004648E3" w:rsidRPr="00E51727">
        <w:rPr>
          <w:rFonts w:eastAsia="Arial" w:cs="Arial"/>
          <w:lang w:val="it-CH"/>
        </w:rPr>
        <w:t xml:space="preserve">una produzione di derrate alimentari adeguata alle condizioni locali e che utilizzi le risorse in maniera efficiente nonché una filiera agroalimentare orientata verso il mercato, </w:t>
      </w:r>
      <w:r w:rsidR="003A38A5" w:rsidRPr="00E51727">
        <w:rPr>
          <w:rFonts w:eastAsia="Arial" w:cs="Arial"/>
          <w:lang w:val="it-CH"/>
        </w:rPr>
        <w:t xml:space="preserve">per </w:t>
      </w:r>
      <w:r w:rsidR="004648E3" w:rsidRPr="00E51727">
        <w:rPr>
          <w:rFonts w:cs="Arial"/>
          <w:color w:val="000000"/>
          <w:shd w:val="clear" w:color="auto" w:fill="FFFFFF"/>
          <w:lang w:val="it-CH"/>
        </w:rPr>
        <w:t xml:space="preserve">assicurare l’approvvigionamento della popolazione </w:t>
      </w:r>
      <w:r w:rsidR="007A2992" w:rsidRPr="00E51727">
        <w:rPr>
          <w:rFonts w:cs="Arial"/>
          <w:color w:val="000000"/>
          <w:shd w:val="clear" w:color="auto" w:fill="FFFFFF"/>
          <w:lang w:val="it-CH"/>
        </w:rPr>
        <w:t>con</w:t>
      </w:r>
      <w:r w:rsidR="004648E3" w:rsidRPr="00E51727">
        <w:rPr>
          <w:rFonts w:cs="Arial"/>
          <w:color w:val="000000"/>
          <w:shd w:val="clear" w:color="auto" w:fill="FFFFFF"/>
          <w:lang w:val="it-CH"/>
        </w:rPr>
        <w:t xml:space="preserve"> derrate alimentari</w:t>
      </w:r>
      <w:r w:rsidR="00D85DCE" w:rsidRPr="00E51727">
        <w:rPr>
          <w:rFonts w:eastAsia="Arial" w:cs="Arial"/>
          <w:lang w:val="it-CH"/>
        </w:rPr>
        <w:t xml:space="preserve">. </w:t>
      </w:r>
    </w:p>
    <w:p w14:paraId="754595B5" w14:textId="59276A5D" w:rsidR="00064E3E" w:rsidRPr="00E51727" w:rsidRDefault="00155F70" w:rsidP="3120AD34">
      <w:pPr>
        <w:pStyle w:val="berschrift2"/>
        <w:rPr>
          <w:rFonts w:eastAsia="Arial"/>
          <w:lang w:val="it-CH"/>
        </w:rPr>
      </w:pPr>
      <w:bookmarkStart w:id="7" w:name="_Toc526428718"/>
      <w:bookmarkStart w:id="8" w:name="_Toc533053009"/>
      <w:r>
        <w:rPr>
          <w:rFonts w:eastAsia="Arial"/>
          <w:lang w:val="it-CH"/>
        </w:rPr>
        <w:t>La pianificazione alimentare</w:t>
      </w:r>
      <w:r w:rsidR="009E59DD" w:rsidRPr="00E51727">
        <w:rPr>
          <w:rFonts w:eastAsia="Arial"/>
          <w:lang w:val="it-CH"/>
        </w:rPr>
        <w:t xml:space="preserve"> come </w:t>
      </w:r>
      <w:r w:rsidR="00D66ED5" w:rsidRPr="00E51727">
        <w:rPr>
          <w:rFonts w:eastAsia="Arial"/>
          <w:lang w:val="it-CH"/>
        </w:rPr>
        <w:t>base per il Piano settoriale SAC</w:t>
      </w:r>
      <w:bookmarkEnd w:id="7"/>
      <w:bookmarkEnd w:id="8"/>
    </w:p>
    <w:p w14:paraId="5394C87A" w14:textId="0F476D09" w:rsidR="00D66ED5" w:rsidRPr="00E51727" w:rsidRDefault="00D66ED5" w:rsidP="00D66ED5">
      <w:pPr>
        <w:rPr>
          <w:lang w:val="it-CH"/>
        </w:rPr>
      </w:pPr>
      <w:r w:rsidRPr="00E51727">
        <w:rPr>
          <w:lang w:val="it-CH"/>
        </w:rPr>
        <w:t xml:space="preserve">Ai sensi dell’articolo 102 </w:t>
      </w:r>
      <w:proofErr w:type="spellStart"/>
      <w:r w:rsidRPr="00E51727">
        <w:rPr>
          <w:lang w:val="it-CH"/>
        </w:rPr>
        <w:t>Cost</w:t>
      </w:r>
      <w:proofErr w:type="spellEnd"/>
      <w:r w:rsidRPr="00E51727">
        <w:rPr>
          <w:lang w:val="it-CH"/>
        </w:rPr>
        <w:t xml:space="preserve">., la Confederazione </w:t>
      </w:r>
      <w:r w:rsidR="009E59DD" w:rsidRPr="00E51727">
        <w:rPr>
          <w:lang w:val="it-CH"/>
        </w:rPr>
        <w:t>assicura</w:t>
      </w:r>
      <w:r w:rsidRPr="00E51727">
        <w:rPr>
          <w:lang w:val="it-CH"/>
        </w:rPr>
        <w:t xml:space="preserve"> l’approvvigionamento del Paese </w:t>
      </w:r>
      <w:r w:rsidR="009E59DD" w:rsidRPr="00E51727">
        <w:rPr>
          <w:lang w:val="it-CH"/>
        </w:rPr>
        <w:t>in</w:t>
      </w:r>
      <w:r w:rsidRPr="00E51727">
        <w:rPr>
          <w:lang w:val="it-CH"/>
        </w:rPr>
        <w:t xml:space="preserve"> beni e servizi vital</w:t>
      </w:r>
      <w:r w:rsidR="009E59DD" w:rsidRPr="00E51727">
        <w:rPr>
          <w:lang w:val="it-CH"/>
        </w:rPr>
        <w:t>i</w:t>
      </w:r>
      <w:r w:rsidRPr="00E51727">
        <w:rPr>
          <w:lang w:val="it-CH"/>
        </w:rPr>
        <w:t xml:space="preserve"> in </w:t>
      </w:r>
      <w:r w:rsidR="009E59DD" w:rsidRPr="00E51727">
        <w:rPr>
          <w:lang w:val="it-CH"/>
        </w:rPr>
        <w:t>caso di</w:t>
      </w:r>
      <w:r w:rsidRPr="00E51727">
        <w:rPr>
          <w:lang w:val="it-CH"/>
        </w:rPr>
        <w:t xml:space="preserve"> crisi</w:t>
      </w:r>
      <w:r w:rsidR="009E59DD" w:rsidRPr="00E51727">
        <w:rPr>
          <w:lang w:val="it-CH"/>
        </w:rPr>
        <w:t xml:space="preserve">. A tal fine essa adotta misure preventive. Dal </w:t>
      </w:r>
      <w:r w:rsidRPr="00E51727">
        <w:rPr>
          <w:lang w:val="it-CH"/>
        </w:rPr>
        <w:t>giugno del 2017</w:t>
      </w:r>
      <w:r w:rsidR="009E59DD" w:rsidRPr="00E51727">
        <w:rPr>
          <w:lang w:val="it-CH"/>
        </w:rPr>
        <w:t>, inoltre,</w:t>
      </w:r>
      <w:r w:rsidR="007A2992" w:rsidRPr="00E51727">
        <w:rPr>
          <w:lang w:val="it-CH"/>
        </w:rPr>
        <w:t xml:space="preserve"> </w:t>
      </w:r>
      <w:r w:rsidRPr="00E51727">
        <w:rPr>
          <w:lang w:val="it-CH"/>
        </w:rPr>
        <w:t xml:space="preserve">l’articolo 30 della legge </w:t>
      </w:r>
      <w:r w:rsidR="006E2C76">
        <w:rPr>
          <w:lang w:val="it-CH"/>
        </w:rPr>
        <w:t xml:space="preserve">del 17 giugno 2016 </w:t>
      </w:r>
      <w:r w:rsidRPr="00E51727">
        <w:rPr>
          <w:lang w:val="it-CH"/>
        </w:rPr>
        <w:t>sull’approvvigionamento del Paese (LAP</w:t>
      </w:r>
      <w:r w:rsidR="007A7B3A">
        <w:rPr>
          <w:lang w:val="it-CH"/>
        </w:rPr>
        <w:t>; RS 531</w:t>
      </w:r>
      <w:r w:rsidRPr="00E51727">
        <w:rPr>
          <w:lang w:val="it-CH"/>
        </w:rPr>
        <w:t xml:space="preserve">) </w:t>
      </w:r>
      <w:r w:rsidR="007A2992" w:rsidRPr="00E51727">
        <w:rPr>
          <w:lang w:val="it-CH"/>
        </w:rPr>
        <w:t>prevede</w:t>
      </w:r>
      <w:r w:rsidR="003F3AE4" w:rsidRPr="00E51727">
        <w:rPr>
          <w:lang w:val="it-CH"/>
        </w:rPr>
        <w:t>,</w:t>
      </w:r>
      <w:r w:rsidRPr="00E51727">
        <w:rPr>
          <w:lang w:val="it-CH"/>
        </w:rPr>
        <w:t xml:space="preserve"> </w:t>
      </w:r>
      <w:r w:rsidR="003F3AE4" w:rsidRPr="00E51727">
        <w:rPr>
          <w:lang w:val="it-CH"/>
        </w:rPr>
        <w:t xml:space="preserve">in particolare, </w:t>
      </w:r>
      <w:r w:rsidRPr="00E51727">
        <w:rPr>
          <w:lang w:val="it-CH"/>
        </w:rPr>
        <w:t xml:space="preserve">che le SAC debbano essere </w:t>
      </w:r>
      <w:r w:rsidR="007A2992" w:rsidRPr="00E51727">
        <w:rPr>
          <w:lang w:val="it-CH"/>
        </w:rPr>
        <w:t>conservate</w:t>
      </w:r>
      <w:r w:rsidRPr="00E51727">
        <w:rPr>
          <w:lang w:val="it-CH"/>
        </w:rPr>
        <w:t xml:space="preserve"> </w:t>
      </w:r>
      <w:r w:rsidR="007A2992" w:rsidRPr="00E51727">
        <w:rPr>
          <w:lang w:val="it-CH"/>
        </w:rPr>
        <w:t>in modo da garantire una base sufficiente per l</w:t>
      </w:r>
      <w:r w:rsidR="0033349D" w:rsidRPr="00E51727">
        <w:rPr>
          <w:lang w:val="it-CH"/>
        </w:rPr>
        <w:t>’</w:t>
      </w:r>
      <w:r w:rsidR="007A2992" w:rsidRPr="00E51727">
        <w:rPr>
          <w:lang w:val="it-CH"/>
        </w:rPr>
        <w:t xml:space="preserve">approvvigionamento </w:t>
      </w:r>
      <w:r w:rsidR="00D516FE" w:rsidRPr="00E51727">
        <w:rPr>
          <w:lang w:val="it-CH"/>
        </w:rPr>
        <w:t>alimentare</w:t>
      </w:r>
      <w:r w:rsidR="007A2992" w:rsidRPr="00E51727">
        <w:rPr>
          <w:lang w:val="it-CH"/>
        </w:rPr>
        <w:t xml:space="preserve"> in </w:t>
      </w:r>
      <w:r w:rsidR="005E0045" w:rsidRPr="00E51727">
        <w:rPr>
          <w:lang w:val="it-CH"/>
        </w:rPr>
        <w:t>caso di</w:t>
      </w:r>
      <w:r w:rsidR="007A2992" w:rsidRPr="00E51727">
        <w:rPr>
          <w:lang w:val="it-CH"/>
        </w:rPr>
        <w:t xml:space="preserve"> grave penuria</w:t>
      </w:r>
      <w:r w:rsidRPr="00E51727">
        <w:rPr>
          <w:lang w:val="it-CH"/>
        </w:rPr>
        <w:t xml:space="preserve">. </w:t>
      </w:r>
      <w:r w:rsidR="0033349D" w:rsidRPr="00E51727">
        <w:rPr>
          <w:lang w:val="it-CH"/>
        </w:rPr>
        <w:t>Alla luce di quanto detto sinora, la</w:t>
      </w:r>
      <w:r w:rsidR="009C7DD2" w:rsidRPr="00E51727">
        <w:rPr>
          <w:lang w:val="it-CH"/>
        </w:rPr>
        <w:t xml:space="preserve"> garanzia </w:t>
      </w:r>
      <w:r w:rsidRPr="00E51727">
        <w:rPr>
          <w:lang w:val="it-CH"/>
        </w:rPr>
        <w:t xml:space="preserve">delle SAC </w:t>
      </w:r>
      <w:r w:rsidR="009C7DD2" w:rsidRPr="00E51727">
        <w:rPr>
          <w:lang w:val="it-CH"/>
        </w:rPr>
        <w:t>nell’</w:t>
      </w:r>
      <w:r w:rsidRPr="00E51727">
        <w:rPr>
          <w:lang w:val="it-CH"/>
        </w:rPr>
        <w:t xml:space="preserve">ottica di </w:t>
      </w:r>
      <w:r w:rsidR="009C7DD2" w:rsidRPr="00E51727">
        <w:rPr>
          <w:lang w:val="it-CH"/>
        </w:rPr>
        <w:t>situazioni di grave</w:t>
      </w:r>
      <w:r w:rsidRPr="00E51727">
        <w:rPr>
          <w:lang w:val="it-CH"/>
        </w:rPr>
        <w:t xml:space="preserve"> penuria</w:t>
      </w:r>
      <w:r w:rsidR="009C7DD2" w:rsidRPr="00E51727">
        <w:rPr>
          <w:lang w:val="it-CH"/>
        </w:rPr>
        <w:t xml:space="preserve"> </w:t>
      </w:r>
      <w:r w:rsidRPr="00E51727">
        <w:rPr>
          <w:lang w:val="it-CH"/>
        </w:rPr>
        <w:t xml:space="preserve">è </w:t>
      </w:r>
      <w:r w:rsidR="009C7DD2" w:rsidRPr="00E51727">
        <w:rPr>
          <w:lang w:val="it-CH"/>
        </w:rPr>
        <w:t xml:space="preserve">considerata </w:t>
      </w:r>
      <w:r w:rsidRPr="00E51727">
        <w:rPr>
          <w:lang w:val="it-CH"/>
        </w:rPr>
        <w:t xml:space="preserve">una misura </w:t>
      </w:r>
      <w:r w:rsidR="009C7DD2" w:rsidRPr="00E51727">
        <w:rPr>
          <w:lang w:val="it-CH"/>
        </w:rPr>
        <w:t>preventiva nell’ambito della</w:t>
      </w:r>
      <w:r w:rsidRPr="00E51727">
        <w:rPr>
          <w:lang w:val="it-CH"/>
        </w:rPr>
        <w:t xml:space="preserve"> strategia di approvvigionamento economico del Paese</w:t>
      </w:r>
      <w:r w:rsidR="003435FE" w:rsidRPr="00E51727">
        <w:rPr>
          <w:rStyle w:val="Funotenzeichen"/>
          <w:lang w:val="it-CH"/>
        </w:rPr>
        <w:footnoteReference w:id="7"/>
      </w:r>
      <w:r w:rsidRPr="00E51727">
        <w:rPr>
          <w:lang w:val="it-CH"/>
        </w:rPr>
        <w:t>.</w:t>
      </w:r>
    </w:p>
    <w:p w14:paraId="0DDBD63A" w14:textId="39FF2E6E" w:rsidR="00D66ED5" w:rsidRPr="00E51727" w:rsidRDefault="00D66ED5" w:rsidP="00D66ED5">
      <w:pPr>
        <w:rPr>
          <w:lang w:val="it-CH"/>
        </w:rPr>
      </w:pPr>
      <w:r w:rsidRPr="00E51727">
        <w:rPr>
          <w:lang w:val="it-CH"/>
        </w:rPr>
        <w:t xml:space="preserve">In </w:t>
      </w:r>
      <w:r w:rsidR="009C7DD2" w:rsidRPr="00E51727">
        <w:rPr>
          <w:lang w:val="it-CH"/>
        </w:rPr>
        <w:t>questo</w:t>
      </w:r>
      <w:r w:rsidRPr="00E51727">
        <w:rPr>
          <w:lang w:val="it-CH"/>
        </w:rPr>
        <w:t xml:space="preserve"> contesto</w:t>
      </w:r>
      <w:r w:rsidR="009C7DD2" w:rsidRPr="00E51727">
        <w:rPr>
          <w:lang w:val="it-CH"/>
        </w:rPr>
        <w:t>,</w:t>
      </w:r>
      <w:r w:rsidRPr="00E51727">
        <w:rPr>
          <w:lang w:val="it-CH"/>
        </w:rPr>
        <w:t xml:space="preserve"> l’Ufficio federale per l’approvvigionamento economico del Paese (UFAE)</w:t>
      </w:r>
      <w:r w:rsidR="00977D73" w:rsidRPr="00E51727">
        <w:rPr>
          <w:lang w:val="it-CH"/>
        </w:rPr>
        <w:t>,</w:t>
      </w:r>
      <w:r w:rsidRPr="00E51727">
        <w:rPr>
          <w:lang w:val="it-CH"/>
        </w:rPr>
        <w:t xml:space="preserve"> in collaborazione con Agroscope </w:t>
      </w:r>
      <w:r w:rsidR="00411B3C" w:rsidRPr="00E51727">
        <w:rPr>
          <w:lang w:val="it-CH"/>
        </w:rPr>
        <w:t xml:space="preserve">e con </w:t>
      </w:r>
      <w:r w:rsidR="007A7B3A">
        <w:rPr>
          <w:lang w:val="it-CH"/>
        </w:rPr>
        <w:t>un’ampia partecipazione</w:t>
      </w:r>
      <w:r w:rsidR="00411B3C" w:rsidRPr="00E51727">
        <w:rPr>
          <w:lang w:val="it-CH"/>
        </w:rPr>
        <w:t xml:space="preserve"> di </w:t>
      </w:r>
      <w:r w:rsidRPr="00E51727">
        <w:rPr>
          <w:lang w:val="it-CH"/>
        </w:rPr>
        <w:t>esperti</w:t>
      </w:r>
      <w:r w:rsidR="00411B3C" w:rsidRPr="00E51727">
        <w:rPr>
          <w:lang w:val="it-CH"/>
        </w:rPr>
        <w:t>,</w:t>
      </w:r>
      <w:r w:rsidRPr="00E51727">
        <w:rPr>
          <w:lang w:val="it-CH"/>
        </w:rPr>
        <w:t xml:space="preserve"> ha svolto un’analisi </w:t>
      </w:r>
      <w:r w:rsidR="00411B3C" w:rsidRPr="00E51727">
        <w:rPr>
          <w:lang w:val="it-CH"/>
        </w:rPr>
        <w:t xml:space="preserve">sull’attuale </w:t>
      </w:r>
      <w:r w:rsidRPr="00E51727">
        <w:rPr>
          <w:lang w:val="it-CH"/>
        </w:rPr>
        <w:t xml:space="preserve">potenziale </w:t>
      </w:r>
      <w:r w:rsidR="00411B3C" w:rsidRPr="00E51727">
        <w:rPr>
          <w:lang w:val="it-CH"/>
        </w:rPr>
        <w:t>alimentare</w:t>
      </w:r>
      <w:r w:rsidRPr="00E51727">
        <w:rPr>
          <w:lang w:val="it-CH"/>
        </w:rPr>
        <w:t xml:space="preserve"> </w:t>
      </w:r>
      <w:r w:rsidRPr="005572F8">
        <w:rPr>
          <w:lang w:val="it-CH"/>
        </w:rPr>
        <w:t>delle</w:t>
      </w:r>
      <w:r w:rsidR="00411B3C" w:rsidRPr="005572F8">
        <w:rPr>
          <w:lang w:val="it-CH"/>
        </w:rPr>
        <w:t xml:space="preserve"> </w:t>
      </w:r>
      <w:r w:rsidRPr="005572F8">
        <w:rPr>
          <w:lang w:val="it-CH"/>
        </w:rPr>
        <w:t xml:space="preserve">superfici </w:t>
      </w:r>
      <w:r w:rsidR="008C5604">
        <w:rPr>
          <w:lang w:val="it-CH"/>
        </w:rPr>
        <w:t>agricole coltivate</w:t>
      </w:r>
      <w:r w:rsidR="00F25856" w:rsidRPr="005572F8">
        <w:rPr>
          <w:lang w:val="it-CH"/>
        </w:rPr>
        <w:t xml:space="preserve"> </w:t>
      </w:r>
      <w:r w:rsidRPr="005572F8">
        <w:rPr>
          <w:lang w:val="it-CH"/>
        </w:rPr>
        <w:t>in Svizzera</w:t>
      </w:r>
      <w:r w:rsidRPr="00E51727">
        <w:rPr>
          <w:lang w:val="it-CH"/>
        </w:rPr>
        <w:t xml:space="preserve">. </w:t>
      </w:r>
      <w:r w:rsidR="00411B3C" w:rsidRPr="00E51727">
        <w:rPr>
          <w:lang w:val="it-CH"/>
        </w:rPr>
        <w:t>Lo studio</w:t>
      </w:r>
      <w:r w:rsidRPr="00E51727">
        <w:rPr>
          <w:lang w:val="it-CH"/>
        </w:rPr>
        <w:t xml:space="preserve"> mostra </w:t>
      </w:r>
      <w:r w:rsidR="001741A6" w:rsidRPr="00E51727">
        <w:rPr>
          <w:lang w:val="it-CH"/>
        </w:rPr>
        <w:t xml:space="preserve">il contributo che la produzione </w:t>
      </w:r>
      <w:r w:rsidR="00472FF7" w:rsidRPr="00E51727">
        <w:rPr>
          <w:lang w:val="it-CH"/>
        </w:rPr>
        <w:t>indigena</w:t>
      </w:r>
      <w:r w:rsidR="003F3AE4" w:rsidRPr="00E51727">
        <w:rPr>
          <w:lang w:val="it-CH"/>
        </w:rPr>
        <w:t>,</w:t>
      </w:r>
      <w:r w:rsidR="00472FF7" w:rsidRPr="00E51727">
        <w:rPr>
          <w:lang w:val="it-CH"/>
        </w:rPr>
        <w:t xml:space="preserve"> </w:t>
      </w:r>
      <w:r w:rsidR="003F3AE4" w:rsidRPr="00E51727">
        <w:rPr>
          <w:lang w:val="it-CH"/>
        </w:rPr>
        <w:t xml:space="preserve">sfruttando in maniera </w:t>
      </w:r>
      <w:r w:rsidR="003F3AE4" w:rsidRPr="005572F8">
        <w:rPr>
          <w:lang w:val="it-CH"/>
        </w:rPr>
        <w:t xml:space="preserve">ottimale le </w:t>
      </w:r>
      <w:r w:rsidR="008C5604" w:rsidRPr="005572F8">
        <w:rPr>
          <w:lang w:val="it-CH"/>
        </w:rPr>
        <w:t xml:space="preserve">superfici </w:t>
      </w:r>
      <w:r w:rsidR="006E2C76">
        <w:rPr>
          <w:lang w:val="it-CH"/>
        </w:rPr>
        <w:t xml:space="preserve">idonee per l’agricoltura </w:t>
      </w:r>
      <w:r w:rsidR="003F3AE4" w:rsidRPr="005572F8">
        <w:rPr>
          <w:lang w:val="it-CH"/>
        </w:rPr>
        <w:t>ancora disponibili</w:t>
      </w:r>
      <w:r w:rsidR="003F3AE4" w:rsidRPr="00E51727">
        <w:rPr>
          <w:lang w:val="it-CH"/>
        </w:rPr>
        <w:t xml:space="preserve">, </w:t>
      </w:r>
      <w:r w:rsidR="00472FF7" w:rsidRPr="00E51727">
        <w:rPr>
          <w:lang w:val="it-CH"/>
        </w:rPr>
        <w:t>potrebbe</w:t>
      </w:r>
      <w:r w:rsidR="001741A6" w:rsidRPr="00E51727">
        <w:rPr>
          <w:lang w:val="it-CH"/>
        </w:rPr>
        <w:t xml:space="preserve"> offrire</w:t>
      </w:r>
      <w:r w:rsidR="003F3AE4" w:rsidRPr="00E51727">
        <w:rPr>
          <w:lang w:val="it-CH"/>
        </w:rPr>
        <w:t xml:space="preserve"> </w:t>
      </w:r>
      <w:r w:rsidR="001741A6" w:rsidRPr="00E51727">
        <w:rPr>
          <w:lang w:val="it-CH"/>
        </w:rPr>
        <w:t>alla garanzia dell</w:t>
      </w:r>
      <w:r w:rsidR="00472FF7" w:rsidRPr="00E51727">
        <w:rPr>
          <w:lang w:val="it-CH"/>
        </w:rPr>
        <w:t xml:space="preserve">’approvvigionamento </w:t>
      </w:r>
      <w:r w:rsidR="001741A6" w:rsidRPr="00E51727">
        <w:rPr>
          <w:lang w:val="it-CH"/>
        </w:rPr>
        <w:t xml:space="preserve">in derrate alimentari </w:t>
      </w:r>
      <w:r w:rsidR="00472FF7" w:rsidRPr="00E51727">
        <w:rPr>
          <w:lang w:val="it-CH"/>
        </w:rPr>
        <w:t xml:space="preserve">qualora </w:t>
      </w:r>
      <w:r w:rsidR="001741A6" w:rsidRPr="00E51727">
        <w:rPr>
          <w:lang w:val="it-CH"/>
        </w:rPr>
        <w:t>i</w:t>
      </w:r>
      <w:r w:rsidR="00472FF7" w:rsidRPr="00E51727">
        <w:rPr>
          <w:lang w:val="it-CH"/>
        </w:rPr>
        <w:t xml:space="preserve"> prodotti agricoli </w:t>
      </w:r>
      <w:r w:rsidR="001741A6" w:rsidRPr="00E51727">
        <w:rPr>
          <w:lang w:val="it-CH"/>
        </w:rPr>
        <w:t>importati venissero meno</w:t>
      </w:r>
      <w:r w:rsidRPr="00E51727">
        <w:rPr>
          <w:lang w:val="it-CH"/>
        </w:rPr>
        <w:t xml:space="preserve">. I risultati di tale analisi </w:t>
      </w:r>
      <w:r w:rsidR="00F12DB3" w:rsidRPr="00E51727">
        <w:rPr>
          <w:lang w:val="it-CH"/>
        </w:rPr>
        <w:t xml:space="preserve">hanno rivelato </w:t>
      </w:r>
      <w:r w:rsidRPr="00E51727">
        <w:rPr>
          <w:lang w:val="it-CH"/>
        </w:rPr>
        <w:t>che</w:t>
      </w:r>
      <w:r w:rsidR="00F12DB3" w:rsidRPr="00E51727">
        <w:rPr>
          <w:lang w:val="it-CH"/>
        </w:rPr>
        <w:t xml:space="preserve"> per una </w:t>
      </w:r>
      <w:r w:rsidRPr="00E51727">
        <w:rPr>
          <w:lang w:val="it-CH"/>
        </w:rPr>
        <w:t xml:space="preserve">popolazione di </w:t>
      </w:r>
      <w:r w:rsidR="007D54E5" w:rsidRPr="00E51727">
        <w:rPr>
          <w:lang w:val="it-CH"/>
        </w:rPr>
        <w:t xml:space="preserve">circa </w:t>
      </w:r>
      <w:r w:rsidRPr="00E51727">
        <w:rPr>
          <w:lang w:val="it-CH"/>
        </w:rPr>
        <w:t>8</w:t>
      </w:r>
      <w:r w:rsidR="00F25856">
        <w:rPr>
          <w:lang w:val="it-CH"/>
        </w:rPr>
        <w:t>,14</w:t>
      </w:r>
      <w:r w:rsidRPr="00E51727">
        <w:rPr>
          <w:lang w:val="it-CH"/>
        </w:rPr>
        <w:t xml:space="preserve"> milioni </w:t>
      </w:r>
      <w:r w:rsidR="007D54E5" w:rsidRPr="00E51727">
        <w:rPr>
          <w:lang w:val="it-CH"/>
        </w:rPr>
        <w:t xml:space="preserve">di abitanti </w:t>
      </w:r>
      <w:r w:rsidRPr="00E51727">
        <w:rPr>
          <w:lang w:val="it-CH"/>
        </w:rPr>
        <w:t xml:space="preserve">e </w:t>
      </w:r>
      <w:r w:rsidR="007D54E5" w:rsidRPr="00E51727">
        <w:rPr>
          <w:lang w:val="it-CH"/>
        </w:rPr>
        <w:t>l’attuale estensione minima di SAC,</w:t>
      </w:r>
      <w:r w:rsidR="00AA2BF5" w:rsidRPr="00E51727">
        <w:rPr>
          <w:lang w:val="it-CH"/>
        </w:rPr>
        <w:t xml:space="preserve"> </w:t>
      </w:r>
      <w:r w:rsidR="00F25856">
        <w:rPr>
          <w:lang w:val="it-CH"/>
        </w:rPr>
        <w:t>che soddisfano i requisiti di qualità stabiliti nella</w:t>
      </w:r>
      <w:r w:rsidR="0033349D" w:rsidRPr="00E51727">
        <w:rPr>
          <w:lang w:val="it-CH"/>
        </w:rPr>
        <w:t xml:space="preserve"> Guida</w:t>
      </w:r>
      <w:r w:rsidRPr="00E51727">
        <w:rPr>
          <w:lang w:val="it-CH"/>
        </w:rPr>
        <w:t xml:space="preserve"> </w:t>
      </w:r>
      <w:r w:rsidR="00AA2BF5" w:rsidRPr="00E51727">
        <w:rPr>
          <w:lang w:val="it-CH"/>
        </w:rPr>
        <w:t>pubblicat</w:t>
      </w:r>
      <w:r w:rsidR="0033349D" w:rsidRPr="00E51727">
        <w:rPr>
          <w:lang w:val="it-CH"/>
        </w:rPr>
        <w:t>a</w:t>
      </w:r>
      <w:r w:rsidR="00AA2BF5" w:rsidRPr="00E51727">
        <w:rPr>
          <w:lang w:val="it-CH"/>
        </w:rPr>
        <w:t xml:space="preserve"> da</w:t>
      </w:r>
      <w:r w:rsidR="009E59DD" w:rsidRPr="00E51727">
        <w:rPr>
          <w:lang w:val="it-CH"/>
        </w:rPr>
        <w:t>l</w:t>
      </w:r>
      <w:r w:rsidRPr="00E51727">
        <w:rPr>
          <w:lang w:val="it-CH"/>
        </w:rPr>
        <w:t>l’</w:t>
      </w:r>
      <w:r w:rsidR="00D41957">
        <w:rPr>
          <w:lang w:val="it-CH"/>
        </w:rPr>
        <w:t>Ufficio federale dello sviluppo territoriale (</w:t>
      </w:r>
      <w:r w:rsidRPr="00E51727">
        <w:rPr>
          <w:lang w:val="it-CH"/>
        </w:rPr>
        <w:t>ARE</w:t>
      </w:r>
      <w:r w:rsidR="00D41957">
        <w:rPr>
          <w:lang w:val="it-CH"/>
        </w:rPr>
        <w:t>)</w:t>
      </w:r>
      <w:r w:rsidRPr="00E51727">
        <w:rPr>
          <w:lang w:val="it-CH"/>
        </w:rPr>
        <w:t xml:space="preserve"> </w:t>
      </w:r>
      <w:r w:rsidR="00AA2BF5" w:rsidRPr="00E51727">
        <w:rPr>
          <w:lang w:val="it-CH"/>
        </w:rPr>
        <w:t>nel</w:t>
      </w:r>
      <w:r w:rsidRPr="00E51727">
        <w:rPr>
          <w:lang w:val="it-CH"/>
        </w:rPr>
        <w:t xml:space="preserve"> 2006, </w:t>
      </w:r>
      <w:r w:rsidR="001741A6" w:rsidRPr="00E51727">
        <w:rPr>
          <w:lang w:val="it-CH"/>
        </w:rPr>
        <w:t>l</w:t>
      </w:r>
      <w:r w:rsidRPr="00E51727">
        <w:rPr>
          <w:lang w:val="it-CH"/>
        </w:rPr>
        <w:t xml:space="preserve">’offerta energetica </w:t>
      </w:r>
      <w:r w:rsidR="001741A6" w:rsidRPr="00E51727">
        <w:rPr>
          <w:lang w:val="it-CH"/>
        </w:rPr>
        <w:t xml:space="preserve">prodotta sarebbe </w:t>
      </w:r>
      <w:r w:rsidRPr="00E51727">
        <w:rPr>
          <w:lang w:val="it-CH"/>
        </w:rPr>
        <w:t xml:space="preserve">di 2300 </w:t>
      </w:r>
      <w:r w:rsidRPr="00E51727">
        <w:rPr>
          <w:rFonts w:eastAsia="Arial"/>
          <w:lang w:val="it-CH"/>
        </w:rPr>
        <w:t>kcal/p/g</w:t>
      </w:r>
      <w:r w:rsidRPr="00E51727">
        <w:rPr>
          <w:lang w:val="it-CH"/>
        </w:rPr>
        <w:t>. La quantità di calorie</w:t>
      </w:r>
      <w:r w:rsidR="00AA2BF5" w:rsidRPr="00E51727">
        <w:rPr>
          <w:lang w:val="it-CH"/>
        </w:rPr>
        <w:t xml:space="preserve">, </w:t>
      </w:r>
      <w:r w:rsidR="001741A6" w:rsidRPr="00E51727">
        <w:rPr>
          <w:lang w:val="it-CH"/>
        </w:rPr>
        <w:t>dunque</w:t>
      </w:r>
      <w:r w:rsidR="00AA2BF5" w:rsidRPr="00E51727">
        <w:rPr>
          <w:lang w:val="it-CH"/>
        </w:rPr>
        <w:t xml:space="preserve">, </w:t>
      </w:r>
      <w:r w:rsidR="001741A6" w:rsidRPr="00E51727">
        <w:rPr>
          <w:lang w:val="it-CH"/>
        </w:rPr>
        <w:t xml:space="preserve">si situa al livello delle </w:t>
      </w:r>
      <w:r w:rsidR="00F12DB3" w:rsidRPr="00E51727">
        <w:rPr>
          <w:lang w:val="it-CH"/>
        </w:rPr>
        <w:t>2300 kcal</w:t>
      </w:r>
      <w:r w:rsidR="00F25856">
        <w:rPr>
          <w:lang w:val="it-CH"/>
        </w:rPr>
        <w:t>/p/g</w:t>
      </w:r>
      <w:r w:rsidR="00F12DB3" w:rsidRPr="00E51727">
        <w:rPr>
          <w:lang w:val="it-CH"/>
        </w:rPr>
        <w:t xml:space="preserve"> </w:t>
      </w:r>
      <w:r w:rsidR="001741A6" w:rsidRPr="00E51727">
        <w:rPr>
          <w:lang w:val="it-CH"/>
        </w:rPr>
        <w:t>fissate co</w:t>
      </w:r>
      <w:r w:rsidR="005572F8">
        <w:rPr>
          <w:lang w:val="it-CH"/>
        </w:rPr>
        <w:t>m</w:t>
      </w:r>
      <w:r w:rsidR="001741A6" w:rsidRPr="00E51727">
        <w:rPr>
          <w:lang w:val="it-CH"/>
        </w:rPr>
        <w:t>e valore minimo richiesto nel</w:t>
      </w:r>
      <w:r w:rsidR="00F12DB3" w:rsidRPr="00E51727">
        <w:rPr>
          <w:lang w:val="it-CH"/>
        </w:rPr>
        <w:t xml:space="preserve"> piano di alimentazione del 1990, e </w:t>
      </w:r>
      <w:r w:rsidR="001741A6" w:rsidRPr="00E51727">
        <w:rPr>
          <w:lang w:val="it-CH"/>
        </w:rPr>
        <w:t>corrisponde</w:t>
      </w:r>
      <w:r w:rsidR="00F12DB3" w:rsidRPr="00E51727">
        <w:rPr>
          <w:lang w:val="it-CH"/>
        </w:rPr>
        <w:t xml:space="preserve"> </w:t>
      </w:r>
      <w:r w:rsidR="001741A6" w:rsidRPr="00E51727">
        <w:rPr>
          <w:lang w:val="it-CH"/>
        </w:rPr>
        <w:t>al</w:t>
      </w:r>
      <w:r w:rsidR="00F12DB3" w:rsidRPr="00E51727">
        <w:rPr>
          <w:lang w:val="it-CH"/>
        </w:rPr>
        <w:t xml:space="preserve"> </w:t>
      </w:r>
      <w:r w:rsidRPr="00E51727">
        <w:rPr>
          <w:lang w:val="it-CH"/>
        </w:rPr>
        <w:t>78</w:t>
      </w:r>
      <w:r w:rsidR="00F12DB3" w:rsidRPr="00E51727">
        <w:rPr>
          <w:lang w:val="it-CH"/>
        </w:rPr>
        <w:t xml:space="preserve"> </w:t>
      </w:r>
      <w:r w:rsidR="00B32272">
        <w:rPr>
          <w:lang w:val="it-CH"/>
        </w:rPr>
        <w:t>per cento</w:t>
      </w:r>
      <w:r w:rsidRPr="00E51727">
        <w:rPr>
          <w:lang w:val="it-CH"/>
        </w:rPr>
        <w:t xml:space="preserve"> dell’attuale quantità di energia media </w:t>
      </w:r>
      <w:r w:rsidR="00AF4507" w:rsidRPr="00E51727">
        <w:rPr>
          <w:lang w:val="it-CH"/>
        </w:rPr>
        <w:t>di</w:t>
      </w:r>
      <w:r w:rsidRPr="00E51727">
        <w:rPr>
          <w:lang w:val="it-CH"/>
        </w:rPr>
        <w:t xml:space="preserve"> 3015 </w:t>
      </w:r>
      <w:r w:rsidRPr="00E51727">
        <w:rPr>
          <w:rFonts w:eastAsia="Arial"/>
          <w:lang w:val="it-CH"/>
        </w:rPr>
        <w:t>kcal/p/g</w:t>
      </w:r>
      <w:r w:rsidRPr="00E51727">
        <w:rPr>
          <w:lang w:val="it-CH"/>
        </w:rPr>
        <w:t>.</w:t>
      </w:r>
    </w:p>
    <w:p w14:paraId="45B623BF" w14:textId="0DB6210F" w:rsidR="00D66ED5" w:rsidRPr="00E51727" w:rsidRDefault="0011418E" w:rsidP="00D66ED5">
      <w:pPr>
        <w:rPr>
          <w:lang w:val="it-CH"/>
        </w:rPr>
      </w:pPr>
      <w:r w:rsidRPr="00E51727">
        <w:rPr>
          <w:lang w:val="it-CH"/>
        </w:rPr>
        <w:t xml:space="preserve">Affinché </w:t>
      </w:r>
      <w:r w:rsidR="00D66ED5" w:rsidRPr="00E51727">
        <w:rPr>
          <w:lang w:val="it-CH"/>
        </w:rPr>
        <w:t xml:space="preserve">la quantità minima di calorie </w:t>
      </w:r>
      <w:r w:rsidRPr="00E51727">
        <w:rPr>
          <w:lang w:val="it-CH"/>
        </w:rPr>
        <w:t xml:space="preserve">pro capite </w:t>
      </w:r>
      <w:r w:rsidR="00D66ED5" w:rsidRPr="00E51727">
        <w:rPr>
          <w:lang w:val="it-CH"/>
        </w:rPr>
        <w:t xml:space="preserve">auspicata possa essere raggiunta, devono </w:t>
      </w:r>
      <w:r w:rsidR="0058130C" w:rsidRPr="00E51727">
        <w:rPr>
          <w:lang w:val="it-CH"/>
        </w:rPr>
        <w:t>essere soddisfatte le seguenti condizioni</w:t>
      </w:r>
      <w:r w:rsidR="00D66ED5" w:rsidRPr="00E51727">
        <w:rPr>
          <w:lang w:val="it-CH"/>
        </w:rPr>
        <w:t xml:space="preserve">: a) </w:t>
      </w:r>
      <w:r w:rsidR="003D52F7" w:rsidRPr="00E51727">
        <w:rPr>
          <w:lang w:val="it-CH"/>
        </w:rPr>
        <w:t>il</w:t>
      </w:r>
      <w:r w:rsidR="00D66ED5" w:rsidRPr="00E51727">
        <w:rPr>
          <w:lang w:val="it-CH"/>
        </w:rPr>
        <w:t xml:space="preserve"> paniere</w:t>
      </w:r>
      <w:r w:rsidR="00971923" w:rsidRPr="00E51727">
        <w:rPr>
          <w:lang w:val="it-CH"/>
        </w:rPr>
        <w:t xml:space="preserve"> tipo</w:t>
      </w:r>
      <w:r w:rsidR="00D66ED5" w:rsidRPr="00E51727">
        <w:rPr>
          <w:lang w:val="it-CH"/>
        </w:rPr>
        <w:t xml:space="preserve"> non corrisponde </w:t>
      </w:r>
      <w:r w:rsidR="00971923" w:rsidRPr="00E51727">
        <w:rPr>
          <w:lang w:val="it-CH"/>
        </w:rPr>
        <w:t xml:space="preserve">più </w:t>
      </w:r>
      <w:r w:rsidR="00D66ED5" w:rsidRPr="00E51727">
        <w:rPr>
          <w:lang w:val="it-CH"/>
        </w:rPr>
        <w:t xml:space="preserve">alle </w:t>
      </w:r>
      <w:r w:rsidR="0058130C" w:rsidRPr="00E51727">
        <w:rPr>
          <w:lang w:val="it-CH"/>
        </w:rPr>
        <w:t>odierne</w:t>
      </w:r>
      <w:r w:rsidR="00D66ED5" w:rsidRPr="00E51727">
        <w:rPr>
          <w:lang w:val="it-CH"/>
        </w:rPr>
        <w:t xml:space="preserve"> abitudini di consumo (più carboidrati </w:t>
      </w:r>
      <w:r w:rsidR="00F25856">
        <w:rPr>
          <w:lang w:val="it-CH"/>
        </w:rPr>
        <w:t xml:space="preserve">provenienti dall’alimentazione vegetale </w:t>
      </w:r>
      <w:r w:rsidR="00D66ED5" w:rsidRPr="00E51727">
        <w:rPr>
          <w:lang w:val="it-CH"/>
        </w:rPr>
        <w:t xml:space="preserve">e meno carne, verdura, frutta e </w:t>
      </w:r>
      <w:r w:rsidR="0058130C" w:rsidRPr="00E51727">
        <w:rPr>
          <w:lang w:val="it-CH"/>
        </w:rPr>
        <w:t>grassi</w:t>
      </w:r>
      <w:r w:rsidR="00D66ED5" w:rsidRPr="00E51727">
        <w:rPr>
          <w:lang w:val="it-CH"/>
        </w:rPr>
        <w:t xml:space="preserve"> vegetali)</w:t>
      </w:r>
      <w:r w:rsidR="001E733B" w:rsidRPr="00E51727">
        <w:rPr>
          <w:lang w:val="it-CH"/>
        </w:rPr>
        <w:t>;</w:t>
      </w:r>
      <w:r w:rsidR="00D66ED5" w:rsidRPr="00E51727">
        <w:rPr>
          <w:lang w:val="it-CH"/>
        </w:rPr>
        <w:t xml:space="preserve"> b) </w:t>
      </w:r>
      <w:r w:rsidR="003D52F7" w:rsidRPr="00E51727">
        <w:rPr>
          <w:lang w:val="it-CH"/>
        </w:rPr>
        <w:t>da</w:t>
      </w:r>
      <w:r w:rsidR="00D66ED5" w:rsidRPr="00E51727">
        <w:rPr>
          <w:lang w:val="it-CH"/>
        </w:rPr>
        <w:t xml:space="preserve"> un punto di vista </w:t>
      </w:r>
      <w:r w:rsidR="0058130C" w:rsidRPr="00E51727">
        <w:rPr>
          <w:lang w:val="it-CH"/>
        </w:rPr>
        <w:t xml:space="preserve">nutrizionale, </w:t>
      </w:r>
      <w:r w:rsidR="00971923" w:rsidRPr="00E51727">
        <w:rPr>
          <w:lang w:val="it-CH"/>
        </w:rPr>
        <w:t>una</w:t>
      </w:r>
      <w:r w:rsidR="0058130C" w:rsidRPr="00E51727">
        <w:rPr>
          <w:lang w:val="it-CH"/>
        </w:rPr>
        <w:t xml:space="preserve"> tale ottimizzazione</w:t>
      </w:r>
      <w:r w:rsidR="001E733B" w:rsidRPr="00E51727">
        <w:rPr>
          <w:lang w:val="it-CH"/>
        </w:rPr>
        <w:t xml:space="preserve"> </w:t>
      </w:r>
      <w:r w:rsidR="00971923" w:rsidRPr="00E51727">
        <w:rPr>
          <w:lang w:val="it-CH"/>
        </w:rPr>
        <w:t xml:space="preserve">è appena sufficiente </w:t>
      </w:r>
      <w:r w:rsidR="009B3DAA" w:rsidRPr="00E51727">
        <w:rPr>
          <w:lang w:val="it-CH"/>
        </w:rPr>
        <w:t xml:space="preserve">per fornire </w:t>
      </w:r>
      <w:r w:rsidR="001E733B" w:rsidRPr="00E51727">
        <w:rPr>
          <w:lang w:val="it-CH"/>
        </w:rPr>
        <w:t xml:space="preserve">le proteine necessarie (da produzione vegetale); </w:t>
      </w:r>
      <w:r w:rsidR="00D66ED5" w:rsidRPr="00E51727">
        <w:rPr>
          <w:lang w:val="it-CH"/>
        </w:rPr>
        <w:t xml:space="preserve">c) </w:t>
      </w:r>
      <w:r w:rsidR="003D52F7" w:rsidRPr="00E51727">
        <w:rPr>
          <w:lang w:val="it-CH"/>
        </w:rPr>
        <w:t>il</w:t>
      </w:r>
      <w:r w:rsidR="00D66ED5" w:rsidRPr="00E51727">
        <w:rPr>
          <w:lang w:val="it-CH"/>
        </w:rPr>
        <w:t xml:space="preserve"> calcolo rappresenta il miglior risultato</w:t>
      </w:r>
      <w:r w:rsidR="001E733B" w:rsidRPr="00E51727">
        <w:rPr>
          <w:lang w:val="it-CH"/>
        </w:rPr>
        <w:t xml:space="preserve"> possibile</w:t>
      </w:r>
      <w:r w:rsidR="003D52F7" w:rsidRPr="00E51727">
        <w:rPr>
          <w:lang w:val="it-CH"/>
        </w:rPr>
        <w:t>,</w:t>
      </w:r>
      <w:r w:rsidR="00D66ED5" w:rsidRPr="00E51727">
        <w:rPr>
          <w:lang w:val="it-CH"/>
        </w:rPr>
        <w:t xml:space="preserve"> </w:t>
      </w:r>
      <w:r w:rsidR="001E733B" w:rsidRPr="00E51727">
        <w:rPr>
          <w:lang w:val="it-CH"/>
        </w:rPr>
        <w:t>ch</w:t>
      </w:r>
      <w:r w:rsidR="00D66ED5" w:rsidRPr="00E51727">
        <w:rPr>
          <w:lang w:val="it-CH"/>
        </w:rPr>
        <w:t xml:space="preserve">e può essere raggiunto </w:t>
      </w:r>
      <w:r w:rsidR="009B3DAA" w:rsidRPr="00E51727">
        <w:rPr>
          <w:lang w:val="it-CH"/>
        </w:rPr>
        <w:t>quando tutte le condizioni sono assolutamente ottimali</w:t>
      </w:r>
      <w:r w:rsidR="00D66ED5" w:rsidRPr="00E51727">
        <w:rPr>
          <w:lang w:val="it-CH"/>
        </w:rPr>
        <w:t xml:space="preserve">. </w:t>
      </w:r>
      <w:r w:rsidR="009B3DAA" w:rsidRPr="00E51727">
        <w:rPr>
          <w:lang w:val="it-CH"/>
        </w:rPr>
        <w:t>La modellizzazione</w:t>
      </w:r>
      <w:r w:rsidR="00991FCF" w:rsidRPr="00E51727">
        <w:rPr>
          <w:lang w:val="it-CH"/>
        </w:rPr>
        <w:t>,</w:t>
      </w:r>
      <w:r w:rsidR="009B3DAA" w:rsidRPr="00E51727">
        <w:rPr>
          <w:lang w:val="it-CH"/>
        </w:rPr>
        <w:t xml:space="preserve"> in particolare</w:t>
      </w:r>
      <w:r w:rsidR="00991FCF" w:rsidRPr="00E51727">
        <w:rPr>
          <w:lang w:val="it-CH"/>
        </w:rPr>
        <w:t>,</w:t>
      </w:r>
      <w:r w:rsidR="009B3DAA" w:rsidRPr="00E51727">
        <w:rPr>
          <w:lang w:val="it-CH"/>
        </w:rPr>
        <w:t xml:space="preserve"> </w:t>
      </w:r>
      <w:r w:rsidR="00991FCF" w:rsidRPr="00E51727">
        <w:rPr>
          <w:lang w:val="it-CH"/>
        </w:rPr>
        <w:t xml:space="preserve">presuppone </w:t>
      </w:r>
      <w:r w:rsidR="009B3DAA" w:rsidRPr="00E51727">
        <w:rPr>
          <w:lang w:val="it-CH"/>
        </w:rPr>
        <w:t xml:space="preserve">che tutti i fattori di produzione </w:t>
      </w:r>
      <w:r w:rsidR="00991FCF" w:rsidRPr="00E51727">
        <w:rPr>
          <w:lang w:val="it-CH"/>
        </w:rPr>
        <w:t xml:space="preserve">siano </w:t>
      </w:r>
      <w:r w:rsidR="009B3DAA" w:rsidRPr="00E51727">
        <w:rPr>
          <w:lang w:val="it-CH"/>
        </w:rPr>
        <w:t>disponibili come</w:t>
      </w:r>
      <w:r w:rsidR="008C5604">
        <w:rPr>
          <w:lang w:val="it-CH"/>
        </w:rPr>
        <w:t>,</w:t>
      </w:r>
      <w:r w:rsidR="009B3DAA" w:rsidRPr="00E51727">
        <w:rPr>
          <w:lang w:val="it-CH"/>
        </w:rPr>
        <w:t xml:space="preserve"> ad esempio</w:t>
      </w:r>
      <w:r w:rsidR="008C5604">
        <w:rPr>
          <w:lang w:val="it-CH"/>
        </w:rPr>
        <w:t>,</w:t>
      </w:r>
      <w:r w:rsidR="009B3DAA" w:rsidRPr="00E51727">
        <w:rPr>
          <w:lang w:val="it-CH"/>
        </w:rPr>
        <w:t xml:space="preserve"> </w:t>
      </w:r>
      <w:r w:rsidR="007703F1" w:rsidRPr="00E51727">
        <w:rPr>
          <w:lang w:val="it-CH"/>
        </w:rPr>
        <w:t>l’</w:t>
      </w:r>
      <w:r w:rsidR="00D66ED5" w:rsidRPr="00E51727">
        <w:rPr>
          <w:lang w:val="it-CH"/>
        </w:rPr>
        <w:t>acqu</w:t>
      </w:r>
      <w:r w:rsidR="007703F1" w:rsidRPr="00E51727">
        <w:rPr>
          <w:lang w:val="it-CH"/>
        </w:rPr>
        <w:t>a</w:t>
      </w:r>
      <w:r w:rsidR="00D66ED5" w:rsidRPr="00E51727">
        <w:rPr>
          <w:lang w:val="it-CH"/>
        </w:rPr>
        <w:t xml:space="preserve">, </w:t>
      </w:r>
      <w:r w:rsidR="007703F1" w:rsidRPr="00E51727">
        <w:rPr>
          <w:lang w:val="it-CH"/>
        </w:rPr>
        <w:t xml:space="preserve">le </w:t>
      </w:r>
      <w:r w:rsidR="00D66ED5" w:rsidRPr="00E51727">
        <w:rPr>
          <w:lang w:val="it-CH"/>
        </w:rPr>
        <w:t>sementi,</w:t>
      </w:r>
      <w:r w:rsidR="007703F1" w:rsidRPr="00E51727">
        <w:rPr>
          <w:lang w:val="it-CH"/>
        </w:rPr>
        <w:t xml:space="preserve"> i</w:t>
      </w:r>
      <w:r w:rsidR="00D66ED5" w:rsidRPr="00E51727">
        <w:rPr>
          <w:lang w:val="it-CH"/>
        </w:rPr>
        <w:t xml:space="preserve"> concimi, </w:t>
      </w:r>
      <w:r w:rsidR="007703F1" w:rsidRPr="00E51727">
        <w:rPr>
          <w:lang w:val="it-CH"/>
        </w:rPr>
        <w:t xml:space="preserve">i </w:t>
      </w:r>
      <w:r w:rsidR="00D66ED5" w:rsidRPr="00E51727">
        <w:rPr>
          <w:lang w:val="it-CH"/>
        </w:rPr>
        <w:t xml:space="preserve">mangimi, </w:t>
      </w:r>
      <w:r w:rsidR="007703F1" w:rsidRPr="00E51727">
        <w:rPr>
          <w:lang w:val="it-CH"/>
        </w:rPr>
        <w:t xml:space="preserve">i </w:t>
      </w:r>
      <w:r w:rsidR="00D66ED5" w:rsidRPr="00E51727">
        <w:rPr>
          <w:lang w:val="it-CH"/>
        </w:rPr>
        <w:t xml:space="preserve">prodotti fitosanitari, </w:t>
      </w:r>
      <w:r w:rsidR="007703F1" w:rsidRPr="00E51727">
        <w:rPr>
          <w:lang w:val="it-CH"/>
        </w:rPr>
        <w:t>il know-how</w:t>
      </w:r>
      <w:r w:rsidR="00D66ED5" w:rsidRPr="00E51727">
        <w:rPr>
          <w:lang w:val="it-CH"/>
        </w:rPr>
        <w:t xml:space="preserve">, </w:t>
      </w:r>
      <w:r w:rsidR="007703F1" w:rsidRPr="00E51727">
        <w:rPr>
          <w:lang w:val="it-CH"/>
        </w:rPr>
        <w:t xml:space="preserve">la </w:t>
      </w:r>
      <w:r w:rsidR="00D66ED5" w:rsidRPr="00E51727">
        <w:rPr>
          <w:lang w:val="it-CH"/>
        </w:rPr>
        <w:t xml:space="preserve">manodopera, </w:t>
      </w:r>
      <w:r w:rsidR="007703F1" w:rsidRPr="00E51727">
        <w:rPr>
          <w:lang w:val="it-CH"/>
        </w:rPr>
        <w:t xml:space="preserve">le </w:t>
      </w:r>
      <w:r w:rsidR="00D66ED5" w:rsidRPr="00E51727">
        <w:rPr>
          <w:lang w:val="it-CH"/>
        </w:rPr>
        <w:t>macchine e</w:t>
      </w:r>
      <w:r w:rsidR="007703F1" w:rsidRPr="00E51727">
        <w:rPr>
          <w:lang w:val="it-CH"/>
        </w:rPr>
        <w:t>,</w:t>
      </w:r>
      <w:r w:rsidR="009B3DAA" w:rsidRPr="00E51727">
        <w:rPr>
          <w:lang w:val="it-CH"/>
        </w:rPr>
        <w:t xml:space="preserve"> soprattutto</w:t>
      </w:r>
      <w:r w:rsidR="007703F1" w:rsidRPr="00E51727">
        <w:rPr>
          <w:lang w:val="it-CH"/>
        </w:rPr>
        <w:t>,</w:t>
      </w:r>
      <w:r w:rsidR="009B3DAA" w:rsidRPr="00E51727">
        <w:rPr>
          <w:lang w:val="it-CH"/>
        </w:rPr>
        <w:t xml:space="preserve"> la risorsa suolo</w:t>
      </w:r>
      <w:r w:rsidR="003D52F7" w:rsidRPr="00E51727">
        <w:rPr>
          <w:lang w:val="it-CH"/>
        </w:rPr>
        <w:t>;</w:t>
      </w:r>
      <w:r w:rsidR="00D66ED5" w:rsidRPr="00E51727">
        <w:rPr>
          <w:lang w:val="it-CH"/>
        </w:rPr>
        <w:t xml:space="preserve"> d) </w:t>
      </w:r>
      <w:r w:rsidR="003D52F7" w:rsidRPr="00E51727">
        <w:rPr>
          <w:lang w:val="it-CH"/>
        </w:rPr>
        <w:t>i</w:t>
      </w:r>
      <w:r w:rsidR="007703F1" w:rsidRPr="00E51727">
        <w:rPr>
          <w:lang w:val="it-CH"/>
        </w:rPr>
        <w:t xml:space="preserve">nfine, in caso di grave penuria, una riconversione della produzione richiede almeno un ciclo </w:t>
      </w:r>
      <w:r w:rsidR="00D66ED5" w:rsidRPr="00E51727">
        <w:rPr>
          <w:lang w:val="it-CH"/>
        </w:rPr>
        <w:t>vegetativo.</w:t>
      </w:r>
    </w:p>
    <w:p w14:paraId="77862475" w14:textId="05D8A478" w:rsidR="00D66ED5" w:rsidRPr="00E51727" w:rsidRDefault="00D66ED5" w:rsidP="00D66ED5">
      <w:pPr>
        <w:rPr>
          <w:lang w:val="it-CH"/>
        </w:rPr>
      </w:pPr>
      <w:r w:rsidRPr="00E51727">
        <w:rPr>
          <w:lang w:val="it-CH"/>
        </w:rPr>
        <w:t xml:space="preserve">Per </w:t>
      </w:r>
      <w:r w:rsidR="007703F1" w:rsidRPr="00E51727">
        <w:rPr>
          <w:lang w:val="it-CH"/>
        </w:rPr>
        <w:t>i suoi</w:t>
      </w:r>
      <w:r w:rsidRPr="00E51727">
        <w:rPr>
          <w:lang w:val="it-CH"/>
        </w:rPr>
        <w:t xml:space="preserve"> calcol</w:t>
      </w:r>
      <w:r w:rsidR="007703F1" w:rsidRPr="00E51727">
        <w:rPr>
          <w:lang w:val="it-CH"/>
        </w:rPr>
        <w:t>i</w:t>
      </w:r>
      <w:r w:rsidRPr="00E51727">
        <w:rPr>
          <w:lang w:val="it-CH"/>
        </w:rPr>
        <w:t xml:space="preserve">, </w:t>
      </w:r>
      <w:r w:rsidR="007703F1" w:rsidRPr="00E51727">
        <w:rPr>
          <w:lang w:val="it-CH"/>
        </w:rPr>
        <w:t xml:space="preserve">inoltre, </w:t>
      </w:r>
      <w:r w:rsidRPr="00E51727">
        <w:rPr>
          <w:lang w:val="it-CH"/>
        </w:rPr>
        <w:t xml:space="preserve">l’UFAE ha supposto </w:t>
      </w:r>
      <w:r w:rsidR="007703F1" w:rsidRPr="00E51727">
        <w:rPr>
          <w:lang w:val="it-CH"/>
        </w:rPr>
        <w:t xml:space="preserve">che la popolazione </w:t>
      </w:r>
      <w:r w:rsidR="004D403D" w:rsidRPr="00E51727">
        <w:rPr>
          <w:lang w:val="it-CH"/>
        </w:rPr>
        <w:t>riman</w:t>
      </w:r>
      <w:r w:rsidR="003D52F7" w:rsidRPr="00E51727">
        <w:rPr>
          <w:lang w:val="it-CH"/>
        </w:rPr>
        <w:t>ga</w:t>
      </w:r>
      <w:r w:rsidR="007703F1" w:rsidRPr="00E51727">
        <w:rPr>
          <w:lang w:val="it-CH"/>
        </w:rPr>
        <w:t xml:space="preserve"> stabile</w:t>
      </w:r>
      <w:r w:rsidR="004D403D" w:rsidRPr="00E51727">
        <w:rPr>
          <w:lang w:val="it-CH"/>
        </w:rPr>
        <w:t>,</w:t>
      </w:r>
      <w:r w:rsidRPr="00E51727">
        <w:rPr>
          <w:lang w:val="it-CH"/>
        </w:rPr>
        <w:t xml:space="preserve"> </w:t>
      </w:r>
      <w:r w:rsidR="007703F1" w:rsidRPr="00E51727">
        <w:rPr>
          <w:lang w:val="it-CH"/>
        </w:rPr>
        <w:t xml:space="preserve">poiché </w:t>
      </w:r>
      <w:r w:rsidRPr="00E51727">
        <w:rPr>
          <w:lang w:val="it-CH"/>
        </w:rPr>
        <w:t>l’esperienza degli ultimi anni ha dimostrato che</w:t>
      </w:r>
      <w:r w:rsidR="00991FCF" w:rsidRPr="00E51727">
        <w:rPr>
          <w:lang w:val="it-CH"/>
        </w:rPr>
        <w:t>,</w:t>
      </w:r>
      <w:r w:rsidRPr="00E51727">
        <w:rPr>
          <w:lang w:val="it-CH"/>
        </w:rPr>
        <w:t xml:space="preserve"> </w:t>
      </w:r>
      <w:r w:rsidR="004D403D" w:rsidRPr="00E51727">
        <w:rPr>
          <w:lang w:val="it-CH"/>
        </w:rPr>
        <w:t xml:space="preserve">se i </w:t>
      </w:r>
      <w:r w:rsidR="00991FCF" w:rsidRPr="00E51727">
        <w:rPr>
          <w:lang w:val="it-CH"/>
        </w:rPr>
        <w:t>fattori</w:t>
      </w:r>
      <w:r w:rsidR="004D403D" w:rsidRPr="00E51727">
        <w:rPr>
          <w:lang w:val="it-CH"/>
        </w:rPr>
        <w:t xml:space="preserve"> di produzione sono </w:t>
      </w:r>
      <w:r w:rsidR="00B32272">
        <w:rPr>
          <w:lang w:val="it-CH"/>
        </w:rPr>
        <w:t>illimitati</w:t>
      </w:r>
      <w:r w:rsidR="004D403D" w:rsidRPr="00E51727">
        <w:rPr>
          <w:lang w:val="it-CH"/>
        </w:rPr>
        <w:t xml:space="preserve">, </w:t>
      </w:r>
      <w:r w:rsidRPr="00E51727">
        <w:rPr>
          <w:lang w:val="it-CH"/>
        </w:rPr>
        <w:t xml:space="preserve">l’aumento delle rese </w:t>
      </w:r>
      <w:r w:rsidR="004D403D" w:rsidRPr="00E51727">
        <w:rPr>
          <w:lang w:val="it-CH"/>
        </w:rPr>
        <w:t xml:space="preserve">può stare al </w:t>
      </w:r>
      <w:r w:rsidR="004D403D" w:rsidRPr="00E51727">
        <w:rPr>
          <w:lang w:val="it-CH"/>
        </w:rPr>
        <w:lastRenderedPageBreak/>
        <w:t>passo con la crescita demografica</w:t>
      </w:r>
      <w:r w:rsidR="003435FE" w:rsidRPr="00E51727">
        <w:rPr>
          <w:rStyle w:val="Funotenzeichen"/>
          <w:lang w:val="it-CH"/>
        </w:rPr>
        <w:footnoteReference w:id="8"/>
      </w:r>
      <w:r w:rsidR="00B02D5D" w:rsidRPr="00E51727">
        <w:rPr>
          <w:lang w:val="it-CH"/>
        </w:rPr>
        <w:t>.</w:t>
      </w:r>
      <w:r w:rsidRPr="00E51727">
        <w:rPr>
          <w:lang w:val="it-CH"/>
        </w:rPr>
        <w:t xml:space="preserve"> L’Ufficio federale di statistica (US</w:t>
      </w:r>
      <w:r w:rsidR="004D403D" w:rsidRPr="00E51727">
        <w:rPr>
          <w:lang w:val="it-CH"/>
        </w:rPr>
        <w:t>T</w:t>
      </w:r>
      <w:r w:rsidRPr="00E51727">
        <w:rPr>
          <w:lang w:val="it-CH"/>
        </w:rPr>
        <w:t xml:space="preserve">), tuttavia, </w:t>
      </w:r>
      <w:r w:rsidR="004D403D" w:rsidRPr="00E51727">
        <w:rPr>
          <w:lang w:val="it-CH"/>
        </w:rPr>
        <w:t>ritiene che entro il 2045 la popolazione raggiung</w:t>
      </w:r>
      <w:r w:rsidR="00C11FE9" w:rsidRPr="00E51727">
        <w:rPr>
          <w:lang w:val="it-CH"/>
        </w:rPr>
        <w:t>erà</w:t>
      </w:r>
      <w:r w:rsidR="004D403D" w:rsidRPr="00E51727">
        <w:rPr>
          <w:lang w:val="it-CH"/>
        </w:rPr>
        <w:t xml:space="preserve"> i </w:t>
      </w:r>
      <w:r w:rsidRPr="00E51727">
        <w:rPr>
          <w:lang w:val="it-CH"/>
        </w:rPr>
        <w:t xml:space="preserve">10,2 milioni di </w:t>
      </w:r>
      <w:r w:rsidR="004D403D" w:rsidRPr="00E51727">
        <w:rPr>
          <w:lang w:val="it-CH"/>
        </w:rPr>
        <w:t>abitanti</w:t>
      </w:r>
      <w:r w:rsidR="003435FE" w:rsidRPr="00E51727">
        <w:rPr>
          <w:rStyle w:val="Funotenzeichen"/>
          <w:lang w:val="it-CH"/>
        </w:rPr>
        <w:footnoteReference w:id="9"/>
      </w:r>
      <w:r w:rsidR="00B02D5D" w:rsidRPr="00E51727">
        <w:rPr>
          <w:lang w:val="it-CH"/>
        </w:rPr>
        <w:t>,</w:t>
      </w:r>
      <w:r w:rsidR="004D403D" w:rsidRPr="00E51727">
        <w:rPr>
          <w:lang w:val="it-CH"/>
        </w:rPr>
        <w:t xml:space="preserve"> </w:t>
      </w:r>
      <w:r w:rsidRPr="00E51727">
        <w:rPr>
          <w:lang w:val="it-CH"/>
        </w:rPr>
        <w:t xml:space="preserve">e diversi studi </w:t>
      </w:r>
      <w:r w:rsidR="004D403D" w:rsidRPr="00E51727">
        <w:rPr>
          <w:lang w:val="it-CH"/>
        </w:rPr>
        <w:t>hanno rilevato che</w:t>
      </w:r>
      <w:r w:rsidR="00E03ADE" w:rsidRPr="00E51727">
        <w:rPr>
          <w:lang w:val="it-CH"/>
        </w:rPr>
        <w:t xml:space="preserve"> in questi anni</w:t>
      </w:r>
      <w:r w:rsidR="001672BC" w:rsidRPr="00E51727">
        <w:rPr>
          <w:lang w:val="it-CH"/>
        </w:rPr>
        <w:t xml:space="preserve"> in Europa</w:t>
      </w:r>
      <w:r w:rsidR="004D403D" w:rsidRPr="00E51727">
        <w:rPr>
          <w:lang w:val="it-CH"/>
        </w:rPr>
        <w:t xml:space="preserve"> il tasso di crescita della produttività agricola stagna</w:t>
      </w:r>
      <w:r w:rsidR="003435FE" w:rsidRPr="00E51727">
        <w:rPr>
          <w:rStyle w:val="Funotenzeichen"/>
          <w:lang w:val="it-CH"/>
        </w:rPr>
        <w:footnoteReference w:id="10"/>
      </w:r>
      <w:r w:rsidR="004D403D" w:rsidRPr="00E51727">
        <w:rPr>
          <w:lang w:val="it-CH"/>
        </w:rPr>
        <w:t>.</w:t>
      </w:r>
    </w:p>
    <w:p w14:paraId="2D8F11EA" w14:textId="4CA463DC" w:rsidR="00456836" w:rsidRPr="00E51727" w:rsidRDefault="00D66ED5" w:rsidP="00D66ED5">
      <w:pPr>
        <w:rPr>
          <w:lang w:val="it-CH"/>
        </w:rPr>
      </w:pPr>
      <w:r w:rsidRPr="00E51727">
        <w:rPr>
          <w:lang w:val="it-CH"/>
        </w:rPr>
        <w:t xml:space="preserve">I risultati dell’analisi confermano che l’attuale estensione minima di SAC </w:t>
      </w:r>
      <w:r w:rsidR="001672BC" w:rsidRPr="00E51727">
        <w:rPr>
          <w:lang w:val="it-CH"/>
        </w:rPr>
        <w:t xml:space="preserve">riveste un’importanza fondamentale per </w:t>
      </w:r>
      <w:r w:rsidR="00F25856">
        <w:rPr>
          <w:lang w:val="it-CH"/>
        </w:rPr>
        <w:t xml:space="preserve">poter </w:t>
      </w:r>
      <w:r w:rsidR="001672BC" w:rsidRPr="00E51727">
        <w:rPr>
          <w:lang w:val="it-CH"/>
        </w:rPr>
        <w:t>garantire la sicurezza alimentare della</w:t>
      </w:r>
      <w:r w:rsidRPr="00E51727">
        <w:rPr>
          <w:lang w:val="it-CH"/>
        </w:rPr>
        <w:t xml:space="preserve"> Svizzera in caso di grave penuria</w:t>
      </w:r>
      <w:r w:rsidR="00456836" w:rsidRPr="00E51727">
        <w:rPr>
          <w:lang w:val="it-CH"/>
        </w:rPr>
        <w:t>.</w:t>
      </w:r>
    </w:p>
    <w:p w14:paraId="69E7044D" w14:textId="02823648" w:rsidR="00C264D9" w:rsidRPr="00E51727" w:rsidRDefault="003D52F7" w:rsidP="005D1CBC">
      <w:pPr>
        <w:pStyle w:val="berschrift2"/>
        <w:rPr>
          <w:lang w:val="it-CH"/>
        </w:rPr>
      </w:pPr>
      <w:bookmarkStart w:id="11" w:name="_Ref525282763"/>
      <w:bookmarkStart w:id="12" w:name="_Toc526428719"/>
      <w:bookmarkStart w:id="13" w:name="_Toc533053010"/>
      <w:r w:rsidRPr="00E51727">
        <w:rPr>
          <w:lang w:val="it-CH"/>
        </w:rPr>
        <w:t xml:space="preserve">Informazioni </w:t>
      </w:r>
      <w:r w:rsidR="00E03ADE" w:rsidRPr="00E51727">
        <w:rPr>
          <w:lang w:val="it-CH"/>
        </w:rPr>
        <w:t>insufficienti</w:t>
      </w:r>
      <w:r w:rsidR="00C11FE9" w:rsidRPr="00E51727">
        <w:rPr>
          <w:lang w:val="it-CH"/>
        </w:rPr>
        <w:t xml:space="preserve"> </w:t>
      </w:r>
      <w:r w:rsidR="008C5604">
        <w:rPr>
          <w:lang w:val="it-CH"/>
        </w:rPr>
        <w:t>sulle superfici</w:t>
      </w:r>
      <w:r w:rsidRPr="00E51727">
        <w:rPr>
          <w:lang w:val="it-CH"/>
        </w:rPr>
        <w:t xml:space="preserve">: </w:t>
      </w:r>
      <w:bookmarkEnd w:id="11"/>
      <w:bookmarkEnd w:id="12"/>
      <w:r w:rsidR="00856008" w:rsidRPr="00E51727">
        <w:rPr>
          <w:lang w:val="it-CH"/>
        </w:rPr>
        <w:t>due fasi della rielaborazione del Piano settoriale SAC</w:t>
      </w:r>
      <w:bookmarkEnd w:id="13"/>
    </w:p>
    <w:p w14:paraId="65FA88A8" w14:textId="22DD6149" w:rsidR="003D52F7" w:rsidRPr="00E51727" w:rsidRDefault="003D52F7" w:rsidP="003D52F7">
      <w:pPr>
        <w:rPr>
          <w:lang w:val="it-CH"/>
        </w:rPr>
      </w:pPr>
      <w:r w:rsidRPr="00E51727">
        <w:rPr>
          <w:lang w:val="it-CH"/>
        </w:rPr>
        <w:t xml:space="preserve">Alla base della </w:t>
      </w:r>
      <w:r w:rsidR="00A60D00" w:rsidRPr="00E51727">
        <w:rPr>
          <w:lang w:val="it-CH"/>
        </w:rPr>
        <w:t xml:space="preserve">definizione </w:t>
      </w:r>
      <w:r w:rsidRPr="00E51727">
        <w:rPr>
          <w:lang w:val="it-CH"/>
        </w:rPr>
        <w:t xml:space="preserve">delle SAC vi sono informazioni </w:t>
      </w:r>
      <w:r w:rsidR="0045372B" w:rsidRPr="00E51727">
        <w:rPr>
          <w:lang w:val="it-CH"/>
        </w:rPr>
        <w:t xml:space="preserve">relative </w:t>
      </w:r>
      <w:r w:rsidR="00237BCD">
        <w:rPr>
          <w:lang w:val="it-CH"/>
        </w:rPr>
        <w:t>alle superfici</w:t>
      </w:r>
      <w:r w:rsidR="0045372B" w:rsidRPr="00E51727">
        <w:rPr>
          <w:lang w:val="it-CH"/>
        </w:rPr>
        <w:t xml:space="preserve">, </w:t>
      </w:r>
      <w:r w:rsidR="00856008" w:rsidRPr="00E51727">
        <w:rPr>
          <w:lang w:val="it-CH"/>
        </w:rPr>
        <w:t>raccolte</w:t>
      </w:r>
      <w:r w:rsidRPr="00E51727">
        <w:rPr>
          <w:lang w:val="it-CH"/>
        </w:rPr>
        <w:t xml:space="preserve"> attraverso </w:t>
      </w:r>
      <w:r w:rsidR="0045372B" w:rsidRPr="00E51727">
        <w:rPr>
          <w:lang w:val="it-CH"/>
        </w:rPr>
        <w:t xml:space="preserve">la </w:t>
      </w:r>
      <w:r w:rsidR="008A6D1C">
        <w:rPr>
          <w:lang w:val="it-CH"/>
        </w:rPr>
        <w:t xml:space="preserve">loro </w:t>
      </w:r>
      <w:r w:rsidR="005952C4">
        <w:rPr>
          <w:lang w:val="it-CH"/>
        </w:rPr>
        <w:t>mappatura</w:t>
      </w:r>
      <w:r w:rsidR="0045372B" w:rsidRPr="00E51727">
        <w:rPr>
          <w:lang w:val="it-CH"/>
        </w:rPr>
        <w:t>, nonché</w:t>
      </w:r>
      <w:r w:rsidRPr="00E51727">
        <w:rPr>
          <w:lang w:val="it-CH"/>
        </w:rPr>
        <w:t xml:space="preserve"> criteri che definiscono </w:t>
      </w:r>
      <w:r w:rsidR="0045372B" w:rsidRPr="00E51727">
        <w:rPr>
          <w:lang w:val="it-CH"/>
        </w:rPr>
        <w:t>i requisiti qualitativi minimi</w:t>
      </w:r>
      <w:r w:rsidRPr="00E51727">
        <w:rPr>
          <w:lang w:val="it-CH"/>
        </w:rPr>
        <w:t xml:space="preserve"> </w:t>
      </w:r>
      <w:r w:rsidR="0045372B" w:rsidRPr="00E51727">
        <w:rPr>
          <w:lang w:val="it-CH"/>
        </w:rPr>
        <w:t>per le</w:t>
      </w:r>
      <w:r w:rsidRPr="00E51727">
        <w:rPr>
          <w:lang w:val="it-CH"/>
        </w:rPr>
        <w:t xml:space="preserve"> SAC. </w:t>
      </w:r>
    </w:p>
    <w:p w14:paraId="443A9AFE" w14:textId="45D4E317" w:rsidR="008325AB" w:rsidRPr="00E51727" w:rsidRDefault="003D52F7" w:rsidP="003D52F7">
      <w:pPr>
        <w:rPr>
          <w:lang w:val="it-CH"/>
        </w:rPr>
      </w:pPr>
      <w:r w:rsidRPr="00E51727">
        <w:rPr>
          <w:rFonts w:eastAsia="Arial"/>
          <w:lang w:val="it-CH"/>
        </w:rPr>
        <w:t xml:space="preserve">Il testo </w:t>
      </w:r>
      <w:r w:rsidR="001D4EDF" w:rsidRPr="00E51727">
        <w:rPr>
          <w:rFonts w:eastAsia="Arial"/>
          <w:lang w:val="it-CH"/>
        </w:rPr>
        <w:t>del</w:t>
      </w:r>
      <w:r w:rsidRPr="00E51727">
        <w:rPr>
          <w:rFonts w:eastAsia="Arial"/>
          <w:lang w:val="it-CH"/>
        </w:rPr>
        <w:t xml:space="preserve">l’aiuto all’esecuzione </w:t>
      </w:r>
      <w:r w:rsidR="001D4EDF" w:rsidRPr="00E51727">
        <w:rPr>
          <w:rFonts w:eastAsia="Arial"/>
          <w:lang w:val="it-CH"/>
        </w:rPr>
        <w:t>pubblicato nel 1983 dagli Uffici federali per la pianificazione del territorio e per l’agricoltura</w:t>
      </w:r>
      <w:r w:rsidRPr="00E51727">
        <w:rPr>
          <w:rStyle w:val="Funotenzeichen"/>
          <w:rFonts w:eastAsia="Arial"/>
          <w:lang w:val="it-CH"/>
        </w:rPr>
        <w:footnoteReference w:id="11"/>
      </w:r>
      <w:r w:rsidRPr="00E51727">
        <w:rPr>
          <w:rFonts w:eastAsia="Arial"/>
          <w:lang w:val="it-CH"/>
        </w:rPr>
        <w:t xml:space="preserve"> </w:t>
      </w:r>
      <w:r w:rsidR="001D4EDF" w:rsidRPr="00E51727">
        <w:rPr>
          <w:rFonts w:eastAsia="Arial"/>
          <w:lang w:val="it-CH"/>
        </w:rPr>
        <w:t>nonché</w:t>
      </w:r>
      <w:r w:rsidRPr="00E51727">
        <w:rPr>
          <w:rFonts w:eastAsia="Arial"/>
          <w:lang w:val="it-CH"/>
        </w:rPr>
        <w:t xml:space="preserve"> l’ordinanza sulla pianificazione </w:t>
      </w:r>
      <w:r w:rsidR="001D4EDF" w:rsidRPr="00E51727">
        <w:rPr>
          <w:rFonts w:eastAsia="Arial"/>
          <w:lang w:val="it-CH"/>
        </w:rPr>
        <w:t>del territorio</w:t>
      </w:r>
      <w:r w:rsidRPr="00E51727">
        <w:rPr>
          <w:rFonts w:eastAsia="Arial"/>
          <w:lang w:val="it-CH"/>
        </w:rPr>
        <w:t xml:space="preserve"> e il Rapporto esplicativo dell’ARE del luglio del 1986</w:t>
      </w:r>
      <w:r w:rsidRPr="00E51727">
        <w:rPr>
          <w:rStyle w:val="Funotenzeichen"/>
          <w:rFonts w:eastAsia="Arial"/>
          <w:lang w:val="it-CH"/>
        </w:rPr>
        <w:footnoteReference w:id="12"/>
      </w:r>
      <w:r w:rsidRPr="00E51727">
        <w:rPr>
          <w:rFonts w:eastAsia="Arial"/>
          <w:lang w:val="it-CH"/>
        </w:rPr>
        <w:t xml:space="preserve"> lasciavano ai Cantoni </w:t>
      </w:r>
      <w:r w:rsidR="001D4EDF" w:rsidRPr="00E51727">
        <w:rPr>
          <w:rFonts w:eastAsia="Arial"/>
          <w:lang w:val="it-CH"/>
        </w:rPr>
        <w:t xml:space="preserve">un </w:t>
      </w:r>
      <w:r w:rsidRPr="00E51727">
        <w:rPr>
          <w:rFonts w:eastAsia="Arial"/>
          <w:lang w:val="it-CH"/>
        </w:rPr>
        <w:t xml:space="preserve">ampio </w:t>
      </w:r>
      <w:r w:rsidR="001D4EDF" w:rsidRPr="00E51727">
        <w:rPr>
          <w:rFonts w:eastAsia="Arial"/>
          <w:lang w:val="it-CH"/>
        </w:rPr>
        <w:t>margine</w:t>
      </w:r>
      <w:r w:rsidRPr="00E51727">
        <w:rPr>
          <w:rFonts w:eastAsia="Arial"/>
          <w:lang w:val="it-CH"/>
        </w:rPr>
        <w:t xml:space="preserve"> di manovra in ambito di rilevamenti delle </w:t>
      </w:r>
      <w:r w:rsidR="00C11FE9" w:rsidRPr="00E51727">
        <w:rPr>
          <w:rFonts w:eastAsia="Arial"/>
          <w:lang w:val="it-CH"/>
        </w:rPr>
        <w:t xml:space="preserve">loro </w:t>
      </w:r>
      <w:r w:rsidRPr="00E51727">
        <w:rPr>
          <w:rFonts w:eastAsia="Arial"/>
          <w:lang w:val="it-CH"/>
        </w:rPr>
        <w:t>SAC.</w:t>
      </w:r>
      <w:r w:rsidR="002714C9" w:rsidRPr="00E51727">
        <w:rPr>
          <w:rFonts w:eastAsia="Arial"/>
          <w:lang w:val="it-CH"/>
        </w:rPr>
        <w:t xml:space="preserve"> I metodi per cartografare le SAC e i criteri da rispettare per </w:t>
      </w:r>
      <w:r w:rsidR="00C11FE9" w:rsidRPr="00E51727">
        <w:rPr>
          <w:rFonts w:eastAsia="Arial"/>
          <w:lang w:val="it-CH"/>
        </w:rPr>
        <w:t xml:space="preserve">la delimitazione delle </w:t>
      </w:r>
      <w:r w:rsidR="002714C9" w:rsidRPr="00E51727">
        <w:rPr>
          <w:rFonts w:eastAsia="Arial"/>
          <w:lang w:val="it-CH"/>
        </w:rPr>
        <w:t xml:space="preserve">SAC variavano perciò </w:t>
      </w:r>
      <w:r w:rsidR="00C11FE9" w:rsidRPr="00E51727">
        <w:rPr>
          <w:rFonts w:eastAsia="Arial"/>
          <w:lang w:val="it-CH"/>
        </w:rPr>
        <w:t>d</w:t>
      </w:r>
      <w:r w:rsidR="002714C9" w:rsidRPr="00E51727">
        <w:rPr>
          <w:rFonts w:eastAsia="Arial"/>
          <w:lang w:val="it-CH"/>
        </w:rPr>
        <w:t>a Cantone a Cantone</w:t>
      </w:r>
      <w:r w:rsidRPr="00E51727">
        <w:rPr>
          <w:rFonts w:eastAsiaTheme="minorEastAsia"/>
          <w:lang w:val="it-CH"/>
        </w:rPr>
        <w:t xml:space="preserve">. </w:t>
      </w:r>
      <w:r w:rsidRPr="00E51727">
        <w:rPr>
          <w:lang w:val="it-CH"/>
        </w:rPr>
        <w:t xml:space="preserve">Da allora i metodi </w:t>
      </w:r>
      <w:r w:rsidR="00653F22" w:rsidRPr="00E51727">
        <w:rPr>
          <w:lang w:val="it-CH"/>
        </w:rPr>
        <w:t xml:space="preserve">per la </w:t>
      </w:r>
      <w:r w:rsidR="005952C4">
        <w:rPr>
          <w:lang w:val="it-CH"/>
        </w:rPr>
        <w:t>mappatura</w:t>
      </w:r>
      <w:r w:rsidR="00653F22" w:rsidRPr="00E51727">
        <w:rPr>
          <w:lang w:val="it-CH"/>
        </w:rPr>
        <w:t xml:space="preserve"> </w:t>
      </w:r>
      <w:r w:rsidR="00237BCD">
        <w:rPr>
          <w:lang w:val="it-CH"/>
        </w:rPr>
        <w:t>delle superfici</w:t>
      </w:r>
      <w:r w:rsidR="00653F22" w:rsidRPr="00E51727">
        <w:rPr>
          <w:lang w:val="it-CH"/>
        </w:rPr>
        <w:t xml:space="preserve"> si sono evoluti e </w:t>
      </w:r>
      <w:r w:rsidRPr="00E51727">
        <w:rPr>
          <w:lang w:val="it-CH"/>
        </w:rPr>
        <w:t>i criteri per la delimitazione delle SAC</w:t>
      </w:r>
      <w:r w:rsidR="00653F22" w:rsidRPr="00E51727">
        <w:rPr>
          <w:lang w:val="it-CH"/>
        </w:rPr>
        <w:t xml:space="preserve"> sono stati precisati</w:t>
      </w:r>
      <w:r w:rsidR="003435FE" w:rsidRPr="00E51727">
        <w:rPr>
          <w:rStyle w:val="Funotenzeichen"/>
          <w:lang w:val="it-CH"/>
        </w:rPr>
        <w:footnoteReference w:id="13"/>
      </w:r>
      <w:r w:rsidRPr="00E51727">
        <w:rPr>
          <w:lang w:val="it-CH"/>
        </w:rPr>
        <w:t>. L</w:t>
      </w:r>
      <w:r w:rsidR="00653F22" w:rsidRPr="00E51727">
        <w:rPr>
          <w:lang w:val="it-CH"/>
        </w:rPr>
        <w:t xml:space="preserve">’attuale </w:t>
      </w:r>
      <w:r w:rsidRPr="00E51727">
        <w:rPr>
          <w:lang w:val="it-CH"/>
        </w:rPr>
        <w:t>situazione dei dati relativi a</w:t>
      </w:r>
      <w:r w:rsidR="00237BCD">
        <w:rPr>
          <w:lang w:val="it-CH"/>
        </w:rPr>
        <w:t>lle superfici</w:t>
      </w:r>
      <w:r w:rsidRPr="00E51727">
        <w:rPr>
          <w:lang w:val="it-CH"/>
        </w:rPr>
        <w:t xml:space="preserve"> in Svizzera</w:t>
      </w:r>
      <w:r w:rsidR="00653F22" w:rsidRPr="00E51727">
        <w:rPr>
          <w:lang w:val="it-CH"/>
        </w:rPr>
        <w:t xml:space="preserve">, tuttavia, rimane </w:t>
      </w:r>
      <w:r w:rsidRPr="00E51727">
        <w:rPr>
          <w:lang w:val="it-CH"/>
        </w:rPr>
        <w:t xml:space="preserve">disomogenea. I dati disponibili </w:t>
      </w:r>
      <w:r w:rsidR="00AD0994" w:rsidRPr="00E51727">
        <w:rPr>
          <w:lang w:val="it-CH"/>
        </w:rPr>
        <w:t>si presentano in forme diverse e, qualitativamente, sono piuttosto eterogenei</w:t>
      </w:r>
      <w:r w:rsidRPr="00E51727">
        <w:rPr>
          <w:lang w:val="it-CH"/>
        </w:rPr>
        <w:t xml:space="preserve">. </w:t>
      </w:r>
      <w:r w:rsidR="00AD0994" w:rsidRPr="00E51727">
        <w:rPr>
          <w:lang w:val="it-CH"/>
        </w:rPr>
        <w:t xml:space="preserve">Non sono inoltre disponibili, per tutta la Svizzera, carte complete e aggiornate </w:t>
      </w:r>
      <w:r w:rsidR="00237BCD">
        <w:rPr>
          <w:lang w:val="it-CH"/>
        </w:rPr>
        <w:t>delle superfici</w:t>
      </w:r>
      <w:r w:rsidR="00AD0994" w:rsidRPr="00E51727">
        <w:rPr>
          <w:lang w:val="it-CH"/>
        </w:rPr>
        <w:t xml:space="preserve"> in scala necessaria a fornire una base per la determinazione e la verifica </w:t>
      </w:r>
      <w:r w:rsidR="00F328BA">
        <w:rPr>
          <w:lang w:val="it-CH"/>
        </w:rPr>
        <w:t xml:space="preserve">degli inventari </w:t>
      </w:r>
      <w:r w:rsidR="00AD0994" w:rsidRPr="00E51727">
        <w:rPr>
          <w:lang w:val="it-CH"/>
        </w:rPr>
        <w:t>SAC</w:t>
      </w:r>
      <w:r w:rsidRPr="00E51727">
        <w:rPr>
          <w:lang w:val="it-CH"/>
        </w:rPr>
        <w:t xml:space="preserve">. Ad oggi sono state prodotte carte dettagliate </w:t>
      </w:r>
      <w:r w:rsidR="008C5604">
        <w:rPr>
          <w:lang w:val="it-CH"/>
        </w:rPr>
        <w:t>delle superfici</w:t>
      </w:r>
      <w:r w:rsidRPr="00E51727">
        <w:rPr>
          <w:lang w:val="it-CH"/>
        </w:rPr>
        <w:t xml:space="preserve"> per meno di un terzo </w:t>
      </w:r>
      <w:r w:rsidR="00237BCD">
        <w:rPr>
          <w:lang w:val="it-CH"/>
        </w:rPr>
        <w:t>dei terreni</w:t>
      </w:r>
      <w:r w:rsidRPr="00E51727">
        <w:rPr>
          <w:lang w:val="it-CH"/>
        </w:rPr>
        <w:t xml:space="preserve"> utilizzat</w:t>
      </w:r>
      <w:r w:rsidR="00237BCD">
        <w:rPr>
          <w:lang w:val="it-CH"/>
        </w:rPr>
        <w:t>i</w:t>
      </w:r>
      <w:r w:rsidRPr="00E51727">
        <w:rPr>
          <w:lang w:val="it-CH"/>
        </w:rPr>
        <w:t xml:space="preserve"> a scop</w:t>
      </w:r>
      <w:r w:rsidR="00C417EE" w:rsidRPr="00E51727">
        <w:rPr>
          <w:lang w:val="it-CH"/>
        </w:rPr>
        <w:t>o</w:t>
      </w:r>
      <w:r w:rsidRPr="00E51727">
        <w:rPr>
          <w:lang w:val="it-CH"/>
        </w:rPr>
        <w:t xml:space="preserve"> agricol</w:t>
      </w:r>
      <w:r w:rsidR="00C417EE" w:rsidRPr="00E51727">
        <w:rPr>
          <w:lang w:val="it-CH"/>
        </w:rPr>
        <w:t>o</w:t>
      </w:r>
      <w:r w:rsidR="003435FE" w:rsidRPr="00E51727">
        <w:rPr>
          <w:rStyle w:val="Funotenzeichen"/>
          <w:lang w:val="it-CH"/>
        </w:rPr>
        <w:footnoteReference w:id="14"/>
      </w:r>
      <w:r w:rsidRPr="00E51727">
        <w:rPr>
          <w:lang w:val="it-CH"/>
        </w:rPr>
        <w:t xml:space="preserve">. </w:t>
      </w:r>
      <w:r w:rsidR="002714C9" w:rsidRPr="00E51727">
        <w:rPr>
          <w:lang w:val="it-CH"/>
        </w:rPr>
        <w:t xml:space="preserve">Tutto questo e il fatto che </w:t>
      </w:r>
      <w:r w:rsidR="002714C9" w:rsidRPr="00E51727">
        <w:rPr>
          <w:rFonts w:eastAsiaTheme="minorEastAsia"/>
          <w:lang w:val="it-CH"/>
        </w:rPr>
        <w:t>la qualità de</w:t>
      </w:r>
      <w:r w:rsidR="00237BCD">
        <w:rPr>
          <w:rFonts w:eastAsiaTheme="minorEastAsia"/>
          <w:lang w:val="it-CH"/>
        </w:rPr>
        <w:t>lle superfici</w:t>
      </w:r>
      <w:r w:rsidR="002714C9" w:rsidRPr="00E51727">
        <w:rPr>
          <w:rFonts w:eastAsiaTheme="minorEastAsia"/>
          <w:lang w:val="it-CH"/>
        </w:rPr>
        <w:t xml:space="preserve"> migliori differisce notevolmente </w:t>
      </w:r>
      <w:r w:rsidR="00B719C1" w:rsidRPr="00E51727">
        <w:rPr>
          <w:rFonts w:eastAsiaTheme="minorEastAsia"/>
          <w:lang w:val="it-CH"/>
        </w:rPr>
        <w:t>a seconda del Cantone</w:t>
      </w:r>
      <w:r w:rsidR="002714C9" w:rsidRPr="00E51727">
        <w:rPr>
          <w:rFonts w:eastAsiaTheme="minorEastAsia"/>
          <w:lang w:val="it-CH"/>
        </w:rPr>
        <w:t xml:space="preserve"> </w:t>
      </w:r>
      <w:r w:rsidR="00B719C1" w:rsidRPr="00E51727">
        <w:rPr>
          <w:rFonts w:eastAsiaTheme="minorEastAsia"/>
          <w:lang w:val="it-CH"/>
        </w:rPr>
        <w:t>(a causa delle condizioni naturali e della situazione geog</w:t>
      </w:r>
      <w:r w:rsidR="00D17D42" w:rsidRPr="00E51727">
        <w:rPr>
          <w:rFonts w:eastAsiaTheme="minorEastAsia"/>
          <w:lang w:val="it-CH"/>
        </w:rPr>
        <w:t>r</w:t>
      </w:r>
      <w:r w:rsidR="00B719C1" w:rsidRPr="00E51727">
        <w:rPr>
          <w:rFonts w:eastAsiaTheme="minorEastAsia"/>
          <w:lang w:val="it-CH"/>
        </w:rPr>
        <w:t>afica</w:t>
      </w:r>
      <w:r w:rsidR="002714C9" w:rsidRPr="00E51727">
        <w:rPr>
          <w:lang w:val="it-CH"/>
        </w:rPr>
        <w:t xml:space="preserve">) </w:t>
      </w:r>
      <w:r w:rsidR="00B719C1" w:rsidRPr="00E51727">
        <w:rPr>
          <w:lang w:val="it-CH"/>
        </w:rPr>
        <w:t>sono all’origine dell’eterogeneità delle superfici definite come SAC su scala nazionale</w:t>
      </w:r>
      <w:r w:rsidR="003435FE" w:rsidRPr="00E51727">
        <w:rPr>
          <w:rStyle w:val="Funotenzeichen"/>
          <w:rFonts w:eastAsiaTheme="minorEastAsia"/>
          <w:lang w:val="it-CH"/>
        </w:rPr>
        <w:footnoteReference w:id="15"/>
      </w:r>
      <w:r w:rsidR="00C22AA3" w:rsidRPr="00E51727">
        <w:rPr>
          <w:rFonts w:eastAsiaTheme="minorEastAsia"/>
          <w:lang w:val="it-CH"/>
        </w:rPr>
        <w:t>.</w:t>
      </w:r>
      <w:r w:rsidR="008325AB" w:rsidRPr="00E51727">
        <w:rPr>
          <w:lang w:val="it-CH"/>
        </w:rPr>
        <w:t xml:space="preserve"> </w:t>
      </w:r>
    </w:p>
    <w:p w14:paraId="2EBD970C" w14:textId="57096122" w:rsidR="00064E3E" w:rsidRPr="00E51727" w:rsidRDefault="00B719C1" w:rsidP="004E624C">
      <w:pPr>
        <w:rPr>
          <w:lang w:val="it-CH"/>
        </w:rPr>
      </w:pPr>
      <w:r w:rsidRPr="00E51727">
        <w:rPr>
          <w:lang w:val="it-CH"/>
        </w:rPr>
        <w:t xml:space="preserve">Affinché si possa lavorare alla creazione di una base di dati </w:t>
      </w:r>
      <w:r w:rsidR="003D52F7" w:rsidRPr="00E51727">
        <w:rPr>
          <w:lang w:val="it-CH"/>
        </w:rPr>
        <w:t>affidabile e omogene</w:t>
      </w:r>
      <w:r w:rsidRPr="00E51727">
        <w:rPr>
          <w:lang w:val="it-CH"/>
        </w:rPr>
        <w:t>a</w:t>
      </w:r>
      <w:r w:rsidR="003D52F7" w:rsidRPr="00E51727">
        <w:rPr>
          <w:lang w:val="it-CH"/>
        </w:rPr>
        <w:t xml:space="preserve">, nel presente </w:t>
      </w:r>
      <w:r w:rsidRPr="00E51727">
        <w:rPr>
          <w:lang w:val="it-CH"/>
        </w:rPr>
        <w:t>p</w:t>
      </w:r>
      <w:r w:rsidR="003D52F7" w:rsidRPr="00E51727">
        <w:rPr>
          <w:lang w:val="it-CH"/>
        </w:rPr>
        <w:t xml:space="preserve">iano settoriale vengono definiti i criteri per la delimitazione delle SAC </w:t>
      </w:r>
      <w:r w:rsidR="00D47D5D" w:rsidRPr="00E51727">
        <w:rPr>
          <w:lang w:val="it-CH"/>
        </w:rPr>
        <w:t>(</w:t>
      </w:r>
      <w:r w:rsidRPr="00E51727">
        <w:rPr>
          <w:lang w:val="it-CH"/>
        </w:rPr>
        <w:t>cfr</w:t>
      </w:r>
      <w:r w:rsidR="00D47D5D" w:rsidRPr="00E51727">
        <w:rPr>
          <w:lang w:val="it-CH"/>
        </w:rPr>
        <w:t xml:space="preserve">. </w:t>
      </w:r>
      <w:r w:rsidR="00D47D5D" w:rsidRPr="00E51727">
        <w:rPr>
          <w:lang w:val="it-CH"/>
        </w:rPr>
        <w:fldChar w:fldCharType="begin"/>
      </w:r>
      <w:r w:rsidR="00D47D5D" w:rsidRPr="00E51727">
        <w:rPr>
          <w:lang w:val="it-CH"/>
        </w:rPr>
        <w:instrText xml:space="preserve"> REF _Ref520123456 \r \h  \* MERGEFORMAT </w:instrText>
      </w:r>
      <w:r w:rsidR="00D47D5D" w:rsidRPr="00E51727">
        <w:rPr>
          <w:lang w:val="it-CH"/>
        </w:rPr>
      </w:r>
      <w:r w:rsidR="00D47D5D" w:rsidRPr="00E51727">
        <w:rPr>
          <w:lang w:val="it-CH"/>
        </w:rPr>
        <w:fldChar w:fldCharType="separate"/>
      </w:r>
      <w:r w:rsidR="00BD32B4">
        <w:rPr>
          <w:lang w:val="it-CH"/>
        </w:rPr>
        <w:t>P6</w:t>
      </w:r>
      <w:r w:rsidR="00D47D5D" w:rsidRPr="00E51727">
        <w:rPr>
          <w:lang w:val="it-CH"/>
        </w:rPr>
        <w:fldChar w:fldCharType="end"/>
      </w:r>
      <w:r w:rsidR="00D47D5D" w:rsidRPr="00E51727">
        <w:rPr>
          <w:lang w:val="it-CH"/>
        </w:rPr>
        <w:t xml:space="preserve">) </w:t>
      </w:r>
      <w:r w:rsidR="003D52F7" w:rsidRPr="00E51727">
        <w:rPr>
          <w:lang w:val="it-CH"/>
        </w:rPr>
        <w:t xml:space="preserve">e viene stabilito uno standard minimo per </w:t>
      </w:r>
      <w:r w:rsidR="00D17D42" w:rsidRPr="00E51727">
        <w:rPr>
          <w:lang w:val="it-CH"/>
        </w:rPr>
        <w:t xml:space="preserve">la </w:t>
      </w:r>
      <w:r w:rsidR="005952C4">
        <w:rPr>
          <w:lang w:val="it-CH"/>
        </w:rPr>
        <w:t>mappatura</w:t>
      </w:r>
      <w:r w:rsidR="003D52F7" w:rsidRPr="00E51727">
        <w:rPr>
          <w:lang w:val="it-CH"/>
        </w:rPr>
        <w:t xml:space="preserve"> </w:t>
      </w:r>
      <w:r w:rsidR="00D47D5D" w:rsidRPr="00E51727">
        <w:rPr>
          <w:lang w:val="it-CH"/>
        </w:rPr>
        <w:t>(</w:t>
      </w:r>
      <w:r w:rsidR="00D17D42" w:rsidRPr="00E51727">
        <w:rPr>
          <w:lang w:val="it-CH"/>
        </w:rPr>
        <w:t>cfr.</w:t>
      </w:r>
      <w:r w:rsidR="00D47D5D" w:rsidRPr="00E51727">
        <w:rPr>
          <w:lang w:val="it-CH"/>
        </w:rPr>
        <w:t xml:space="preserve"> </w:t>
      </w:r>
      <w:r w:rsidR="00D47D5D" w:rsidRPr="00E51727">
        <w:rPr>
          <w:lang w:val="it-CH"/>
        </w:rPr>
        <w:fldChar w:fldCharType="begin"/>
      </w:r>
      <w:r w:rsidR="00D47D5D" w:rsidRPr="00E51727">
        <w:rPr>
          <w:lang w:val="it-CH"/>
        </w:rPr>
        <w:instrText xml:space="preserve"> REF _Ref525658814 \r \h </w:instrText>
      </w:r>
      <w:r w:rsidR="004E624C" w:rsidRPr="00E51727">
        <w:rPr>
          <w:lang w:val="it-CH"/>
        </w:rPr>
        <w:instrText xml:space="preserve"> \* MERGEFORMAT </w:instrText>
      </w:r>
      <w:r w:rsidR="00D47D5D" w:rsidRPr="00E51727">
        <w:rPr>
          <w:lang w:val="it-CH"/>
        </w:rPr>
      </w:r>
      <w:r w:rsidR="00D47D5D" w:rsidRPr="00E51727">
        <w:rPr>
          <w:lang w:val="it-CH"/>
        </w:rPr>
        <w:fldChar w:fldCharType="separate"/>
      </w:r>
      <w:r w:rsidR="00BD32B4">
        <w:rPr>
          <w:lang w:val="it-CH"/>
        </w:rPr>
        <w:t>P5</w:t>
      </w:r>
      <w:r w:rsidR="00D47D5D" w:rsidRPr="00E51727">
        <w:rPr>
          <w:lang w:val="it-CH"/>
        </w:rPr>
        <w:fldChar w:fldCharType="end"/>
      </w:r>
      <w:r w:rsidR="00D47D5D" w:rsidRPr="00E51727">
        <w:rPr>
          <w:lang w:val="it-CH"/>
        </w:rPr>
        <w:t>).</w:t>
      </w:r>
      <w:r w:rsidR="001A33B7" w:rsidRPr="00E51727">
        <w:rPr>
          <w:lang w:val="it-CH"/>
        </w:rPr>
        <w:t xml:space="preserve"> </w:t>
      </w:r>
    </w:p>
    <w:p w14:paraId="509FC269" w14:textId="0DBAF821" w:rsidR="00C034FA" w:rsidRPr="00E51727" w:rsidRDefault="00D17D42" w:rsidP="00C034FA">
      <w:pPr>
        <w:rPr>
          <w:lang w:val="it-CH"/>
        </w:rPr>
      </w:pPr>
      <w:r w:rsidRPr="00E51727">
        <w:rPr>
          <w:lang w:val="it-CH"/>
        </w:rPr>
        <w:lastRenderedPageBreak/>
        <w:t xml:space="preserve">Ad esprimere </w:t>
      </w:r>
      <w:r w:rsidR="00AC4C50">
        <w:rPr>
          <w:lang w:val="it-CH"/>
        </w:rPr>
        <w:t>l’auspicio</w:t>
      </w:r>
      <w:r w:rsidRPr="00E51727">
        <w:rPr>
          <w:lang w:val="it-CH"/>
        </w:rPr>
        <w:t xml:space="preserve"> di una maggiore flessibilità in ambito di attuazione del piano settoriale sono s</w:t>
      </w:r>
      <w:r w:rsidR="003D52F7" w:rsidRPr="00E51727">
        <w:rPr>
          <w:lang w:val="it-CH"/>
        </w:rPr>
        <w:t>oprattutto i Cantoni con un elevato fabbisogno di superfici</w:t>
      </w:r>
      <w:r w:rsidR="00F328BA">
        <w:rPr>
          <w:lang w:val="it-CH"/>
        </w:rPr>
        <w:t xml:space="preserve"> in relazione a insediamenti e infrastrutture</w:t>
      </w:r>
      <w:r w:rsidR="003D52F7" w:rsidRPr="00E51727">
        <w:rPr>
          <w:lang w:val="it-CH"/>
        </w:rPr>
        <w:t xml:space="preserve">. Le </w:t>
      </w:r>
      <w:r w:rsidR="00350536" w:rsidRPr="00E51727">
        <w:rPr>
          <w:lang w:val="it-CH"/>
        </w:rPr>
        <w:t xml:space="preserve">precedenti considerazioni </w:t>
      </w:r>
      <w:r w:rsidR="008A6D1C">
        <w:rPr>
          <w:lang w:val="it-CH"/>
        </w:rPr>
        <w:t>riguardanti la</w:t>
      </w:r>
      <w:r w:rsidR="00350536" w:rsidRPr="00E51727">
        <w:rPr>
          <w:lang w:val="it-CH"/>
        </w:rPr>
        <w:t xml:space="preserve"> </w:t>
      </w:r>
      <w:r w:rsidR="003D52F7" w:rsidRPr="00E51727">
        <w:rPr>
          <w:lang w:val="it-CH"/>
        </w:rPr>
        <w:t xml:space="preserve">penuria di informazioni </w:t>
      </w:r>
      <w:r w:rsidR="00237BCD">
        <w:rPr>
          <w:lang w:val="it-CH"/>
        </w:rPr>
        <w:t>sul</w:t>
      </w:r>
      <w:r w:rsidR="009E08F1">
        <w:rPr>
          <w:lang w:val="it-CH"/>
        </w:rPr>
        <w:t xml:space="preserve"> suolo</w:t>
      </w:r>
      <w:r w:rsidR="003D52F7" w:rsidRPr="00E51727">
        <w:rPr>
          <w:lang w:val="it-CH"/>
        </w:rPr>
        <w:t xml:space="preserve"> lasciano</w:t>
      </w:r>
      <w:r w:rsidR="00350536" w:rsidRPr="00E51727">
        <w:rPr>
          <w:lang w:val="it-CH"/>
        </w:rPr>
        <w:t xml:space="preserve"> tuttavia</w:t>
      </w:r>
      <w:r w:rsidR="003D52F7" w:rsidRPr="00E51727">
        <w:rPr>
          <w:lang w:val="it-CH"/>
        </w:rPr>
        <w:t xml:space="preserve"> supporre che </w:t>
      </w:r>
      <w:r w:rsidR="00350536" w:rsidRPr="00E51727">
        <w:rPr>
          <w:lang w:val="it-CH"/>
        </w:rPr>
        <w:t xml:space="preserve">maggiori possibilità di </w:t>
      </w:r>
      <w:proofErr w:type="spellStart"/>
      <w:r w:rsidR="00350536" w:rsidRPr="00E51727">
        <w:rPr>
          <w:lang w:val="it-CH"/>
        </w:rPr>
        <w:t>flessibilizzazione</w:t>
      </w:r>
      <w:proofErr w:type="spellEnd"/>
      <w:r w:rsidR="00350536" w:rsidRPr="00E51727">
        <w:rPr>
          <w:lang w:val="it-CH"/>
        </w:rPr>
        <w:t xml:space="preserve"> del piano settoriale si </w:t>
      </w:r>
      <w:r w:rsidR="003D52F7" w:rsidRPr="00E51727">
        <w:rPr>
          <w:lang w:val="it-CH"/>
        </w:rPr>
        <w:t>concretizz</w:t>
      </w:r>
      <w:r w:rsidR="00350536" w:rsidRPr="00E51727">
        <w:rPr>
          <w:lang w:val="it-CH"/>
        </w:rPr>
        <w:t>erebbero</w:t>
      </w:r>
      <w:r w:rsidR="003D52F7" w:rsidRPr="00E51727">
        <w:rPr>
          <w:lang w:val="it-CH"/>
        </w:rPr>
        <w:t xml:space="preserve"> solo sulla base di informazioni affidabili</w:t>
      </w:r>
      <w:r w:rsidR="008A6D1C">
        <w:rPr>
          <w:lang w:val="it-CH"/>
        </w:rPr>
        <w:t xml:space="preserve"> –</w:t>
      </w:r>
      <w:r w:rsidR="00D516FE" w:rsidRPr="00E51727">
        <w:rPr>
          <w:lang w:val="it-CH"/>
        </w:rPr>
        <w:t xml:space="preserve"> ottenibili attraverso una</w:t>
      </w:r>
      <w:r w:rsidR="003D52F7" w:rsidRPr="00E51727">
        <w:rPr>
          <w:lang w:val="it-CH"/>
        </w:rPr>
        <w:t xml:space="preserve"> </w:t>
      </w:r>
      <w:r w:rsidR="005952C4">
        <w:rPr>
          <w:lang w:val="it-CH"/>
        </w:rPr>
        <w:t>mappatura</w:t>
      </w:r>
      <w:r w:rsidR="00D516FE" w:rsidRPr="00E51727">
        <w:rPr>
          <w:lang w:val="it-CH"/>
        </w:rPr>
        <w:t xml:space="preserve"> del suolo</w:t>
      </w:r>
      <w:r w:rsidR="008A6D1C">
        <w:rPr>
          <w:lang w:val="it-CH"/>
        </w:rPr>
        <w:t xml:space="preserve"> –</w:t>
      </w:r>
      <w:r w:rsidR="00D516FE" w:rsidRPr="00E51727">
        <w:rPr>
          <w:lang w:val="it-CH"/>
        </w:rPr>
        <w:t xml:space="preserve"> </w:t>
      </w:r>
      <w:r w:rsidR="008A6D1C">
        <w:rPr>
          <w:lang w:val="it-CH"/>
        </w:rPr>
        <w:t xml:space="preserve">relative </w:t>
      </w:r>
      <w:r w:rsidR="003D52F7" w:rsidRPr="00E51727">
        <w:rPr>
          <w:lang w:val="it-CH"/>
        </w:rPr>
        <w:t>alla qualità de</w:t>
      </w:r>
      <w:r w:rsidR="00237BCD">
        <w:rPr>
          <w:lang w:val="it-CH"/>
        </w:rPr>
        <w:t>lle superfici</w:t>
      </w:r>
      <w:r w:rsidR="00D516FE" w:rsidRPr="00E51727">
        <w:rPr>
          <w:lang w:val="it-CH"/>
        </w:rPr>
        <w:t xml:space="preserve">. </w:t>
      </w:r>
      <w:r w:rsidR="004E6EA9">
        <w:rPr>
          <w:lang w:val="it-CH"/>
        </w:rPr>
        <w:t>In caso contrario</w:t>
      </w:r>
      <w:r w:rsidR="00D516FE" w:rsidRPr="00E51727">
        <w:rPr>
          <w:lang w:val="it-CH"/>
        </w:rPr>
        <w:t>,</w:t>
      </w:r>
      <w:r w:rsidR="003D52F7" w:rsidRPr="00E51727">
        <w:rPr>
          <w:lang w:val="it-CH"/>
        </w:rPr>
        <w:t xml:space="preserve"> </w:t>
      </w:r>
      <w:r w:rsidR="00D516FE" w:rsidRPr="00E51727">
        <w:rPr>
          <w:lang w:val="it-CH"/>
        </w:rPr>
        <w:t xml:space="preserve">il rischio che </w:t>
      </w:r>
      <w:r w:rsidR="00C11FE9" w:rsidRPr="00E51727">
        <w:rPr>
          <w:lang w:val="it-CH"/>
        </w:rPr>
        <w:t>l’estensione</w:t>
      </w:r>
      <w:r w:rsidR="00D516FE" w:rsidRPr="00E51727">
        <w:rPr>
          <w:lang w:val="it-CH"/>
        </w:rPr>
        <w:t xml:space="preserve"> e in particolare la qualità </w:t>
      </w:r>
      <w:r w:rsidR="00F328BA">
        <w:rPr>
          <w:lang w:val="it-CH"/>
        </w:rPr>
        <w:t>degli inventari</w:t>
      </w:r>
      <w:r w:rsidR="00D516FE" w:rsidRPr="00E51727">
        <w:rPr>
          <w:lang w:val="it-CH"/>
        </w:rPr>
        <w:t xml:space="preserve"> SAC diminuiscano</w:t>
      </w:r>
      <w:r w:rsidR="004324AB" w:rsidRPr="00E51727">
        <w:rPr>
          <w:lang w:val="it-CH"/>
        </w:rPr>
        <w:t xml:space="preserve"> è troppo grande</w:t>
      </w:r>
      <w:r w:rsidR="003D52F7" w:rsidRPr="00E51727">
        <w:rPr>
          <w:lang w:val="it-CH"/>
        </w:rPr>
        <w:t>. Tutt</w:t>
      </w:r>
      <w:r w:rsidR="00C11FE9" w:rsidRPr="00E51727">
        <w:rPr>
          <w:lang w:val="it-CH"/>
        </w:rPr>
        <w:t>o</w:t>
      </w:r>
      <w:r w:rsidR="003D52F7" w:rsidRPr="00E51727">
        <w:rPr>
          <w:lang w:val="it-CH"/>
        </w:rPr>
        <w:t xml:space="preserve"> ciò, inoltre, </w:t>
      </w:r>
      <w:r w:rsidR="00D516FE" w:rsidRPr="00E51727">
        <w:rPr>
          <w:lang w:val="it-CH"/>
        </w:rPr>
        <w:t>metterebbe in pericolo l’approvvigionamento alimentar</w:t>
      </w:r>
      <w:r w:rsidR="005E0045" w:rsidRPr="00E51727">
        <w:rPr>
          <w:lang w:val="it-CH"/>
        </w:rPr>
        <w:t>e</w:t>
      </w:r>
      <w:r w:rsidR="00D516FE" w:rsidRPr="00E51727">
        <w:rPr>
          <w:lang w:val="it-CH"/>
        </w:rPr>
        <w:t xml:space="preserve"> del Paese</w:t>
      </w:r>
      <w:r w:rsidR="003D52F7" w:rsidRPr="00E51727">
        <w:rPr>
          <w:lang w:val="it-CH"/>
        </w:rPr>
        <w:t xml:space="preserve"> in </w:t>
      </w:r>
      <w:r w:rsidR="005E0045" w:rsidRPr="00E51727">
        <w:rPr>
          <w:lang w:val="it-CH"/>
        </w:rPr>
        <w:t xml:space="preserve">caso di </w:t>
      </w:r>
      <w:r w:rsidR="003D52F7" w:rsidRPr="00E51727">
        <w:rPr>
          <w:lang w:val="it-CH"/>
        </w:rPr>
        <w:t xml:space="preserve">grave penuria. </w:t>
      </w:r>
      <w:r w:rsidR="005E0045" w:rsidRPr="00E51727">
        <w:rPr>
          <w:lang w:val="it-CH"/>
        </w:rPr>
        <w:t>I</w:t>
      </w:r>
      <w:r w:rsidR="003D52F7" w:rsidRPr="00E51727">
        <w:rPr>
          <w:lang w:val="it-CH"/>
        </w:rPr>
        <w:t xml:space="preserve">nformazioni </w:t>
      </w:r>
      <w:r w:rsidR="005E0045" w:rsidRPr="00E51727">
        <w:rPr>
          <w:lang w:val="it-CH"/>
        </w:rPr>
        <w:t xml:space="preserve">affidabili </w:t>
      </w:r>
      <w:r w:rsidR="00524CF9">
        <w:rPr>
          <w:lang w:val="it-CH"/>
        </w:rPr>
        <w:t>sulle superfici</w:t>
      </w:r>
      <w:r w:rsidR="003D52F7" w:rsidRPr="00E51727">
        <w:rPr>
          <w:lang w:val="it-CH"/>
        </w:rPr>
        <w:t xml:space="preserve">, </w:t>
      </w:r>
      <w:r w:rsidR="005E0045" w:rsidRPr="00E51727">
        <w:rPr>
          <w:lang w:val="it-CH"/>
        </w:rPr>
        <w:t>inoltre</w:t>
      </w:r>
      <w:r w:rsidR="003D52F7" w:rsidRPr="00E51727">
        <w:rPr>
          <w:lang w:val="it-CH"/>
        </w:rPr>
        <w:t xml:space="preserve">, creano </w:t>
      </w:r>
      <w:r w:rsidR="005E0045" w:rsidRPr="00E51727">
        <w:rPr>
          <w:lang w:val="it-CH"/>
        </w:rPr>
        <w:t xml:space="preserve">un’importante base non solo per eventuali possibilità di </w:t>
      </w:r>
      <w:proofErr w:type="spellStart"/>
      <w:r w:rsidR="005E0045" w:rsidRPr="00E51727">
        <w:rPr>
          <w:lang w:val="it-CH"/>
        </w:rPr>
        <w:t>flessibilizzazione</w:t>
      </w:r>
      <w:proofErr w:type="spellEnd"/>
      <w:r w:rsidR="005E0045" w:rsidRPr="00E51727">
        <w:rPr>
          <w:lang w:val="it-CH"/>
        </w:rPr>
        <w:t xml:space="preserve"> </w:t>
      </w:r>
      <w:r w:rsidR="003D52F7" w:rsidRPr="00E51727">
        <w:rPr>
          <w:lang w:val="it-CH"/>
        </w:rPr>
        <w:t xml:space="preserve">del </w:t>
      </w:r>
      <w:r w:rsidR="005E0045" w:rsidRPr="00E51727">
        <w:rPr>
          <w:lang w:val="it-CH"/>
        </w:rPr>
        <w:t>p</w:t>
      </w:r>
      <w:r w:rsidR="003D52F7" w:rsidRPr="00E51727">
        <w:rPr>
          <w:lang w:val="it-CH"/>
        </w:rPr>
        <w:t xml:space="preserve">iano settoriale, ma anche per </w:t>
      </w:r>
      <w:r w:rsidR="005E0045" w:rsidRPr="00E51727">
        <w:rPr>
          <w:lang w:val="it-CH"/>
        </w:rPr>
        <w:t>l’</w:t>
      </w:r>
      <w:r w:rsidR="003D52F7" w:rsidRPr="00E51727">
        <w:rPr>
          <w:lang w:val="it-CH"/>
        </w:rPr>
        <w:t>effettiva attuazione</w:t>
      </w:r>
      <w:r w:rsidR="005E0045" w:rsidRPr="00E51727">
        <w:rPr>
          <w:lang w:val="it-CH"/>
        </w:rPr>
        <w:t xml:space="preserve"> di quest’ultimo</w:t>
      </w:r>
      <w:r w:rsidR="325E5E49" w:rsidRPr="00E51727">
        <w:rPr>
          <w:lang w:val="it-CH"/>
        </w:rPr>
        <w:t xml:space="preserve">. </w:t>
      </w:r>
    </w:p>
    <w:p w14:paraId="5E24C956" w14:textId="0C67AF3E" w:rsidR="00F328BA" w:rsidRDefault="00237BCD" w:rsidP="00F70E8B">
      <w:pPr>
        <w:rPr>
          <w:lang w:val="it-CH"/>
        </w:rPr>
      </w:pPr>
      <w:r>
        <w:rPr>
          <w:lang w:val="it-CH"/>
        </w:rPr>
        <w:t>Fin</w:t>
      </w:r>
      <w:r w:rsidR="00FC6A3A">
        <w:rPr>
          <w:lang w:val="it-CH"/>
        </w:rPr>
        <w:t xml:space="preserve">o a quando non si dispone di </w:t>
      </w:r>
      <w:r w:rsidRPr="00CC45F6">
        <w:rPr>
          <w:lang w:val="it-CH"/>
        </w:rPr>
        <w:t xml:space="preserve">dati attendibili relativi </w:t>
      </w:r>
      <w:r>
        <w:rPr>
          <w:lang w:val="it-CH"/>
        </w:rPr>
        <w:t>alle superfici</w:t>
      </w:r>
      <w:r w:rsidRPr="00CC45F6">
        <w:rPr>
          <w:lang w:val="it-CH"/>
        </w:rPr>
        <w:t xml:space="preserve">, i rilevamenti effettuati nel 1988 non verranno messi in discussione, e le </w:t>
      </w:r>
      <w:r w:rsidRPr="00251269">
        <w:rPr>
          <w:lang w:val="it-CH"/>
        </w:rPr>
        <w:t>superfici allora definite come SAC e incluse negli inventari cantonali, continueranno ad essere considerate tali. I Cantoni, tuttavia, sono tenuti a f</w:t>
      </w:r>
      <w:r w:rsidR="00FC6A3A">
        <w:rPr>
          <w:lang w:val="it-CH"/>
        </w:rPr>
        <w:t xml:space="preserve">ar capo per </w:t>
      </w:r>
      <w:r w:rsidRPr="00251269">
        <w:rPr>
          <w:lang w:val="it-CH"/>
        </w:rPr>
        <w:t xml:space="preserve">i loro inventari </w:t>
      </w:r>
      <w:r w:rsidR="00FC6A3A">
        <w:rPr>
          <w:lang w:val="it-CH"/>
        </w:rPr>
        <w:t>a</w:t>
      </w:r>
      <w:r w:rsidRPr="00251269">
        <w:rPr>
          <w:lang w:val="it-CH"/>
        </w:rPr>
        <w:t xml:space="preserve"> informazioni affidabili relative alle superfici: ciò significa che devono cartografare </w:t>
      </w:r>
      <w:r w:rsidR="00FC6A3A">
        <w:rPr>
          <w:lang w:val="it-CH"/>
        </w:rPr>
        <w:t>il loro suolo</w:t>
      </w:r>
      <w:r w:rsidRPr="00251269">
        <w:rPr>
          <w:lang w:val="it-CH"/>
        </w:rPr>
        <w:t xml:space="preserve"> in base all’attuale stato dell</w:t>
      </w:r>
      <w:r w:rsidR="00FC6A3A">
        <w:rPr>
          <w:lang w:val="it-CH"/>
        </w:rPr>
        <w:t>a tecnica</w:t>
      </w:r>
      <w:r w:rsidRPr="00251269">
        <w:rPr>
          <w:lang w:val="it-CH"/>
        </w:rPr>
        <w:t xml:space="preserve"> </w:t>
      </w:r>
      <w:r w:rsidR="00FC6A3A">
        <w:rPr>
          <w:lang w:val="it-CH"/>
        </w:rPr>
        <w:t>(</w:t>
      </w:r>
      <w:r w:rsidRPr="00251269">
        <w:rPr>
          <w:lang w:val="it-CH"/>
        </w:rPr>
        <w:t>FAL 24+</w:t>
      </w:r>
      <w:r w:rsidR="00FC6A3A">
        <w:rPr>
          <w:lang w:val="it-CH"/>
        </w:rPr>
        <w:t>)</w:t>
      </w:r>
      <w:r w:rsidRPr="00251269">
        <w:rPr>
          <w:lang w:val="it-CH"/>
        </w:rPr>
        <w:t xml:space="preserve">, e delimitare le SAC conformemente ai criteri di qualità fissati nel piano settoriale. Le nuove </w:t>
      </w:r>
      <w:r w:rsidR="005952C4">
        <w:rPr>
          <w:lang w:val="it-CH"/>
        </w:rPr>
        <w:t>mappature</w:t>
      </w:r>
      <w:r w:rsidRPr="00251269">
        <w:rPr>
          <w:lang w:val="it-CH"/>
        </w:rPr>
        <w:t xml:space="preserve"> sinora effettuate</w:t>
      </w:r>
      <w:r w:rsidRPr="00CC45F6">
        <w:rPr>
          <w:lang w:val="it-CH"/>
        </w:rPr>
        <w:t xml:space="preserve">, e i </w:t>
      </w:r>
      <w:r w:rsidR="00FC6A3A">
        <w:rPr>
          <w:lang w:val="it-CH"/>
        </w:rPr>
        <w:t xml:space="preserve">relativi </w:t>
      </w:r>
      <w:r w:rsidRPr="00CC45F6">
        <w:rPr>
          <w:lang w:val="it-CH"/>
        </w:rPr>
        <w:t>rilevamenti di SAC, hanno dimostrato che i contingenti possono essere sostanzialmente soddisfatti, sebbene le superfici trovino in parte una nuova sistemazione</w:t>
      </w:r>
      <w:r>
        <w:rPr>
          <w:lang w:val="it-CH"/>
        </w:rPr>
        <w:t>.</w:t>
      </w:r>
    </w:p>
    <w:p w14:paraId="7744CDF2" w14:textId="5B3B47F2" w:rsidR="00C979A5" w:rsidRPr="00E51727" w:rsidRDefault="003D52F7" w:rsidP="00F70E8B">
      <w:pPr>
        <w:rPr>
          <w:lang w:val="it-CH"/>
        </w:rPr>
      </w:pPr>
      <w:r w:rsidRPr="00E51727">
        <w:rPr>
          <w:lang w:val="it-CH"/>
        </w:rPr>
        <w:t>Alcuni Cantoni dispongono già di buon</w:t>
      </w:r>
      <w:r w:rsidR="005E0045" w:rsidRPr="00E51727">
        <w:rPr>
          <w:lang w:val="it-CH"/>
        </w:rPr>
        <w:t>e</w:t>
      </w:r>
      <w:r w:rsidRPr="00E51727">
        <w:rPr>
          <w:lang w:val="it-CH"/>
        </w:rPr>
        <w:t xml:space="preserve"> </w:t>
      </w:r>
      <w:r w:rsidR="005E0045" w:rsidRPr="00E51727">
        <w:rPr>
          <w:lang w:val="it-CH"/>
        </w:rPr>
        <w:t>basi di dati</w:t>
      </w:r>
      <w:r w:rsidRPr="00E51727">
        <w:rPr>
          <w:lang w:val="it-CH"/>
        </w:rPr>
        <w:t xml:space="preserve"> </w:t>
      </w:r>
      <w:r w:rsidR="00F328BA">
        <w:rPr>
          <w:lang w:val="it-CH"/>
        </w:rPr>
        <w:t>per i</w:t>
      </w:r>
      <w:r w:rsidR="005E0045" w:rsidRPr="00E51727">
        <w:rPr>
          <w:lang w:val="it-CH"/>
        </w:rPr>
        <w:t xml:space="preserve"> loro</w:t>
      </w:r>
      <w:r w:rsidRPr="00E51727">
        <w:rPr>
          <w:lang w:val="it-CH"/>
        </w:rPr>
        <w:t xml:space="preserve"> inventari SAC. </w:t>
      </w:r>
      <w:r w:rsidR="00F328BA">
        <w:rPr>
          <w:lang w:val="it-CH"/>
        </w:rPr>
        <w:t>Grazie al</w:t>
      </w:r>
      <w:r w:rsidRPr="00E51727">
        <w:rPr>
          <w:lang w:val="it-CH"/>
        </w:rPr>
        <w:t xml:space="preserve"> principio </w:t>
      </w:r>
      <w:r w:rsidR="00674CDA" w:rsidRPr="00E51727">
        <w:rPr>
          <w:lang w:val="it-CH"/>
        </w:rPr>
        <w:fldChar w:fldCharType="begin"/>
      </w:r>
      <w:r w:rsidR="00674CDA" w:rsidRPr="00E51727">
        <w:rPr>
          <w:lang w:val="it-CH"/>
        </w:rPr>
        <w:instrText xml:space="preserve"> REF _Ref525717274 \r \h </w:instrText>
      </w:r>
      <w:r w:rsidR="00674CDA" w:rsidRPr="00E51727">
        <w:rPr>
          <w:lang w:val="it-CH"/>
        </w:rPr>
      </w:r>
      <w:r w:rsidR="00674CDA" w:rsidRPr="00E51727">
        <w:rPr>
          <w:lang w:val="it-CH"/>
        </w:rPr>
        <w:fldChar w:fldCharType="separate"/>
      </w:r>
      <w:r w:rsidR="00BD32B4">
        <w:rPr>
          <w:lang w:val="it-CH"/>
        </w:rPr>
        <w:t>P17</w:t>
      </w:r>
      <w:r w:rsidR="00674CDA" w:rsidRPr="00E51727">
        <w:rPr>
          <w:lang w:val="it-CH"/>
        </w:rPr>
        <w:fldChar w:fldCharType="end"/>
      </w:r>
      <w:r w:rsidR="000F6EA2" w:rsidRPr="00E51727">
        <w:rPr>
          <w:lang w:val="it-CH"/>
        </w:rPr>
        <w:t xml:space="preserve">, in futuro </w:t>
      </w:r>
      <w:r w:rsidRPr="00237BCD">
        <w:rPr>
          <w:lang w:val="it-CH"/>
        </w:rPr>
        <w:t xml:space="preserve">questi Cantoni </w:t>
      </w:r>
      <w:r w:rsidR="000F6EA2" w:rsidRPr="00237BCD">
        <w:rPr>
          <w:lang w:val="it-CH"/>
        </w:rPr>
        <w:t>potranno</w:t>
      </w:r>
      <w:r w:rsidRPr="00237BCD">
        <w:rPr>
          <w:lang w:val="it-CH"/>
        </w:rPr>
        <w:t xml:space="preserve">, a determinate condizioni, </w:t>
      </w:r>
      <w:r w:rsidR="00944681" w:rsidRPr="00237BCD">
        <w:rPr>
          <w:lang w:val="it-CH"/>
        </w:rPr>
        <w:t xml:space="preserve">avviare trattative </w:t>
      </w:r>
      <w:r w:rsidRPr="00237BCD">
        <w:rPr>
          <w:lang w:val="it-CH"/>
        </w:rPr>
        <w:t xml:space="preserve">con </w:t>
      </w:r>
      <w:r w:rsidR="000F6EA2" w:rsidRPr="00237BCD">
        <w:rPr>
          <w:lang w:val="it-CH"/>
        </w:rPr>
        <w:t>altri</w:t>
      </w:r>
      <w:r w:rsidRPr="00237BCD">
        <w:rPr>
          <w:lang w:val="it-CH"/>
        </w:rPr>
        <w:t xml:space="preserve"> Cantoni</w:t>
      </w:r>
      <w:r w:rsidR="00944681" w:rsidRPr="00237BCD">
        <w:rPr>
          <w:lang w:val="it-CH"/>
        </w:rPr>
        <w:t xml:space="preserve"> sui loro contingenti SAC</w:t>
      </w:r>
      <w:r w:rsidRPr="00237BCD">
        <w:rPr>
          <w:lang w:val="it-CH"/>
        </w:rPr>
        <w:t>. Tale</w:t>
      </w:r>
      <w:r w:rsidRPr="00E51727">
        <w:rPr>
          <w:lang w:val="it-CH"/>
        </w:rPr>
        <w:t xml:space="preserve"> </w:t>
      </w:r>
      <w:r w:rsidR="000F6EA2" w:rsidRPr="00E51727">
        <w:rPr>
          <w:lang w:val="it-CH"/>
        </w:rPr>
        <w:t xml:space="preserve">possibilità di </w:t>
      </w:r>
      <w:proofErr w:type="spellStart"/>
      <w:r w:rsidR="000F6EA2" w:rsidRPr="00E51727">
        <w:rPr>
          <w:lang w:val="it-CH"/>
        </w:rPr>
        <w:t>flessibilizzazione</w:t>
      </w:r>
      <w:proofErr w:type="spellEnd"/>
      <w:r w:rsidR="001D2830" w:rsidRPr="00E51727">
        <w:rPr>
          <w:lang w:val="it-CH"/>
        </w:rPr>
        <w:t xml:space="preserve">, inoltre, inciterebbe </w:t>
      </w:r>
      <w:r w:rsidRPr="00E51727">
        <w:rPr>
          <w:lang w:val="it-CH"/>
        </w:rPr>
        <w:t>altri Cantoni a</w:t>
      </w:r>
      <w:r w:rsidR="001D2830" w:rsidRPr="00E51727">
        <w:rPr>
          <w:lang w:val="it-CH"/>
        </w:rPr>
        <w:t xml:space="preserve">d accelerare i loro lavori cartografici </w:t>
      </w:r>
      <w:r w:rsidRPr="00E51727">
        <w:rPr>
          <w:lang w:val="it-CH"/>
        </w:rPr>
        <w:t>e a</w:t>
      </w:r>
      <w:r w:rsidR="001D2830" w:rsidRPr="00E51727">
        <w:rPr>
          <w:lang w:val="it-CH"/>
        </w:rPr>
        <w:t>d apportare i necessari miglioramenti ai loro</w:t>
      </w:r>
      <w:r w:rsidRPr="00E51727">
        <w:rPr>
          <w:lang w:val="it-CH"/>
        </w:rPr>
        <w:t xml:space="preserve"> inventari SAC.</w:t>
      </w:r>
      <w:r w:rsidR="00003674" w:rsidRPr="00E51727">
        <w:rPr>
          <w:lang w:val="it-CH"/>
        </w:rPr>
        <w:t xml:space="preserve"> Il</w:t>
      </w:r>
      <w:r w:rsidRPr="00E51727">
        <w:rPr>
          <w:lang w:val="it-CH"/>
        </w:rPr>
        <w:t xml:space="preserve"> </w:t>
      </w:r>
      <w:r w:rsidR="00003674" w:rsidRPr="00E51727">
        <w:rPr>
          <w:lang w:val="it-CH"/>
        </w:rPr>
        <w:t xml:space="preserve">principio </w:t>
      </w:r>
      <w:r w:rsidR="00003674" w:rsidRPr="00E51727">
        <w:rPr>
          <w:lang w:val="it-CH"/>
        </w:rPr>
        <w:fldChar w:fldCharType="begin"/>
      </w:r>
      <w:r w:rsidR="00003674" w:rsidRPr="00E51727">
        <w:rPr>
          <w:lang w:val="it-CH"/>
        </w:rPr>
        <w:instrText xml:space="preserve"> REF _Ref525717286 \r \h  \* MERGEFORMAT </w:instrText>
      </w:r>
      <w:r w:rsidR="00003674" w:rsidRPr="00E51727">
        <w:rPr>
          <w:lang w:val="it-CH"/>
        </w:rPr>
      </w:r>
      <w:r w:rsidR="00003674" w:rsidRPr="00E51727">
        <w:rPr>
          <w:lang w:val="it-CH"/>
        </w:rPr>
        <w:fldChar w:fldCharType="separate"/>
      </w:r>
      <w:r w:rsidR="00BD32B4">
        <w:rPr>
          <w:lang w:val="it-CH"/>
        </w:rPr>
        <w:t>P18</w:t>
      </w:r>
      <w:r w:rsidR="00003674" w:rsidRPr="00E51727">
        <w:rPr>
          <w:lang w:val="it-CH"/>
        </w:rPr>
        <w:fldChar w:fldCharType="end"/>
      </w:r>
      <w:r w:rsidR="00003674" w:rsidRPr="00E51727">
        <w:rPr>
          <w:lang w:val="it-CH"/>
        </w:rPr>
        <w:t xml:space="preserve"> obbliga i</w:t>
      </w:r>
      <w:r w:rsidRPr="00E51727">
        <w:rPr>
          <w:lang w:val="it-CH"/>
        </w:rPr>
        <w:t xml:space="preserve"> Cantoni che dispongono di un</w:t>
      </w:r>
      <w:r w:rsidR="00237BCD">
        <w:rPr>
          <w:lang w:val="it-CH"/>
        </w:rPr>
        <w:t>a</w:t>
      </w:r>
      <w:r w:rsidRPr="00E51727">
        <w:rPr>
          <w:lang w:val="it-CH"/>
        </w:rPr>
        <w:t xml:space="preserve"> </w:t>
      </w:r>
      <w:r w:rsidR="00E20CF9" w:rsidRPr="00E51727">
        <w:rPr>
          <w:lang w:val="it-CH"/>
        </w:rPr>
        <w:t>base di dati</w:t>
      </w:r>
      <w:r w:rsidRPr="00E51727">
        <w:rPr>
          <w:lang w:val="it-CH"/>
        </w:rPr>
        <w:t xml:space="preserve"> insufficiente</w:t>
      </w:r>
      <w:r w:rsidR="00003674" w:rsidRPr="00E51727">
        <w:rPr>
          <w:lang w:val="it-CH"/>
        </w:rPr>
        <w:t>, a</w:t>
      </w:r>
      <w:r w:rsidRPr="00E51727">
        <w:rPr>
          <w:lang w:val="it-CH"/>
        </w:rPr>
        <w:t xml:space="preserve"> introdurre una </w:t>
      </w:r>
      <w:r w:rsidR="00003674" w:rsidRPr="00E51727">
        <w:rPr>
          <w:lang w:val="it-CH"/>
        </w:rPr>
        <w:t>normativa sulla</w:t>
      </w:r>
      <w:r w:rsidRPr="00E51727">
        <w:rPr>
          <w:lang w:val="it-CH"/>
        </w:rPr>
        <w:t xml:space="preserve"> compensazione delle SA</w:t>
      </w:r>
      <w:r w:rsidR="00003674" w:rsidRPr="00E51727">
        <w:rPr>
          <w:lang w:val="it-CH"/>
        </w:rPr>
        <w:t>C</w:t>
      </w:r>
      <w:r w:rsidRPr="00E51727">
        <w:rPr>
          <w:lang w:val="it-CH"/>
        </w:rPr>
        <w:t xml:space="preserve"> </w:t>
      </w:r>
      <w:r w:rsidR="00B02D5D" w:rsidRPr="00E51727">
        <w:rPr>
          <w:lang w:val="it-CH"/>
        </w:rPr>
        <w:t>utilizzate</w:t>
      </w:r>
      <w:r w:rsidR="00944681">
        <w:rPr>
          <w:lang w:val="it-CH"/>
        </w:rPr>
        <w:t xml:space="preserve"> incluse nei loro inventari SAC</w:t>
      </w:r>
      <w:r w:rsidR="008325AB" w:rsidRPr="00E51727">
        <w:rPr>
          <w:lang w:val="it-CH"/>
        </w:rPr>
        <w:t xml:space="preserve">. </w:t>
      </w:r>
    </w:p>
    <w:p w14:paraId="1EFC901E" w14:textId="1C030515" w:rsidR="00944681" w:rsidRDefault="003D52F7" w:rsidP="00022779">
      <w:pPr>
        <w:rPr>
          <w:lang w:val="it-CH"/>
        </w:rPr>
      </w:pPr>
      <w:r w:rsidRPr="00E51727">
        <w:rPr>
          <w:lang w:val="it-CH"/>
        </w:rPr>
        <w:t xml:space="preserve">Non appena in tutta la Svizzera saranno disponibili </w:t>
      </w:r>
      <w:r w:rsidR="008B399A" w:rsidRPr="00E51727">
        <w:rPr>
          <w:lang w:val="it-CH"/>
        </w:rPr>
        <w:t>basi di dati migliori e p</w:t>
      </w:r>
      <w:r w:rsidRPr="00E51727">
        <w:rPr>
          <w:lang w:val="it-CH"/>
        </w:rPr>
        <w:t xml:space="preserve">iù affidabili sulle SAC, </w:t>
      </w:r>
      <w:r w:rsidR="009B4664" w:rsidRPr="00E51727">
        <w:rPr>
          <w:lang w:val="it-CH"/>
        </w:rPr>
        <w:t xml:space="preserve">in una seconda fase della rielaborazione del piano settoriale </w:t>
      </w:r>
      <w:r w:rsidR="00944681">
        <w:rPr>
          <w:lang w:val="it-CH"/>
        </w:rPr>
        <w:t>potranno essere previste</w:t>
      </w:r>
      <w:r w:rsidR="009B4664" w:rsidRPr="00E51727">
        <w:rPr>
          <w:lang w:val="it-CH"/>
        </w:rPr>
        <w:t xml:space="preserve"> altre possibilità di </w:t>
      </w:r>
      <w:proofErr w:type="spellStart"/>
      <w:r w:rsidR="009B4664" w:rsidRPr="00E51727">
        <w:rPr>
          <w:lang w:val="it-CH"/>
        </w:rPr>
        <w:t>flessibilizzazione</w:t>
      </w:r>
      <w:proofErr w:type="spellEnd"/>
      <w:r w:rsidR="009B4664" w:rsidRPr="00E51727">
        <w:rPr>
          <w:lang w:val="it-CH"/>
        </w:rPr>
        <w:t xml:space="preserve"> tra cui,</w:t>
      </w:r>
      <w:r w:rsidRPr="00E51727">
        <w:rPr>
          <w:lang w:val="it-CH"/>
        </w:rPr>
        <w:t xml:space="preserve"> ad esempio, la verifica del contingente cantonale o </w:t>
      </w:r>
      <w:r w:rsidR="00AC4C50">
        <w:rPr>
          <w:lang w:val="it-CH"/>
        </w:rPr>
        <w:t xml:space="preserve">la considerazione di altre </w:t>
      </w:r>
      <w:r w:rsidRPr="00E51727">
        <w:rPr>
          <w:lang w:val="it-CH"/>
        </w:rPr>
        <w:t>funzioni del suolo</w:t>
      </w:r>
      <w:r w:rsidR="003435FE" w:rsidRPr="00E51727">
        <w:rPr>
          <w:vertAlign w:val="superscript"/>
          <w:lang w:val="it-CH"/>
        </w:rPr>
        <w:footnoteReference w:id="16"/>
      </w:r>
      <w:r w:rsidR="325E5E49" w:rsidRPr="00E51727">
        <w:rPr>
          <w:lang w:val="it-CH"/>
        </w:rPr>
        <w:t>.</w:t>
      </w:r>
    </w:p>
    <w:p w14:paraId="17E822A4" w14:textId="0ABD65F1" w:rsidR="00530307" w:rsidRPr="00E51727" w:rsidRDefault="00530307" w:rsidP="00022779">
      <w:pPr>
        <w:rPr>
          <w:lang w:val="it-CH"/>
        </w:rPr>
      </w:pPr>
      <w:r w:rsidRPr="00E51727">
        <w:rPr>
          <w:lang w:val="it-CH"/>
        </w:rPr>
        <w:br w:type="page"/>
      </w:r>
    </w:p>
    <w:p w14:paraId="103647E2" w14:textId="5E700E9C" w:rsidR="007B6805" w:rsidRPr="00E51727" w:rsidRDefault="00475B09" w:rsidP="00064E3E">
      <w:pPr>
        <w:pStyle w:val="berschrift1"/>
        <w:rPr>
          <w:lang w:val="it-CH"/>
        </w:rPr>
      </w:pPr>
      <w:bookmarkStart w:id="14" w:name="_Toc526428720"/>
      <w:bookmarkStart w:id="15" w:name="_Toc533053011"/>
      <w:r w:rsidRPr="00E51727">
        <w:rPr>
          <w:lang w:val="it-CH"/>
        </w:rPr>
        <w:lastRenderedPageBreak/>
        <w:t>Scopo e impiego del piano settoriale</w:t>
      </w:r>
      <w:bookmarkStart w:id="16" w:name="_Toc384966645"/>
      <w:bookmarkStart w:id="17" w:name="_Toc384967558"/>
      <w:bookmarkStart w:id="18" w:name="_Toc384971167"/>
      <w:bookmarkEnd w:id="14"/>
      <w:bookmarkEnd w:id="15"/>
      <w:bookmarkEnd w:id="16"/>
      <w:bookmarkEnd w:id="17"/>
      <w:bookmarkEnd w:id="18"/>
    </w:p>
    <w:p w14:paraId="3AE25DB9" w14:textId="1A40CE88" w:rsidR="00BD4DF2" w:rsidRPr="00E51727" w:rsidRDefault="00475B09" w:rsidP="00751660">
      <w:pPr>
        <w:pStyle w:val="berschrift2"/>
        <w:rPr>
          <w:lang w:val="it-CH"/>
        </w:rPr>
      </w:pPr>
      <w:bookmarkStart w:id="19" w:name="_Toc533053012"/>
      <w:r w:rsidRPr="00E51727">
        <w:rPr>
          <w:lang w:val="it-CH"/>
        </w:rPr>
        <w:t>Scopo</w:t>
      </w:r>
      <w:bookmarkEnd w:id="19"/>
    </w:p>
    <w:p w14:paraId="04D7B705" w14:textId="386B698D" w:rsidR="00A84A1E" w:rsidRPr="00E51727" w:rsidRDefault="00475B09" w:rsidP="3120AD34">
      <w:pPr>
        <w:spacing w:after="60"/>
        <w:rPr>
          <w:b/>
          <w:bCs/>
          <w:lang w:val="it-CH"/>
        </w:rPr>
      </w:pPr>
      <w:r w:rsidRPr="00E51727">
        <w:rPr>
          <w:b/>
          <w:bCs/>
          <w:lang w:val="it-CH"/>
        </w:rPr>
        <w:t xml:space="preserve">Il </w:t>
      </w:r>
      <w:r w:rsidR="00E62FDA">
        <w:rPr>
          <w:b/>
          <w:bCs/>
          <w:lang w:val="it-CH"/>
        </w:rPr>
        <w:t>p</w:t>
      </w:r>
      <w:r w:rsidRPr="00E51727">
        <w:rPr>
          <w:b/>
          <w:bCs/>
          <w:lang w:val="it-CH"/>
        </w:rPr>
        <w:t xml:space="preserve">iano settoriale specifica le direttive per la garanzia delle SAC e stabilisce i </w:t>
      </w:r>
      <w:r w:rsidR="00F652C1" w:rsidRPr="00E51727">
        <w:rPr>
          <w:b/>
          <w:bCs/>
          <w:lang w:val="it-CH"/>
        </w:rPr>
        <w:t>relativi</w:t>
      </w:r>
      <w:r w:rsidRPr="00E51727">
        <w:rPr>
          <w:b/>
          <w:bCs/>
          <w:lang w:val="it-CH"/>
        </w:rPr>
        <w:t xml:space="preserve"> principi</w:t>
      </w:r>
      <w:r w:rsidR="3120AD34" w:rsidRPr="00E51727">
        <w:rPr>
          <w:b/>
          <w:bCs/>
          <w:lang w:val="it-CH"/>
        </w:rPr>
        <w:t>.</w:t>
      </w:r>
    </w:p>
    <w:p w14:paraId="4F0C2E93" w14:textId="56A18C1F" w:rsidR="00A84A1E" w:rsidRPr="00E51727" w:rsidRDefault="00856008" w:rsidP="00A84A1E">
      <w:pPr>
        <w:rPr>
          <w:lang w:val="it-CH"/>
        </w:rPr>
      </w:pPr>
      <w:r w:rsidRPr="00E51727">
        <w:rPr>
          <w:lang w:val="it-CH"/>
        </w:rPr>
        <w:t xml:space="preserve">Il Piano settoriale SAC è un </w:t>
      </w:r>
      <w:r w:rsidR="001A7378" w:rsidRPr="00E51727">
        <w:rPr>
          <w:lang w:val="it-CH"/>
        </w:rPr>
        <w:t>p</w:t>
      </w:r>
      <w:r w:rsidRPr="00E51727">
        <w:rPr>
          <w:lang w:val="it-CH"/>
        </w:rPr>
        <w:t>iano settoriale ai sensi dell’art</w:t>
      </w:r>
      <w:r w:rsidR="001A7378" w:rsidRPr="00E51727">
        <w:rPr>
          <w:lang w:val="it-CH"/>
        </w:rPr>
        <w:t xml:space="preserve">icolo </w:t>
      </w:r>
      <w:r w:rsidRPr="00E51727">
        <w:rPr>
          <w:lang w:val="it-CH"/>
        </w:rPr>
        <w:t xml:space="preserve">13 della </w:t>
      </w:r>
      <w:r w:rsidR="007435EF">
        <w:rPr>
          <w:lang w:val="it-CH"/>
        </w:rPr>
        <w:t>LPT</w:t>
      </w:r>
      <w:r w:rsidRPr="00E51727">
        <w:rPr>
          <w:lang w:val="it-CH"/>
        </w:rPr>
        <w:t xml:space="preserve">. Esso concretizza e chiarisce </w:t>
      </w:r>
      <w:r w:rsidR="001E46D4" w:rsidRPr="00E51727">
        <w:rPr>
          <w:lang w:val="it-CH"/>
        </w:rPr>
        <w:t>la gestione</w:t>
      </w:r>
      <w:r w:rsidRPr="00E51727">
        <w:rPr>
          <w:lang w:val="it-CH"/>
        </w:rPr>
        <w:t xml:space="preserve"> territoriale </w:t>
      </w:r>
      <w:r w:rsidR="00E81FB0" w:rsidRPr="00E51727">
        <w:rPr>
          <w:lang w:val="it-CH"/>
        </w:rPr>
        <w:t>del</w:t>
      </w:r>
      <w:r w:rsidRPr="00E51727">
        <w:rPr>
          <w:lang w:val="it-CH"/>
        </w:rPr>
        <w:t>le SAC</w:t>
      </w:r>
      <w:r w:rsidR="00E81FB0" w:rsidRPr="00E51727">
        <w:rPr>
          <w:lang w:val="it-CH"/>
        </w:rPr>
        <w:t xml:space="preserve">, </w:t>
      </w:r>
      <w:r w:rsidR="00AC4C50">
        <w:rPr>
          <w:lang w:val="it-CH"/>
        </w:rPr>
        <w:t>disciplinata</w:t>
      </w:r>
      <w:r w:rsidR="00E81FB0" w:rsidRPr="00E51727">
        <w:rPr>
          <w:lang w:val="it-CH"/>
        </w:rPr>
        <w:t xml:space="preserve"> </w:t>
      </w:r>
      <w:r w:rsidRPr="00E51727">
        <w:rPr>
          <w:lang w:val="it-CH"/>
        </w:rPr>
        <w:t>negli art</w:t>
      </w:r>
      <w:r w:rsidR="001A7378" w:rsidRPr="00E51727">
        <w:rPr>
          <w:lang w:val="it-CH"/>
        </w:rPr>
        <w:t>icoli</w:t>
      </w:r>
      <w:r w:rsidRPr="00E51727">
        <w:rPr>
          <w:lang w:val="it-CH"/>
        </w:rPr>
        <w:t xml:space="preserve"> 26-30 dell’OPT</w:t>
      </w:r>
      <w:r w:rsidR="00AC4C50">
        <w:rPr>
          <w:lang w:val="it-CH"/>
        </w:rPr>
        <w:t>,</w:t>
      </w:r>
      <w:r w:rsidRPr="00E51727">
        <w:rPr>
          <w:lang w:val="it-CH"/>
        </w:rPr>
        <w:t xml:space="preserve"> e</w:t>
      </w:r>
      <w:r w:rsidR="00AC4C50">
        <w:rPr>
          <w:lang w:val="it-CH"/>
        </w:rPr>
        <w:t xml:space="preserve"> stabilisce</w:t>
      </w:r>
      <w:r w:rsidRPr="00E51727">
        <w:rPr>
          <w:lang w:val="it-CH"/>
        </w:rPr>
        <w:t xml:space="preserve">, </w:t>
      </w:r>
      <w:r w:rsidR="004E6F5A" w:rsidRPr="00E51727">
        <w:rPr>
          <w:lang w:val="it-CH"/>
        </w:rPr>
        <w:t>se necessario</w:t>
      </w:r>
      <w:r w:rsidRPr="00E51727">
        <w:rPr>
          <w:lang w:val="it-CH"/>
        </w:rPr>
        <w:t>, altri principi</w:t>
      </w:r>
      <w:r w:rsidR="3120AD34" w:rsidRPr="00E51727">
        <w:rPr>
          <w:lang w:val="it-CH"/>
        </w:rPr>
        <w:t xml:space="preserve">. </w:t>
      </w:r>
    </w:p>
    <w:p w14:paraId="061644ED" w14:textId="47C6371D" w:rsidR="00A84A1E" w:rsidRPr="00E51727" w:rsidRDefault="00252687" w:rsidP="3120AD34">
      <w:pPr>
        <w:spacing w:before="240" w:after="60"/>
        <w:rPr>
          <w:b/>
          <w:bCs/>
          <w:lang w:val="it-CH"/>
        </w:rPr>
      </w:pPr>
      <w:r w:rsidRPr="00E51727">
        <w:rPr>
          <w:b/>
          <w:bCs/>
          <w:lang w:val="it-CH"/>
        </w:rPr>
        <w:t xml:space="preserve">Per </w:t>
      </w:r>
      <w:r w:rsidR="00F652C1" w:rsidRPr="00E51727">
        <w:rPr>
          <w:b/>
          <w:bCs/>
          <w:lang w:val="it-CH"/>
        </w:rPr>
        <w:t>assicurare</w:t>
      </w:r>
      <w:r w:rsidRPr="00E51727">
        <w:rPr>
          <w:b/>
          <w:bCs/>
          <w:lang w:val="it-CH"/>
        </w:rPr>
        <w:t xml:space="preserve"> un </w:t>
      </w:r>
      <w:r w:rsidR="004E6F5A" w:rsidRPr="00E51727">
        <w:rPr>
          <w:b/>
          <w:bCs/>
          <w:lang w:val="it-CH"/>
        </w:rPr>
        <w:t>sufficiente</w:t>
      </w:r>
      <w:r w:rsidRPr="00E51727">
        <w:rPr>
          <w:b/>
          <w:bCs/>
          <w:lang w:val="it-CH"/>
        </w:rPr>
        <w:t xml:space="preserve"> approvvigionamento</w:t>
      </w:r>
      <w:r w:rsidR="004E6F5A" w:rsidRPr="00E51727">
        <w:rPr>
          <w:b/>
          <w:bCs/>
          <w:lang w:val="it-CH"/>
        </w:rPr>
        <w:t xml:space="preserve"> del Paese</w:t>
      </w:r>
      <w:r w:rsidRPr="00E51727">
        <w:rPr>
          <w:b/>
          <w:bCs/>
          <w:lang w:val="it-CH"/>
        </w:rPr>
        <w:t xml:space="preserve"> </w:t>
      </w:r>
      <w:r w:rsidR="004E6F5A" w:rsidRPr="00E51727">
        <w:rPr>
          <w:b/>
          <w:bCs/>
          <w:lang w:val="it-CH"/>
        </w:rPr>
        <w:t xml:space="preserve">in </w:t>
      </w:r>
      <w:r w:rsidR="00881245" w:rsidRPr="00E51727">
        <w:rPr>
          <w:b/>
          <w:bCs/>
          <w:lang w:val="it-CH"/>
        </w:rPr>
        <w:t>derrate</w:t>
      </w:r>
      <w:r w:rsidRPr="00E51727">
        <w:rPr>
          <w:b/>
          <w:bCs/>
          <w:lang w:val="it-CH"/>
        </w:rPr>
        <w:t xml:space="preserve"> alimentari </w:t>
      </w:r>
      <w:r w:rsidR="004E6F5A" w:rsidRPr="00E51727">
        <w:rPr>
          <w:b/>
          <w:bCs/>
          <w:lang w:val="it-CH"/>
        </w:rPr>
        <w:t>in caso</w:t>
      </w:r>
      <w:r w:rsidRPr="00E51727">
        <w:rPr>
          <w:b/>
          <w:bCs/>
          <w:lang w:val="it-CH"/>
        </w:rPr>
        <w:t xml:space="preserve"> di grave penuria, </w:t>
      </w:r>
      <w:r w:rsidR="00F652C1" w:rsidRPr="00E51727">
        <w:rPr>
          <w:b/>
          <w:bCs/>
          <w:lang w:val="it-CH"/>
        </w:rPr>
        <w:t xml:space="preserve">il </w:t>
      </w:r>
      <w:r w:rsidRPr="00E51727">
        <w:rPr>
          <w:b/>
          <w:bCs/>
          <w:lang w:val="it-CH"/>
        </w:rPr>
        <w:t xml:space="preserve">Piano settoriale SAC </w:t>
      </w:r>
      <w:r w:rsidR="00F652C1" w:rsidRPr="00E51727">
        <w:rPr>
          <w:b/>
          <w:bCs/>
          <w:lang w:val="it-CH"/>
        </w:rPr>
        <w:t>garantisce</w:t>
      </w:r>
      <w:r w:rsidRPr="00E51727">
        <w:rPr>
          <w:b/>
          <w:bCs/>
          <w:lang w:val="it-CH"/>
        </w:rPr>
        <w:t xml:space="preserve"> </w:t>
      </w:r>
      <w:r w:rsidR="00237BCD">
        <w:rPr>
          <w:b/>
          <w:bCs/>
          <w:lang w:val="it-CH"/>
        </w:rPr>
        <w:t>i</w:t>
      </w:r>
      <w:r w:rsidRPr="00E51727">
        <w:rPr>
          <w:b/>
          <w:bCs/>
          <w:lang w:val="it-CH"/>
        </w:rPr>
        <w:t xml:space="preserve"> migliori </w:t>
      </w:r>
      <w:r w:rsidR="00390190">
        <w:rPr>
          <w:b/>
          <w:bCs/>
          <w:lang w:val="it-CH"/>
        </w:rPr>
        <w:t>suoli</w:t>
      </w:r>
      <w:r w:rsidRPr="00E51727">
        <w:rPr>
          <w:b/>
          <w:bCs/>
          <w:lang w:val="it-CH"/>
        </w:rPr>
        <w:t xml:space="preserve"> agricoli. A </w:t>
      </w:r>
      <w:r w:rsidR="00CC4B29" w:rsidRPr="00E51727">
        <w:rPr>
          <w:b/>
          <w:bCs/>
          <w:lang w:val="it-CH"/>
        </w:rPr>
        <w:t xml:space="preserve">tal fine </w:t>
      </w:r>
      <w:r w:rsidRPr="00E51727">
        <w:rPr>
          <w:b/>
          <w:bCs/>
          <w:lang w:val="it-CH"/>
        </w:rPr>
        <w:t xml:space="preserve">viene stabilita un’estensione minima delle superfici da </w:t>
      </w:r>
      <w:r w:rsidR="00CC4B29" w:rsidRPr="00E51727">
        <w:rPr>
          <w:b/>
          <w:bCs/>
          <w:lang w:val="it-CH"/>
        </w:rPr>
        <w:t>garantire</w:t>
      </w:r>
      <w:r w:rsidR="3120AD34" w:rsidRPr="00E51727">
        <w:rPr>
          <w:b/>
          <w:bCs/>
          <w:lang w:val="it-CH"/>
        </w:rPr>
        <w:t>.</w:t>
      </w:r>
    </w:p>
    <w:p w14:paraId="1F5EF9D0" w14:textId="2340BBBB" w:rsidR="00A84A1E" w:rsidRPr="00E51727" w:rsidRDefault="00045D56" w:rsidP="00A84A1E">
      <w:pPr>
        <w:rPr>
          <w:lang w:val="it-CH"/>
        </w:rPr>
      </w:pPr>
      <w:r>
        <w:rPr>
          <w:lang w:val="it-CH"/>
        </w:rPr>
        <w:t>In virtù</w:t>
      </w:r>
      <w:r w:rsidR="00252687" w:rsidRPr="00E51727">
        <w:rPr>
          <w:lang w:val="it-CH"/>
        </w:rPr>
        <w:t xml:space="preserve"> dell’art</w:t>
      </w:r>
      <w:r w:rsidR="001A7378" w:rsidRPr="00E51727">
        <w:rPr>
          <w:lang w:val="it-CH"/>
        </w:rPr>
        <w:t xml:space="preserve">icolo </w:t>
      </w:r>
      <w:r w:rsidR="00252687" w:rsidRPr="00E51727">
        <w:rPr>
          <w:lang w:val="it-CH"/>
        </w:rPr>
        <w:t xml:space="preserve">102 </w:t>
      </w:r>
      <w:proofErr w:type="spellStart"/>
      <w:r w:rsidR="00252687" w:rsidRPr="00E51727">
        <w:rPr>
          <w:lang w:val="it-CH"/>
        </w:rPr>
        <w:t>Cost</w:t>
      </w:r>
      <w:proofErr w:type="spellEnd"/>
      <w:r w:rsidR="00252687" w:rsidRPr="00E51727">
        <w:rPr>
          <w:lang w:val="it-CH"/>
        </w:rPr>
        <w:t>.</w:t>
      </w:r>
      <w:r w:rsidR="001A7378" w:rsidRPr="00E51727">
        <w:rPr>
          <w:lang w:val="it-CH"/>
        </w:rPr>
        <w:t>,</w:t>
      </w:r>
      <w:r w:rsidR="00252687" w:rsidRPr="00E51727">
        <w:rPr>
          <w:lang w:val="it-CH"/>
        </w:rPr>
        <w:t xml:space="preserve"> la Confederazione </w:t>
      </w:r>
      <w:r w:rsidR="006D49C6" w:rsidRPr="00E51727">
        <w:rPr>
          <w:lang w:val="it-CH"/>
        </w:rPr>
        <w:t xml:space="preserve">è tenuta a adottare </w:t>
      </w:r>
      <w:r w:rsidR="0053586F" w:rsidRPr="00E51727">
        <w:rPr>
          <w:lang w:val="it-CH"/>
        </w:rPr>
        <w:t xml:space="preserve">misure preventive per la sicurezza alimentare in caso di grave penuria. </w:t>
      </w:r>
      <w:r w:rsidR="00252687" w:rsidRPr="00E51727">
        <w:rPr>
          <w:lang w:val="it-CH"/>
        </w:rPr>
        <w:t>Secondo l’art</w:t>
      </w:r>
      <w:r w:rsidR="001A7378" w:rsidRPr="00E51727">
        <w:rPr>
          <w:lang w:val="it-CH"/>
        </w:rPr>
        <w:t>icolo</w:t>
      </w:r>
      <w:r w:rsidR="00252687" w:rsidRPr="00E51727">
        <w:rPr>
          <w:lang w:val="it-CH"/>
        </w:rPr>
        <w:t xml:space="preserve"> 26 </w:t>
      </w:r>
      <w:r w:rsidR="001A7378" w:rsidRPr="00E51727">
        <w:rPr>
          <w:lang w:val="it-CH"/>
        </w:rPr>
        <w:t>capoverso</w:t>
      </w:r>
      <w:r w:rsidR="00252687" w:rsidRPr="00E51727">
        <w:rPr>
          <w:lang w:val="it-CH"/>
        </w:rPr>
        <w:t xml:space="preserve"> 3 OPT e </w:t>
      </w:r>
      <w:r w:rsidR="001A7378" w:rsidRPr="00E51727">
        <w:rPr>
          <w:lang w:val="it-CH"/>
        </w:rPr>
        <w:t>l’</w:t>
      </w:r>
      <w:r w:rsidR="00252687" w:rsidRPr="00E51727">
        <w:rPr>
          <w:lang w:val="it-CH"/>
        </w:rPr>
        <w:t>art</w:t>
      </w:r>
      <w:r w:rsidR="001A7378" w:rsidRPr="00E51727">
        <w:rPr>
          <w:lang w:val="it-CH"/>
        </w:rPr>
        <w:t>icolo</w:t>
      </w:r>
      <w:r w:rsidR="00252687" w:rsidRPr="00E51727">
        <w:rPr>
          <w:lang w:val="it-CH"/>
        </w:rPr>
        <w:t xml:space="preserve"> 30 LAP</w:t>
      </w:r>
      <w:r>
        <w:rPr>
          <w:lang w:val="it-CH"/>
        </w:rPr>
        <w:t>,</w:t>
      </w:r>
      <w:r w:rsidR="00252687" w:rsidRPr="00E51727">
        <w:rPr>
          <w:lang w:val="it-CH"/>
        </w:rPr>
        <w:t xml:space="preserve"> la garanzia delle SAC è una</w:t>
      </w:r>
      <w:r>
        <w:rPr>
          <w:lang w:val="it-CH"/>
        </w:rPr>
        <w:t xml:space="preserve"> misura in tal senso</w:t>
      </w:r>
      <w:r w:rsidR="00252687" w:rsidRPr="00E51727">
        <w:rPr>
          <w:lang w:val="it-CH"/>
        </w:rPr>
        <w:t xml:space="preserve">. L’estensione minima è </w:t>
      </w:r>
      <w:r w:rsidR="006D49C6" w:rsidRPr="00E51727">
        <w:rPr>
          <w:lang w:val="it-CH"/>
        </w:rPr>
        <w:t xml:space="preserve">indispensabile al fine di soddisfare </w:t>
      </w:r>
      <w:r w:rsidR="00252687" w:rsidRPr="00E51727">
        <w:rPr>
          <w:lang w:val="it-CH"/>
        </w:rPr>
        <w:t xml:space="preserve">il fabbisogno </w:t>
      </w:r>
      <w:r w:rsidR="006D49C6" w:rsidRPr="00E51727">
        <w:rPr>
          <w:lang w:val="it-CH"/>
        </w:rPr>
        <w:t>calorico necessario in caso di grave penuria</w:t>
      </w:r>
      <w:r w:rsidR="325E5E49" w:rsidRPr="00E51727">
        <w:rPr>
          <w:lang w:val="it-CH"/>
        </w:rPr>
        <w:t>.</w:t>
      </w:r>
    </w:p>
    <w:p w14:paraId="60E59BA7" w14:textId="032B1FB5" w:rsidR="00A97B7F" w:rsidRPr="00544F67" w:rsidRDefault="004661E1" w:rsidP="3120AD34">
      <w:pPr>
        <w:spacing w:before="240" w:after="60"/>
        <w:rPr>
          <w:b/>
          <w:bCs/>
          <w:lang w:val="it-CH"/>
        </w:rPr>
      </w:pPr>
      <w:r w:rsidRPr="00675C65">
        <w:rPr>
          <w:b/>
          <w:bCs/>
          <w:lang w:val="it-CH"/>
        </w:rPr>
        <w:t xml:space="preserve">Il piano settoriale sostiene </w:t>
      </w:r>
      <w:r w:rsidR="007435EF" w:rsidRPr="00675C65">
        <w:rPr>
          <w:b/>
          <w:bCs/>
          <w:lang w:val="it-CH"/>
        </w:rPr>
        <w:t xml:space="preserve">anche </w:t>
      </w:r>
      <w:r w:rsidRPr="00675C65">
        <w:rPr>
          <w:b/>
          <w:bCs/>
          <w:lang w:val="it-CH"/>
        </w:rPr>
        <w:t>la conservazione delle basi naturali della vita, delle superfici di compensazione ecologica, della diversità dei siti naturali, della biodiv</w:t>
      </w:r>
      <w:r w:rsidRPr="00544F67">
        <w:rPr>
          <w:b/>
          <w:bCs/>
          <w:lang w:val="it-CH"/>
        </w:rPr>
        <w:t>ersità nonché della garanzia di spazi ricreativi</w:t>
      </w:r>
      <w:r w:rsidR="00045D56" w:rsidRPr="00544F67">
        <w:rPr>
          <w:b/>
          <w:bCs/>
          <w:lang w:val="it-CH"/>
        </w:rPr>
        <w:t xml:space="preserve"> e</w:t>
      </w:r>
      <w:r w:rsidR="007435EF" w:rsidRPr="00544F67">
        <w:rPr>
          <w:b/>
          <w:bCs/>
          <w:lang w:val="it-CH"/>
        </w:rPr>
        <w:t xml:space="preserve"> il mantenimento di corridoi</w:t>
      </w:r>
      <w:r w:rsidR="00F00792" w:rsidRPr="00544F67">
        <w:rPr>
          <w:b/>
          <w:bCs/>
          <w:lang w:val="it-CH"/>
        </w:rPr>
        <w:t xml:space="preserve"> di collegamento</w:t>
      </w:r>
      <w:r w:rsidR="3120AD34" w:rsidRPr="00544F67">
        <w:rPr>
          <w:b/>
          <w:bCs/>
          <w:lang w:val="it-CH"/>
        </w:rPr>
        <w:t>.</w:t>
      </w:r>
    </w:p>
    <w:p w14:paraId="3B9846A5" w14:textId="1C7DFE86" w:rsidR="00A97B7F" w:rsidRPr="00E51727" w:rsidRDefault="00852F59" w:rsidP="00A97B7F">
      <w:pPr>
        <w:rPr>
          <w:lang w:val="it-CH"/>
        </w:rPr>
      </w:pPr>
      <w:r w:rsidRPr="00544F67">
        <w:rPr>
          <w:lang w:val="it-CH"/>
        </w:rPr>
        <w:t xml:space="preserve">Assicurando la disponibilità delle </w:t>
      </w:r>
      <w:r w:rsidR="007435EF" w:rsidRPr="00544F67">
        <w:rPr>
          <w:lang w:val="it-CH"/>
        </w:rPr>
        <w:t xml:space="preserve">SAC </w:t>
      </w:r>
      <w:r w:rsidR="00252687" w:rsidRPr="00544F67">
        <w:rPr>
          <w:lang w:val="it-CH"/>
        </w:rPr>
        <w:t xml:space="preserve">e </w:t>
      </w:r>
      <w:r w:rsidR="004661E1" w:rsidRPr="00544F67">
        <w:rPr>
          <w:lang w:val="it-CH"/>
        </w:rPr>
        <w:t xml:space="preserve">la </w:t>
      </w:r>
      <w:r w:rsidR="007435EF" w:rsidRPr="00544F67">
        <w:rPr>
          <w:lang w:val="it-CH"/>
        </w:rPr>
        <w:t xml:space="preserve">loro </w:t>
      </w:r>
      <w:r w:rsidR="00252687" w:rsidRPr="00544F67">
        <w:rPr>
          <w:lang w:val="it-CH"/>
        </w:rPr>
        <w:t xml:space="preserve">gestione sostenibile, è possibile </w:t>
      </w:r>
      <w:r w:rsidR="007435EF" w:rsidRPr="00544F67">
        <w:rPr>
          <w:lang w:val="it-CH"/>
        </w:rPr>
        <w:t>forn</w:t>
      </w:r>
      <w:r w:rsidR="007435EF" w:rsidRPr="00675C65">
        <w:rPr>
          <w:lang w:val="it-CH"/>
        </w:rPr>
        <w:t xml:space="preserve">ire un importante </w:t>
      </w:r>
      <w:r w:rsidR="00F72BF2" w:rsidRPr="00675C65">
        <w:rPr>
          <w:lang w:val="it-CH"/>
        </w:rPr>
        <w:t>contribu</w:t>
      </w:r>
      <w:r w:rsidR="007435EF" w:rsidRPr="00675C65">
        <w:rPr>
          <w:lang w:val="it-CH"/>
        </w:rPr>
        <w:t>to</w:t>
      </w:r>
      <w:r w:rsidR="00F72BF2" w:rsidRPr="00675C65">
        <w:rPr>
          <w:lang w:val="it-CH"/>
        </w:rPr>
        <w:t xml:space="preserve"> </w:t>
      </w:r>
      <w:r w:rsidR="007435EF" w:rsidRPr="00675C65">
        <w:rPr>
          <w:lang w:val="it-CH"/>
        </w:rPr>
        <w:t xml:space="preserve">alla salvaguardia delle </w:t>
      </w:r>
      <w:r w:rsidR="00F72BF2" w:rsidRPr="00675C65">
        <w:rPr>
          <w:lang w:val="it-CH"/>
        </w:rPr>
        <w:t xml:space="preserve">suddette </w:t>
      </w:r>
      <w:r w:rsidR="007435EF" w:rsidRPr="00675C65">
        <w:rPr>
          <w:lang w:val="it-CH"/>
        </w:rPr>
        <w:t>funzioni</w:t>
      </w:r>
      <w:r w:rsidR="325E5E49" w:rsidRPr="00675C65">
        <w:rPr>
          <w:lang w:val="it-CH"/>
        </w:rPr>
        <w:t>.</w:t>
      </w:r>
      <w:r w:rsidR="325E5E49" w:rsidRPr="00E51727">
        <w:rPr>
          <w:lang w:val="it-CH"/>
        </w:rPr>
        <w:t xml:space="preserve"> </w:t>
      </w:r>
    </w:p>
    <w:p w14:paraId="680601BF" w14:textId="6134811F" w:rsidR="00BD4DF2" w:rsidRDefault="00155F70" w:rsidP="29D59492">
      <w:pPr>
        <w:pStyle w:val="berschrift2"/>
        <w:rPr>
          <w:lang w:val="it-CH"/>
        </w:rPr>
      </w:pPr>
      <w:bookmarkStart w:id="20" w:name="_Toc526428722"/>
      <w:bookmarkStart w:id="21" w:name="_Toc533053013"/>
      <w:r>
        <w:rPr>
          <w:lang w:val="it-CH"/>
        </w:rPr>
        <w:t>Valenza</w:t>
      </w:r>
      <w:r w:rsidR="00252687" w:rsidRPr="00E51727">
        <w:rPr>
          <w:lang w:val="it-CH"/>
        </w:rPr>
        <w:t xml:space="preserve"> e campo </w:t>
      </w:r>
      <w:bookmarkEnd w:id="20"/>
      <w:r>
        <w:rPr>
          <w:lang w:val="it-CH"/>
        </w:rPr>
        <w:t>di applicazione</w:t>
      </w:r>
      <w:bookmarkEnd w:id="2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15"/>
      </w:tblGrid>
      <w:tr w:rsidR="00AB7442" w:rsidRPr="002C06C6" w14:paraId="0D7F43FD" w14:textId="77777777" w:rsidTr="004300DE">
        <w:tc>
          <w:tcPr>
            <w:tcW w:w="9515" w:type="dxa"/>
            <w:shd w:val="clear" w:color="auto" w:fill="BFBFBF" w:themeFill="background1" w:themeFillShade="BF"/>
          </w:tcPr>
          <w:p w14:paraId="13AA760B" w14:textId="289A2383" w:rsidR="00AB7442" w:rsidRPr="00AB7442" w:rsidRDefault="00AB7442" w:rsidP="00B32272">
            <w:pPr>
              <w:spacing w:before="120"/>
              <w:rPr>
                <w:lang w:val="it-IT"/>
              </w:rPr>
            </w:pPr>
            <w:bookmarkStart w:id="22" w:name="_Hlk531445632"/>
            <w:r>
              <w:rPr>
                <w:lang w:val="it-CH"/>
              </w:rPr>
              <w:t>Il</w:t>
            </w:r>
            <w:r w:rsidRPr="00E51727">
              <w:rPr>
                <w:lang w:val="it-CH"/>
              </w:rPr>
              <w:t xml:space="preserve"> Piano settoriale SAC </w:t>
            </w:r>
            <w:r>
              <w:rPr>
                <w:lang w:val="it-CH"/>
              </w:rPr>
              <w:t xml:space="preserve">rielaborato </w:t>
            </w:r>
            <w:r w:rsidRPr="00E51727">
              <w:rPr>
                <w:lang w:val="it-CH"/>
              </w:rPr>
              <w:t xml:space="preserve">sostituisce </w:t>
            </w:r>
            <w:r>
              <w:rPr>
                <w:lang w:val="it-CH"/>
              </w:rPr>
              <w:t xml:space="preserve">il precedente piano settoriale del 1992 </w:t>
            </w:r>
            <w:r w:rsidRPr="00E51727">
              <w:rPr>
                <w:lang w:val="it-CH"/>
              </w:rPr>
              <w:t>«Piano settoriale delle superfici per l’avvicendamento delle colture: estensione totale minima delle superfici per l’avvicendamento delle colture e relativa ripartizione tra i Cantoni»</w:t>
            </w:r>
            <w:r>
              <w:rPr>
                <w:lang w:val="it-CH"/>
              </w:rPr>
              <w:t>,</w:t>
            </w:r>
            <w:r w:rsidRPr="00E51727">
              <w:rPr>
                <w:lang w:val="it-CH"/>
              </w:rPr>
              <w:t xml:space="preserve"> </w:t>
            </w:r>
            <w:r>
              <w:rPr>
                <w:lang w:val="it-CH"/>
              </w:rPr>
              <w:t>adottato dal Consiglio federale con decisione de</w:t>
            </w:r>
            <w:r w:rsidRPr="00E51727">
              <w:rPr>
                <w:lang w:val="it-CH"/>
              </w:rPr>
              <w:t>ll’8 aprile 1992</w:t>
            </w:r>
            <w:r>
              <w:rPr>
                <w:lang w:val="it-CH"/>
              </w:rPr>
              <w:t xml:space="preserve"> (FF 1992 II 1396)</w:t>
            </w:r>
            <w:r w:rsidRPr="00157943">
              <w:rPr>
                <w:lang w:val="it-CH"/>
              </w:rPr>
              <w:t>.</w:t>
            </w:r>
          </w:p>
        </w:tc>
      </w:tr>
    </w:tbl>
    <w:p w14:paraId="665FF908" w14:textId="332C0C2C" w:rsidR="00AB7442" w:rsidRPr="00B708BE" w:rsidRDefault="003530A4" w:rsidP="00AB7442">
      <w:pPr>
        <w:spacing w:before="120"/>
        <w:rPr>
          <w:lang w:val="it-IT"/>
        </w:rPr>
      </w:pPr>
      <w:bookmarkStart w:id="23" w:name="_Hlk531446494"/>
      <w:bookmarkEnd w:id="22"/>
      <w:r>
        <w:rPr>
          <w:lang w:val="it-IT"/>
        </w:rPr>
        <w:t>Il</w:t>
      </w:r>
      <w:r w:rsidRPr="00B708BE">
        <w:rPr>
          <w:lang w:val="it-IT"/>
        </w:rPr>
        <w:t xml:space="preserve"> </w:t>
      </w:r>
      <w:r w:rsidR="00E62FDA">
        <w:rPr>
          <w:lang w:val="it-IT"/>
        </w:rPr>
        <w:t>p</w:t>
      </w:r>
      <w:r w:rsidRPr="00B708BE">
        <w:rPr>
          <w:lang w:val="it-IT"/>
        </w:rPr>
        <w:t>iano settoriale</w:t>
      </w:r>
      <w:r w:rsidRPr="00AB7442">
        <w:rPr>
          <w:lang w:val="it-IT"/>
        </w:rPr>
        <w:t xml:space="preserve"> </w:t>
      </w:r>
      <w:r w:rsidR="00AB7442" w:rsidRPr="00AB7442">
        <w:rPr>
          <w:lang w:val="it-IT"/>
        </w:rPr>
        <w:t>è vincolante per le autorità</w:t>
      </w:r>
      <w:r w:rsidR="00390190">
        <w:rPr>
          <w:lang w:val="it-IT"/>
        </w:rPr>
        <w:t xml:space="preserve"> conformemente a</w:t>
      </w:r>
      <w:r w:rsidR="00AB7442" w:rsidRPr="00AB7442">
        <w:rPr>
          <w:lang w:val="it-IT"/>
        </w:rPr>
        <w:t xml:space="preserve">ll’articolo 22 dell’OPT, e deve </w:t>
      </w:r>
      <w:r w:rsidR="00390190">
        <w:rPr>
          <w:lang w:val="it-IT"/>
        </w:rPr>
        <w:t xml:space="preserve">pertanto </w:t>
      </w:r>
      <w:r w:rsidR="00AB7442" w:rsidRPr="00AB7442">
        <w:rPr>
          <w:lang w:val="it-IT"/>
        </w:rPr>
        <w:t>essere pres</w:t>
      </w:r>
      <w:r w:rsidR="0034599C">
        <w:rPr>
          <w:lang w:val="it-IT"/>
        </w:rPr>
        <w:t>o</w:t>
      </w:r>
      <w:r w:rsidR="00AB7442" w:rsidRPr="00AB7442">
        <w:rPr>
          <w:lang w:val="it-IT"/>
        </w:rPr>
        <w:t xml:space="preserve"> in considerazione dagli Uffici federali, dai Cantoni,</w:t>
      </w:r>
      <w:r>
        <w:rPr>
          <w:lang w:val="it-IT"/>
        </w:rPr>
        <w:t xml:space="preserve"> </w:t>
      </w:r>
      <w:r w:rsidR="00AB7442" w:rsidRPr="00AB7442">
        <w:rPr>
          <w:lang w:val="it-IT"/>
        </w:rPr>
        <w:t>dai responsabili regionali della pianificazione e dai Comuni nell’elaborazione, nell’applicazione</w:t>
      </w:r>
      <w:r>
        <w:rPr>
          <w:lang w:val="it-IT"/>
        </w:rPr>
        <w:t xml:space="preserve"> </w:t>
      </w:r>
      <w:r w:rsidR="00AB7442" w:rsidRPr="00AB7442">
        <w:rPr>
          <w:lang w:val="it-IT"/>
        </w:rPr>
        <w:t xml:space="preserve">e nell’esame </w:t>
      </w:r>
      <w:r>
        <w:rPr>
          <w:lang w:val="it-IT"/>
        </w:rPr>
        <w:t>dei loro</w:t>
      </w:r>
      <w:r w:rsidR="00AB7442" w:rsidRPr="00AB7442">
        <w:rPr>
          <w:lang w:val="it-IT"/>
        </w:rPr>
        <w:t xml:space="preserve"> piani settoriali</w:t>
      </w:r>
      <w:bookmarkEnd w:id="23"/>
      <w:r w:rsidR="00C03A08">
        <w:rPr>
          <w:lang w:val="it-IT"/>
        </w:rPr>
        <w:t>, direttori e di pianificazione</w:t>
      </w:r>
      <w:r w:rsidR="00AB7442" w:rsidRPr="00B708BE">
        <w:rPr>
          <w:rFonts w:eastAsiaTheme="minorEastAsia"/>
          <w:lang w:val="it-IT"/>
        </w:rPr>
        <w:t>.</w:t>
      </w:r>
      <w:r w:rsidR="00AB7442" w:rsidRPr="00B708BE">
        <w:rPr>
          <w:lang w:val="it-IT"/>
        </w:rPr>
        <w:t xml:space="preserve"> </w:t>
      </w:r>
    </w:p>
    <w:p w14:paraId="5226D439" w14:textId="784B0037" w:rsidR="00252687" w:rsidRPr="00E51727" w:rsidRDefault="003530A4" w:rsidP="00252687">
      <w:pPr>
        <w:rPr>
          <w:lang w:val="it-CH"/>
        </w:rPr>
      </w:pPr>
      <w:r>
        <w:rPr>
          <w:lang w:val="it-IT"/>
        </w:rPr>
        <w:t xml:space="preserve">La gestione territoriale delle SAC </w:t>
      </w:r>
      <w:r w:rsidR="00252687" w:rsidRPr="00E51727">
        <w:rPr>
          <w:lang w:val="it-CH"/>
        </w:rPr>
        <w:t xml:space="preserve">è </w:t>
      </w:r>
      <w:r w:rsidR="00C03A08">
        <w:rPr>
          <w:lang w:val="it-CH"/>
        </w:rPr>
        <w:t>disciplinata</w:t>
      </w:r>
      <w:r>
        <w:rPr>
          <w:lang w:val="it-CH"/>
        </w:rPr>
        <w:t xml:space="preserve"> dagli </w:t>
      </w:r>
      <w:r w:rsidR="00252687" w:rsidRPr="00E51727">
        <w:rPr>
          <w:lang w:val="it-CH"/>
        </w:rPr>
        <w:t>art</w:t>
      </w:r>
      <w:r w:rsidR="001A7378" w:rsidRPr="00E51727">
        <w:rPr>
          <w:lang w:val="it-CH"/>
        </w:rPr>
        <w:t>icoli</w:t>
      </w:r>
      <w:r w:rsidR="00252687" w:rsidRPr="00E51727">
        <w:rPr>
          <w:lang w:val="it-CH"/>
        </w:rPr>
        <w:t xml:space="preserve"> 26-30 OPT.</w:t>
      </w:r>
    </w:p>
    <w:p w14:paraId="36A86852" w14:textId="75BC7EC2" w:rsidR="00252687" w:rsidRPr="00E51727" w:rsidRDefault="00252687" w:rsidP="00252687">
      <w:pPr>
        <w:rPr>
          <w:lang w:val="it-CH"/>
        </w:rPr>
      </w:pPr>
      <w:r w:rsidRPr="00E51727">
        <w:rPr>
          <w:lang w:val="it-CH"/>
        </w:rPr>
        <w:t xml:space="preserve">Il </w:t>
      </w:r>
      <w:r w:rsidR="00F652C1" w:rsidRPr="00E51727">
        <w:rPr>
          <w:lang w:val="it-CH"/>
        </w:rPr>
        <w:t>p</w:t>
      </w:r>
      <w:r w:rsidRPr="00E51727">
        <w:rPr>
          <w:lang w:val="it-CH"/>
        </w:rPr>
        <w:t>iano settoriale</w:t>
      </w:r>
      <w:r w:rsidR="00C03A08">
        <w:rPr>
          <w:lang w:val="it-CH"/>
        </w:rPr>
        <w:t xml:space="preserve"> SAC</w:t>
      </w:r>
      <w:r w:rsidRPr="00E51727">
        <w:rPr>
          <w:lang w:val="it-CH"/>
        </w:rPr>
        <w:t xml:space="preserve"> non </w:t>
      </w:r>
      <w:r w:rsidR="00BF7C2A" w:rsidRPr="00E51727">
        <w:rPr>
          <w:lang w:val="it-CH"/>
        </w:rPr>
        <w:t>fornisce</w:t>
      </w:r>
      <w:r w:rsidRPr="00E51727">
        <w:rPr>
          <w:lang w:val="it-CH"/>
        </w:rPr>
        <w:t xml:space="preserve"> </w:t>
      </w:r>
      <w:r w:rsidR="00F652C1" w:rsidRPr="00E51727">
        <w:rPr>
          <w:lang w:val="it-CH"/>
        </w:rPr>
        <w:t>alcuna</w:t>
      </w:r>
      <w:r w:rsidRPr="00E51727">
        <w:rPr>
          <w:lang w:val="it-CH"/>
        </w:rPr>
        <w:t xml:space="preserve"> </w:t>
      </w:r>
      <w:r w:rsidR="00BF7C2A" w:rsidRPr="00E51727">
        <w:rPr>
          <w:lang w:val="it-CH"/>
        </w:rPr>
        <w:t>indicazione</w:t>
      </w:r>
      <w:r w:rsidRPr="00E51727">
        <w:rPr>
          <w:lang w:val="it-CH"/>
        </w:rPr>
        <w:t xml:space="preserve"> </w:t>
      </w:r>
      <w:r w:rsidR="00BF7C2A" w:rsidRPr="00E51727">
        <w:rPr>
          <w:lang w:val="it-CH"/>
        </w:rPr>
        <w:t xml:space="preserve">territoriale </w:t>
      </w:r>
      <w:r w:rsidRPr="00E51727">
        <w:rPr>
          <w:lang w:val="it-CH"/>
        </w:rPr>
        <w:t>concreta</w:t>
      </w:r>
      <w:r w:rsidR="00BF7C2A" w:rsidRPr="00E51727">
        <w:rPr>
          <w:lang w:val="it-CH"/>
        </w:rPr>
        <w:t>, come è invece il caso negli altri piani settoriali della Confederazione</w:t>
      </w:r>
      <w:r w:rsidRPr="00E51727">
        <w:rPr>
          <w:lang w:val="it-CH"/>
        </w:rPr>
        <w:t>. Esso</w:t>
      </w:r>
      <w:r w:rsidR="001815B2" w:rsidRPr="00E51727">
        <w:rPr>
          <w:lang w:val="it-CH"/>
        </w:rPr>
        <w:t>, tuttavia,</w:t>
      </w:r>
      <w:r w:rsidRPr="00E51727">
        <w:rPr>
          <w:lang w:val="it-CH"/>
        </w:rPr>
        <w:t xml:space="preserve"> </w:t>
      </w:r>
      <w:r w:rsidR="001815B2" w:rsidRPr="00E51727">
        <w:rPr>
          <w:lang w:val="it-CH"/>
        </w:rPr>
        <w:t>fissa</w:t>
      </w:r>
      <w:r w:rsidRPr="00E51727">
        <w:rPr>
          <w:lang w:val="it-CH"/>
        </w:rPr>
        <w:t xml:space="preserve"> l’estensione minima </w:t>
      </w:r>
      <w:r w:rsidR="001815B2" w:rsidRPr="00E51727">
        <w:rPr>
          <w:lang w:val="it-CH"/>
        </w:rPr>
        <w:t xml:space="preserve">nazionale </w:t>
      </w:r>
      <w:r w:rsidRPr="00E51727">
        <w:rPr>
          <w:lang w:val="it-CH"/>
        </w:rPr>
        <w:t xml:space="preserve">delle SAC </w:t>
      </w:r>
      <w:r w:rsidR="001815B2" w:rsidRPr="00E51727">
        <w:rPr>
          <w:lang w:val="it-CH"/>
        </w:rPr>
        <w:t>e la rispettiva ripartizione tra i</w:t>
      </w:r>
      <w:r w:rsidRPr="00E51727">
        <w:rPr>
          <w:lang w:val="it-CH"/>
        </w:rPr>
        <w:t xml:space="preserve"> Cantoni</w:t>
      </w:r>
      <w:r w:rsidR="003530A4">
        <w:rPr>
          <w:lang w:val="it-CH"/>
        </w:rPr>
        <w:t xml:space="preserve"> (</w:t>
      </w:r>
      <w:r w:rsidRPr="00E51727">
        <w:rPr>
          <w:lang w:val="it-CH"/>
        </w:rPr>
        <w:t>art</w:t>
      </w:r>
      <w:r w:rsidR="003530A4">
        <w:rPr>
          <w:lang w:val="it-CH"/>
        </w:rPr>
        <w:t>.</w:t>
      </w:r>
      <w:r w:rsidRPr="00E51727">
        <w:rPr>
          <w:lang w:val="it-CH"/>
        </w:rPr>
        <w:t xml:space="preserve"> 29 OPT</w:t>
      </w:r>
      <w:r w:rsidR="003530A4">
        <w:rPr>
          <w:lang w:val="it-CH"/>
        </w:rPr>
        <w:t>)</w:t>
      </w:r>
      <w:r w:rsidRPr="00E51727">
        <w:rPr>
          <w:lang w:val="it-CH"/>
        </w:rPr>
        <w:t xml:space="preserve">. </w:t>
      </w:r>
    </w:p>
    <w:p w14:paraId="75B6F4EB" w14:textId="2378EEF8" w:rsidR="00252687" w:rsidRPr="00E51727" w:rsidRDefault="003530A4" w:rsidP="00252687">
      <w:pPr>
        <w:rPr>
          <w:lang w:val="it-CH"/>
        </w:rPr>
      </w:pPr>
      <w:r>
        <w:rPr>
          <w:lang w:val="it-CH"/>
        </w:rPr>
        <w:t xml:space="preserve">I principi del </w:t>
      </w:r>
      <w:r w:rsidR="00F652C1" w:rsidRPr="00E51727">
        <w:rPr>
          <w:lang w:val="it-CH"/>
        </w:rPr>
        <w:t>p</w:t>
      </w:r>
      <w:r w:rsidR="00252687" w:rsidRPr="00E51727">
        <w:rPr>
          <w:lang w:val="it-CH"/>
        </w:rPr>
        <w:t xml:space="preserve">iano settoriale </w:t>
      </w:r>
      <w:r>
        <w:rPr>
          <w:lang w:val="it-CH"/>
        </w:rPr>
        <w:t>vengono</w:t>
      </w:r>
      <w:r w:rsidR="001815B2" w:rsidRPr="00E51727">
        <w:rPr>
          <w:lang w:val="it-CH"/>
        </w:rPr>
        <w:t xml:space="preserve"> applicat</w:t>
      </w:r>
      <w:r>
        <w:rPr>
          <w:lang w:val="it-CH"/>
        </w:rPr>
        <w:t>i</w:t>
      </w:r>
      <w:r w:rsidR="00252687" w:rsidRPr="00E51727">
        <w:rPr>
          <w:lang w:val="it-CH"/>
        </w:rPr>
        <w:t xml:space="preserve"> per tutt</w:t>
      </w:r>
      <w:r>
        <w:rPr>
          <w:lang w:val="it-CH"/>
        </w:rPr>
        <w:t xml:space="preserve">e le SAC incluse negli inventari cantonali (a tal riguardo cfr. pure la </w:t>
      </w:r>
      <w:r w:rsidRPr="00675C65">
        <w:rPr>
          <w:lang w:val="it-CH"/>
        </w:rPr>
        <w:t>figura 1 e</w:t>
      </w:r>
      <w:r w:rsidR="00855F89" w:rsidRPr="00675C65">
        <w:rPr>
          <w:lang w:val="it-CH"/>
        </w:rPr>
        <w:t xml:space="preserve"> le spiegazioni dei termini nel capitolo </w:t>
      </w:r>
      <w:r w:rsidR="00855F89" w:rsidRPr="00675C65">
        <w:fldChar w:fldCharType="begin"/>
      </w:r>
      <w:r w:rsidR="00855F89" w:rsidRPr="00675C65">
        <w:rPr>
          <w:lang w:val="it-IT"/>
        </w:rPr>
        <w:instrText xml:space="preserve"> REF _Ref531024525 \r \h </w:instrText>
      </w:r>
      <w:r w:rsidR="00675C65" w:rsidRPr="00675C65">
        <w:rPr>
          <w:lang w:val="it-CH"/>
        </w:rPr>
        <w:instrText xml:space="preserve"> \* MERGEFORMAT </w:instrText>
      </w:r>
      <w:r w:rsidR="00855F89" w:rsidRPr="00675C65">
        <w:fldChar w:fldCharType="separate"/>
      </w:r>
      <w:r w:rsidR="00BD32B4">
        <w:rPr>
          <w:lang w:val="it-IT"/>
        </w:rPr>
        <w:t>6.1</w:t>
      </w:r>
      <w:r w:rsidR="00855F89" w:rsidRPr="00675C65">
        <w:rPr>
          <w:lang w:val="it-CH"/>
        </w:rPr>
        <w:fldChar w:fldCharType="end"/>
      </w:r>
      <w:r w:rsidRPr="00675C65">
        <w:rPr>
          <w:lang w:val="it-CH"/>
        </w:rPr>
        <w:t>)</w:t>
      </w:r>
      <w:r w:rsidR="00252687" w:rsidRPr="00675C65">
        <w:rPr>
          <w:lang w:val="it-CH"/>
        </w:rPr>
        <w:t>.</w:t>
      </w:r>
    </w:p>
    <w:p w14:paraId="06DEC121" w14:textId="68D17A9D" w:rsidR="00252687" w:rsidRPr="00E51727" w:rsidRDefault="00252687" w:rsidP="00252687">
      <w:pPr>
        <w:rPr>
          <w:lang w:val="it-CH"/>
        </w:rPr>
      </w:pPr>
      <w:r w:rsidRPr="00E51727">
        <w:rPr>
          <w:lang w:val="it-CH"/>
        </w:rPr>
        <w:t xml:space="preserve">Il </w:t>
      </w:r>
      <w:r w:rsidR="00F652C1" w:rsidRPr="00E51727">
        <w:rPr>
          <w:lang w:val="it-CH"/>
        </w:rPr>
        <w:t>p</w:t>
      </w:r>
      <w:r w:rsidRPr="00E51727">
        <w:rPr>
          <w:lang w:val="it-CH"/>
        </w:rPr>
        <w:t xml:space="preserve">iano settoriale </w:t>
      </w:r>
      <w:r w:rsidR="001815B2" w:rsidRPr="00E51727">
        <w:rPr>
          <w:lang w:val="it-CH"/>
        </w:rPr>
        <w:t>è</w:t>
      </w:r>
      <w:r w:rsidR="00C03A08">
        <w:rPr>
          <w:lang w:val="it-CH"/>
        </w:rPr>
        <w:t xml:space="preserve"> corredato</w:t>
      </w:r>
      <w:r w:rsidRPr="00E51727">
        <w:rPr>
          <w:lang w:val="it-CH"/>
        </w:rPr>
        <w:t xml:space="preserve"> da un </w:t>
      </w:r>
      <w:r w:rsidR="001815B2" w:rsidRPr="00E51727">
        <w:rPr>
          <w:lang w:val="it-CH"/>
        </w:rPr>
        <w:t>r</w:t>
      </w:r>
      <w:r w:rsidRPr="00E51727">
        <w:rPr>
          <w:lang w:val="it-CH"/>
        </w:rPr>
        <w:t>apporto esplicativo.</w:t>
      </w:r>
    </w:p>
    <w:p w14:paraId="17C0000C" w14:textId="0D3B2E49" w:rsidR="00855F89" w:rsidRDefault="001815B2" w:rsidP="00252687">
      <w:pPr>
        <w:rPr>
          <w:lang w:val="it-CH"/>
        </w:rPr>
      </w:pPr>
      <w:r w:rsidRPr="00E51727">
        <w:rPr>
          <w:lang w:val="it-CH"/>
        </w:rPr>
        <w:t>Il</w:t>
      </w:r>
      <w:r w:rsidR="00252687" w:rsidRPr="00E51727">
        <w:rPr>
          <w:lang w:val="it-CH"/>
        </w:rPr>
        <w:t xml:space="preserve"> modello di </w:t>
      </w:r>
      <w:proofErr w:type="spellStart"/>
      <w:r w:rsidR="00252687" w:rsidRPr="00E51727">
        <w:rPr>
          <w:lang w:val="it-CH"/>
        </w:rPr>
        <w:t>geodati</w:t>
      </w:r>
      <w:proofErr w:type="spellEnd"/>
      <w:r w:rsidR="00252687" w:rsidRPr="00E51727">
        <w:rPr>
          <w:lang w:val="it-CH"/>
        </w:rPr>
        <w:t xml:space="preserve"> </w:t>
      </w:r>
      <w:r w:rsidR="00252687" w:rsidRPr="0076118B">
        <w:rPr>
          <w:lang w:val="it-CH"/>
        </w:rPr>
        <w:t>minimo (</w:t>
      </w:r>
      <w:r w:rsidR="00B93523" w:rsidRPr="0076118B">
        <w:rPr>
          <w:lang w:val="it-CH"/>
        </w:rPr>
        <w:t xml:space="preserve">N° 68 </w:t>
      </w:r>
      <w:proofErr w:type="spellStart"/>
      <w:r w:rsidR="00B93523" w:rsidRPr="0076118B">
        <w:rPr>
          <w:lang w:val="it-CH"/>
        </w:rPr>
        <w:t>Surfaces</w:t>
      </w:r>
      <w:proofErr w:type="spellEnd"/>
      <w:r w:rsidR="00B93523" w:rsidRPr="0076118B">
        <w:rPr>
          <w:lang w:val="it-CH"/>
        </w:rPr>
        <w:t xml:space="preserve"> d’</w:t>
      </w:r>
      <w:proofErr w:type="spellStart"/>
      <w:r w:rsidR="00B93523" w:rsidRPr="0076118B">
        <w:rPr>
          <w:lang w:val="it-CH"/>
        </w:rPr>
        <w:t>assolement</w:t>
      </w:r>
      <w:proofErr w:type="spellEnd"/>
      <w:r w:rsidR="00B93523" w:rsidRPr="0076118B">
        <w:rPr>
          <w:lang w:val="it-CH"/>
        </w:rPr>
        <w:t xml:space="preserve"> </w:t>
      </w:r>
      <w:proofErr w:type="spellStart"/>
      <w:r w:rsidR="00B93523" w:rsidRPr="0076118B">
        <w:rPr>
          <w:lang w:val="it-CH"/>
        </w:rPr>
        <w:t>selon</w:t>
      </w:r>
      <w:proofErr w:type="spellEnd"/>
      <w:r w:rsidR="00B93523" w:rsidRPr="0076118B">
        <w:rPr>
          <w:lang w:val="it-CH"/>
        </w:rPr>
        <w:t xml:space="preserve"> le </w:t>
      </w:r>
      <w:proofErr w:type="spellStart"/>
      <w:r w:rsidR="00B93523" w:rsidRPr="0076118B">
        <w:rPr>
          <w:lang w:val="it-CH"/>
        </w:rPr>
        <w:t>plan</w:t>
      </w:r>
      <w:proofErr w:type="spellEnd"/>
      <w:r w:rsidR="00B93523" w:rsidRPr="0076118B">
        <w:rPr>
          <w:lang w:val="it-CH"/>
        </w:rPr>
        <w:t xml:space="preserve"> </w:t>
      </w:r>
      <w:proofErr w:type="spellStart"/>
      <w:r w:rsidR="00B93523" w:rsidRPr="0076118B">
        <w:rPr>
          <w:lang w:val="it-CH"/>
        </w:rPr>
        <w:t>sectoriel</w:t>
      </w:r>
      <w:proofErr w:type="spellEnd"/>
      <w:r w:rsidR="00B93523" w:rsidRPr="0076118B">
        <w:rPr>
          <w:lang w:val="it-CH"/>
        </w:rPr>
        <w:t xml:space="preserve"> SA</w:t>
      </w:r>
      <w:r w:rsidR="00252687" w:rsidRPr="0076118B">
        <w:rPr>
          <w:lang w:val="it-CH"/>
        </w:rPr>
        <w:t xml:space="preserve">) </w:t>
      </w:r>
      <w:r w:rsidRPr="0076118B">
        <w:rPr>
          <w:lang w:val="it-CH"/>
        </w:rPr>
        <w:t>integra anch’esso</w:t>
      </w:r>
      <w:r w:rsidR="00252687" w:rsidRPr="00E51727">
        <w:rPr>
          <w:lang w:val="it-CH"/>
        </w:rPr>
        <w:t xml:space="preserve"> il </w:t>
      </w:r>
      <w:r w:rsidRPr="00E51727">
        <w:rPr>
          <w:lang w:val="it-CH"/>
        </w:rPr>
        <w:t>p</w:t>
      </w:r>
      <w:r w:rsidR="00252687" w:rsidRPr="00E51727">
        <w:rPr>
          <w:lang w:val="it-CH"/>
        </w:rPr>
        <w:t>iano settoriale e descrive la modell</w:t>
      </w:r>
      <w:r w:rsidR="00AC5884" w:rsidRPr="00E51727">
        <w:rPr>
          <w:lang w:val="it-CH"/>
        </w:rPr>
        <w:t>izzazione</w:t>
      </w:r>
      <w:r w:rsidR="00252687" w:rsidRPr="00E51727">
        <w:rPr>
          <w:lang w:val="it-CH"/>
        </w:rPr>
        <w:t xml:space="preserve"> dei </w:t>
      </w:r>
      <w:proofErr w:type="spellStart"/>
      <w:r w:rsidR="00252687" w:rsidRPr="00E51727">
        <w:rPr>
          <w:lang w:val="it-CH"/>
        </w:rPr>
        <w:t>geodati</w:t>
      </w:r>
      <w:proofErr w:type="spellEnd"/>
      <w:r w:rsidR="00252687" w:rsidRPr="00E51727">
        <w:rPr>
          <w:lang w:val="it-CH"/>
        </w:rPr>
        <w:t xml:space="preserve"> di base </w:t>
      </w:r>
      <w:r w:rsidR="00855F89">
        <w:rPr>
          <w:lang w:val="it-CH"/>
        </w:rPr>
        <w:t>degli inventari cantonali delle</w:t>
      </w:r>
      <w:r w:rsidR="00252687" w:rsidRPr="00E51727">
        <w:rPr>
          <w:lang w:val="it-CH"/>
        </w:rPr>
        <w:t xml:space="preserve"> SAC</w:t>
      </w:r>
      <w:r w:rsidR="3120AD34" w:rsidRPr="00E51727">
        <w:rPr>
          <w:lang w:val="it-CH"/>
        </w:rPr>
        <w:t>.</w:t>
      </w:r>
    </w:p>
    <w:p w14:paraId="09BD3027" w14:textId="36FC7D32" w:rsidR="00252687" w:rsidRPr="00E51727" w:rsidRDefault="00252687" w:rsidP="00252687">
      <w:pPr>
        <w:rPr>
          <w:lang w:val="it-CH"/>
        </w:rPr>
      </w:pPr>
      <w:bookmarkStart w:id="24" w:name="_Ref511200753"/>
      <w:r w:rsidRPr="00E51727">
        <w:rPr>
          <w:lang w:val="it-CH"/>
        </w:rPr>
        <w:t xml:space="preserve">I capitoli </w:t>
      </w:r>
      <w:r w:rsidR="00122CC4" w:rsidRPr="00E51727">
        <w:rPr>
          <w:lang w:val="it-CH"/>
        </w:rPr>
        <w:fldChar w:fldCharType="begin"/>
      </w:r>
      <w:r w:rsidR="00122CC4" w:rsidRPr="00E51727">
        <w:rPr>
          <w:lang w:val="it-CH"/>
        </w:rPr>
        <w:instrText xml:space="preserve"> REF _Ref526428492 \r \h </w:instrText>
      </w:r>
      <w:r w:rsidR="00122CC4" w:rsidRPr="00E51727">
        <w:rPr>
          <w:lang w:val="it-CH"/>
        </w:rPr>
      </w:r>
      <w:r w:rsidR="00122CC4" w:rsidRPr="00E51727">
        <w:rPr>
          <w:lang w:val="it-CH"/>
        </w:rPr>
        <w:fldChar w:fldCharType="separate"/>
      </w:r>
      <w:r w:rsidR="00BD32B4">
        <w:rPr>
          <w:lang w:val="it-CH"/>
        </w:rPr>
        <w:t>3</w:t>
      </w:r>
      <w:r w:rsidR="00122CC4" w:rsidRPr="00E51727">
        <w:rPr>
          <w:lang w:val="it-CH"/>
        </w:rPr>
        <w:fldChar w:fldCharType="end"/>
      </w:r>
      <w:r w:rsidR="00122CC4" w:rsidRPr="00E51727">
        <w:rPr>
          <w:lang w:val="it-CH"/>
        </w:rPr>
        <w:t xml:space="preserve"> </w:t>
      </w:r>
      <w:r w:rsidRPr="00E51727">
        <w:rPr>
          <w:lang w:val="it-CH"/>
        </w:rPr>
        <w:t>e</w:t>
      </w:r>
      <w:r w:rsidR="00122CC4" w:rsidRPr="00E51727">
        <w:rPr>
          <w:lang w:val="it-CH"/>
        </w:rPr>
        <w:t xml:space="preserve"> </w:t>
      </w:r>
      <w:r w:rsidR="00122CC4" w:rsidRPr="00E51727">
        <w:rPr>
          <w:lang w:val="it-CH"/>
        </w:rPr>
        <w:fldChar w:fldCharType="begin"/>
      </w:r>
      <w:r w:rsidR="00122CC4" w:rsidRPr="00E51727">
        <w:rPr>
          <w:lang w:val="it-CH"/>
        </w:rPr>
        <w:instrText xml:space="preserve"> REF _Ref526428497 \r \h </w:instrText>
      </w:r>
      <w:r w:rsidR="00122CC4" w:rsidRPr="00E51727">
        <w:rPr>
          <w:lang w:val="it-CH"/>
        </w:rPr>
      </w:r>
      <w:r w:rsidR="00122CC4" w:rsidRPr="00E51727">
        <w:rPr>
          <w:lang w:val="it-CH"/>
        </w:rPr>
        <w:fldChar w:fldCharType="separate"/>
      </w:r>
      <w:r w:rsidR="00BD32B4">
        <w:rPr>
          <w:lang w:val="it-CH"/>
        </w:rPr>
        <w:t>4</w:t>
      </w:r>
      <w:r w:rsidR="00122CC4" w:rsidRPr="00E51727">
        <w:rPr>
          <w:lang w:val="it-CH"/>
        </w:rPr>
        <w:fldChar w:fldCharType="end"/>
      </w:r>
      <w:r w:rsidR="00122CC4" w:rsidRPr="00E51727">
        <w:rPr>
          <w:lang w:val="it-CH"/>
        </w:rPr>
        <w:t xml:space="preserve"> </w:t>
      </w:r>
      <w:r w:rsidR="00C75031" w:rsidRPr="00E51727">
        <w:rPr>
          <w:lang w:val="it-CH"/>
        </w:rPr>
        <w:t>riassumono</w:t>
      </w:r>
      <w:r w:rsidRPr="00E51727">
        <w:rPr>
          <w:lang w:val="it-CH"/>
        </w:rPr>
        <w:t xml:space="preserve"> </w:t>
      </w:r>
      <w:r w:rsidR="00C03A08">
        <w:rPr>
          <w:lang w:val="it-CH"/>
        </w:rPr>
        <w:t>le indicazioni</w:t>
      </w:r>
      <w:r w:rsidR="00F46908" w:rsidRPr="00E51727">
        <w:rPr>
          <w:lang w:val="it-CH"/>
        </w:rPr>
        <w:t xml:space="preserve"> </w:t>
      </w:r>
      <w:r w:rsidR="00855F89">
        <w:rPr>
          <w:lang w:val="it-CH"/>
        </w:rPr>
        <w:t xml:space="preserve">esplicitamente </w:t>
      </w:r>
      <w:r w:rsidR="00F46908" w:rsidRPr="00E51727">
        <w:rPr>
          <w:lang w:val="it-CH"/>
        </w:rPr>
        <w:t>vincolanti per le autorità</w:t>
      </w:r>
      <w:r w:rsidR="00C03A08">
        <w:rPr>
          <w:lang w:val="it-CH"/>
        </w:rPr>
        <w:t>, le</w:t>
      </w:r>
      <w:r w:rsidR="00855F89">
        <w:rPr>
          <w:lang w:val="it-CH"/>
        </w:rPr>
        <w:t xml:space="preserve"> quali vengono</w:t>
      </w:r>
      <w:r w:rsidR="00675C65">
        <w:rPr>
          <w:lang w:val="it-CH"/>
        </w:rPr>
        <w:t xml:space="preserve"> </w:t>
      </w:r>
      <w:r w:rsidR="00855F89">
        <w:rPr>
          <w:lang w:val="it-CH"/>
        </w:rPr>
        <w:t>evidenziat</w:t>
      </w:r>
      <w:r w:rsidR="00C03A08">
        <w:rPr>
          <w:lang w:val="it-CH"/>
        </w:rPr>
        <w:t>e</w:t>
      </w:r>
      <w:r w:rsidR="00855F89">
        <w:rPr>
          <w:lang w:val="it-CH"/>
        </w:rPr>
        <w:t xml:space="preserve"> con uno sfondo grigio</w:t>
      </w:r>
      <w:r w:rsidRPr="00E51727">
        <w:rPr>
          <w:lang w:val="it-CH"/>
        </w:rPr>
        <w:t>.</w:t>
      </w:r>
    </w:p>
    <w:p w14:paraId="1A6662B3" w14:textId="7EC0818B" w:rsidR="00122CC4" w:rsidRDefault="00F46908" w:rsidP="00252687">
      <w:pPr>
        <w:rPr>
          <w:lang w:val="it-CH"/>
        </w:rPr>
      </w:pPr>
      <w:r w:rsidRPr="00E51727">
        <w:rPr>
          <w:lang w:val="it-CH"/>
        </w:rPr>
        <w:t xml:space="preserve">La </w:t>
      </w:r>
      <w:r w:rsidR="00252687" w:rsidRPr="00E51727">
        <w:rPr>
          <w:lang w:val="it-CH"/>
        </w:rPr>
        <w:t>formulazion</w:t>
      </w:r>
      <w:r w:rsidRPr="00E51727">
        <w:rPr>
          <w:lang w:val="it-CH"/>
        </w:rPr>
        <w:t>e è volutamente concisa</w:t>
      </w:r>
      <w:r w:rsidR="00252687" w:rsidRPr="00E51727">
        <w:rPr>
          <w:lang w:val="it-CH"/>
        </w:rPr>
        <w:t xml:space="preserve">. Le </w:t>
      </w:r>
      <w:r w:rsidRPr="00E51727">
        <w:rPr>
          <w:lang w:val="it-CH"/>
        </w:rPr>
        <w:t>considerazioni</w:t>
      </w:r>
      <w:r w:rsidR="00252687" w:rsidRPr="00E51727">
        <w:rPr>
          <w:lang w:val="it-CH"/>
        </w:rPr>
        <w:t xml:space="preserve"> del Rapporto esplicativo contribuiscono </w:t>
      </w:r>
      <w:r w:rsidR="00A86AAF">
        <w:rPr>
          <w:lang w:val="it-CH"/>
        </w:rPr>
        <w:t>a migliorare</w:t>
      </w:r>
      <w:r w:rsidR="00252687" w:rsidRPr="00E51727">
        <w:rPr>
          <w:lang w:val="it-CH"/>
        </w:rPr>
        <w:t xml:space="preserve"> la comprensione </w:t>
      </w:r>
      <w:r w:rsidRPr="00E51727">
        <w:rPr>
          <w:lang w:val="it-CH"/>
        </w:rPr>
        <w:t xml:space="preserve">dei principali elementi del </w:t>
      </w:r>
      <w:r w:rsidR="00E62FDA">
        <w:rPr>
          <w:lang w:val="it-CH"/>
        </w:rPr>
        <w:t>p</w:t>
      </w:r>
      <w:r w:rsidR="00252687" w:rsidRPr="00E51727">
        <w:rPr>
          <w:lang w:val="it-CH"/>
        </w:rPr>
        <w:t xml:space="preserve">iano settoriale e precisano, </w:t>
      </w:r>
      <w:r w:rsidRPr="00E51727">
        <w:rPr>
          <w:lang w:val="it-CH"/>
        </w:rPr>
        <w:t>se necessario</w:t>
      </w:r>
      <w:r w:rsidR="00252687" w:rsidRPr="00E51727">
        <w:rPr>
          <w:lang w:val="it-CH"/>
        </w:rPr>
        <w:t xml:space="preserve">, processi e </w:t>
      </w:r>
      <w:r w:rsidR="00F652C1" w:rsidRPr="00E51727">
        <w:rPr>
          <w:lang w:val="it-CH"/>
        </w:rPr>
        <w:t>approcci</w:t>
      </w:r>
      <w:r w:rsidR="00A81E2D">
        <w:rPr>
          <w:lang w:val="it-CH"/>
        </w:rPr>
        <w:t>,</w:t>
      </w:r>
      <w:r w:rsidR="00881245" w:rsidRPr="00E51727">
        <w:rPr>
          <w:lang w:val="it-CH"/>
        </w:rPr>
        <w:t xml:space="preserve"> </w:t>
      </w:r>
      <w:r w:rsidR="00A81E2D">
        <w:rPr>
          <w:lang w:val="it-CH"/>
        </w:rPr>
        <w:t>fornendo</w:t>
      </w:r>
      <w:r w:rsidR="00252687" w:rsidRPr="00E51727">
        <w:rPr>
          <w:lang w:val="it-CH"/>
        </w:rPr>
        <w:t xml:space="preserve"> eventuali </w:t>
      </w:r>
      <w:r w:rsidR="00881245" w:rsidRPr="00E51727">
        <w:rPr>
          <w:lang w:val="it-CH"/>
        </w:rPr>
        <w:t>giustificazioni</w:t>
      </w:r>
      <w:r w:rsidR="00122CC4" w:rsidRPr="00E51727">
        <w:rPr>
          <w:lang w:val="it-CH"/>
        </w:rPr>
        <w:t>.</w:t>
      </w:r>
    </w:p>
    <w:p w14:paraId="7E78E3F5" w14:textId="4BC92EE6" w:rsidR="00A86AAF" w:rsidRPr="00E51727" w:rsidRDefault="00A86AAF" w:rsidP="00252687">
      <w:pPr>
        <w:rPr>
          <w:lang w:val="it-CH"/>
        </w:rPr>
      </w:pPr>
      <w:r w:rsidRPr="00A86AAF">
        <w:rPr>
          <w:lang w:val="it-CH"/>
        </w:rPr>
        <w:lastRenderedPageBreak/>
        <w:t xml:space="preserve">I diversi termini </w:t>
      </w:r>
      <w:r>
        <w:rPr>
          <w:lang w:val="it-CH"/>
        </w:rPr>
        <w:t xml:space="preserve">utilizzati </w:t>
      </w:r>
      <w:r w:rsidRPr="00A86AAF">
        <w:rPr>
          <w:lang w:val="it-CH"/>
        </w:rPr>
        <w:t>in relazione con le SAC</w:t>
      </w:r>
      <w:r>
        <w:rPr>
          <w:lang w:val="it-CH"/>
        </w:rPr>
        <w:t>,</w:t>
      </w:r>
      <w:r w:rsidRPr="00A86AAF">
        <w:rPr>
          <w:lang w:val="it-CH"/>
        </w:rPr>
        <w:t xml:space="preserve"> come ad esempio «inventario», «contingente» ecc. sono </w:t>
      </w:r>
      <w:r>
        <w:rPr>
          <w:lang w:val="it-CH"/>
        </w:rPr>
        <w:t>spiegati</w:t>
      </w:r>
      <w:r w:rsidRPr="00A86AAF">
        <w:rPr>
          <w:lang w:val="it-CH"/>
        </w:rPr>
        <w:t xml:space="preserve"> nel cap</w:t>
      </w:r>
      <w:r w:rsidR="00675C65">
        <w:rPr>
          <w:lang w:val="it-CH"/>
        </w:rPr>
        <w:t>.</w:t>
      </w:r>
      <w:r w:rsidRPr="00A86AAF">
        <w:rPr>
          <w:lang w:val="it-CH"/>
        </w:rPr>
        <w:t xml:space="preserve"> </w:t>
      </w:r>
      <w:r w:rsidRPr="00A86AAF">
        <w:fldChar w:fldCharType="begin"/>
      </w:r>
      <w:r w:rsidRPr="00A86AAF">
        <w:rPr>
          <w:lang w:val="it-IT"/>
        </w:rPr>
        <w:instrText xml:space="preserve"> REF _Ref531024525 \r \h </w:instrText>
      </w:r>
      <w:r w:rsidRPr="00A86AAF">
        <w:fldChar w:fldCharType="separate"/>
      </w:r>
      <w:r w:rsidR="00BD32B4">
        <w:rPr>
          <w:lang w:val="it-IT"/>
        </w:rPr>
        <w:t>6.1</w:t>
      </w:r>
      <w:r w:rsidRPr="00A86AAF">
        <w:rPr>
          <w:lang w:val="it-CH"/>
        </w:rPr>
        <w:fldChar w:fldCharType="end"/>
      </w:r>
      <w:r w:rsidRPr="00A86AAF">
        <w:rPr>
          <w:lang w:val="it-CH"/>
        </w:rPr>
        <w:t xml:space="preserve">. </w:t>
      </w:r>
      <w:r>
        <w:rPr>
          <w:lang w:val="it-CH"/>
        </w:rPr>
        <w:t xml:space="preserve">Essi sono </w:t>
      </w:r>
      <w:r w:rsidR="00675C65">
        <w:rPr>
          <w:lang w:val="it-CH"/>
        </w:rPr>
        <w:t>essenziali</w:t>
      </w:r>
      <w:r>
        <w:rPr>
          <w:lang w:val="it-CH"/>
        </w:rPr>
        <w:t xml:space="preserve"> per </w:t>
      </w:r>
      <w:r w:rsidRPr="00675C65">
        <w:rPr>
          <w:lang w:val="it-CH"/>
        </w:rPr>
        <w:t>poter comprendere</w:t>
      </w:r>
      <w:r w:rsidR="00675C65" w:rsidRPr="00675C65">
        <w:rPr>
          <w:lang w:val="it-CH"/>
        </w:rPr>
        <w:t xml:space="preserve"> </w:t>
      </w:r>
      <w:r w:rsidRPr="00675C65">
        <w:rPr>
          <w:lang w:val="it-CH"/>
        </w:rPr>
        <w:t>correttamente le seguenti</w:t>
      </w:r>
      <w:r w:rsidRPr="00A86AAF">
        <w:rPr>
          <w:lang w:val="it-CH"/>
        </w:rPr>
        <w:t xml:space="preserve"> </w:t>
      </w:r>
      <w:r>
        <w:rPr>
          <w:lang w:val="it-CH"/>
        </w:rPr>
        <w:t>considerazioni</w:t>
      </w:r>
      <w:r w:rsidRPr="00A86AAF">
        <w:rPr>
          <w:lang w:val="it-CH"/>
        </w:rPr>
        <w:t>.</w:t>
      </w:r>
    </w:p>
    <w:p w14:paraId="44D9F0A3" w14:textId="6012A5B8" w:rsidR="007B6805" w:rsidRPr="00E51727" w:rsidRDefault="00236471" w:rsidP="000001B4">
      <w:pPr>
        <w:pStyle w:val="berschrift1"/>
        <w:rPr>
          <w:lang w:val="it-CH"/>
        </w:rPr>
      </w:pPr>
      <w:bookmarkStart w:id="25" w:name="_Ref526428492"/>
      <w:bookmarkStart w:id="26" w:name="_Toc526428723"/>
      <w:bookmarkStart w:id="27" w:name="_Toc533053014"/>
      <w:r w:rsidRPr="00E51727">
        <w:rPr>
          <w:lang w:val="it-CH"/>
        </w:rPr>
        <w:t>Obiettivo e indicazioni</w:t>
      </w:r>
      <w:bookmarkEnd w:id="24"/>
      <w:bookmarkEnd w:id="25"/>
      <w:bookmarkEnd w:id="26"/>
      <w:bookmarkEnd w:id="27"/>
    </w:p>
    <w:p w14:paraId="14083B35" w14:textId="52A3F561" w:rsidR="007B6805" w:rsidRPr="00E51727" w:rsidRDefault="00236471" w:rsidP="0084452A">
      <w:pPr>
        <w:pStyle w:val="berschrift2"/>
        <w:tabs>
          <w:tab w:val="clear" w:pos="1135"/>
        </w:tabs>
        <w:jc w:val="both"/>
        <w:rPr>
          <w:lang w:val="it-CH"/>
        </w:rPr>
      </w:pPr>
      <w:bookmarkStart w:id="28" w:name="_Toc359397559"/>
      <w:bookmarkStart w:id="29" w:name="_Toc533053015"/>
      <w:r w:rsidRPr="00E51727">
        <w:rPr>
          <w:lang w:val="it-CH"/>
        </w:rPr>
        <w:t>Obiettivo</w:t>
      </w:r>
      <w:bookmarkEnd w:id="29"/>
    </w:p>
    <w:tbl>
      <w:tblPr>
        <w:tblStyle w:val="Tabellenraster"/>
        <w:tblW w:w="90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ayout w:type="fixed"/>
        <w:tblLook w:val="04A0" w:firstRow="1" w:lastRow="0" w:firstColumn="1" w:lastColumn="0" w:noHBand="0" w:noVBand="1"/>
      </w:tblPr>
      <w:tblGrid>
        <w:gridCol w:w="9066"/>
      </w:tblGrid>
      <w:tr w:rsidR="00237714" w:rsidRPr="00E51727" w14:paraId="4DB5961C" w14:textId="77777777" w:rsidTr="000E0979">
        <w:trPr>
          <w:trHeight w:val="567"/>
        </w:trPr>
        <w:tc>
          <w:tcPr>
            <w:tcW w:w="9066" w:type="dxa"/>
            <w:tcBorders>
              <w:bottom w:val="single" w:sz="4" w:space="0" w:color="auto"/>
            </w:tcBorders>
            <w:shd w:val="clear" w:color="auto" w:fill="767171"/>
          </w:tcPr>
          <w:p w14:paraId="46E15639" w14:textId="649D6201" w:rsidR="00237714" w:rsidRPr="00E51727" w:rsidRDefault="00236471" w:rsidP="325E5E49">
            <w:pPr>
              <w:spacing w:before="120"/>
              <w:rPr>
                <w:b/>
                <w:bCs/>
                <w:sz w:val="24"/>
                <w:szCs w:val="24"/>
                <w:lang w:val="it-CH"/>
              </w:rPr>
            </w:pPr>
            <w:r w:rsidRPr="00E51727">
              <w:rPr>
                <w:b/>
                <w:bCs/>
                <w:sz w:val="24"/>
                <w:szCs w:val="24"/>
                <w:lang w:val="it-CH"/>
              </w:rPr>
              <w:t>OBIETTIVO</w:t>
            </w:r>
          </w:p>
        </w:tc>
      </w:tr>
      <w:tr w:rsidR="00162A09" w:rsidRPr="002C06C6" w14:paraId="6A626C24" w14:textId="77777777" w:rsidTr="000E0979">
        <w:trPr>
          <w:trHeight w:val="1692"/>
        </w:trPr>
        <w:tc>
          <w:tcPr>
            <w:tcW w:w="90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2A64FB" w14:textId="29B4D3E4" w:rsidR="00162A09" w:rsidRPr="00F92E59" w:rsidRDefault="00F92E59" w:rsidP="000048F0">
            <w:pPr>
              <w:shd w:val="clear" w:color="auto" w:fill="D9D9D9" w:themeFill="background1" w:themeFillShade="D9"/>
              <w:spacing w:before="120"/>
              <w:rPr>
                <w:lang w:val="it-CH"/>
              </w:rPr>
            </w:pPr>
            <w:r w:rsidRPr="00CC45F6">
              <w:rPr>
                <w:b/>
                <w:bCs/>
                <w:lang w:val="it-CH"/>
              </w:rPr>
              <w:t>Con il Piano settoriale SAC</w:t>
            </w:r>
            <w:r>
              <w:rPr>
                <w:b/>
                <w:bCs/>
                <w:lang w:val="it-CH"/>
              </w:rPr>
              <w:t>,</w:t>
            </w:r>
            <w:r w:rsidR="00390190">
              <w:rPr>
                <w:b/>
                <w:bCs/>
                <w:lang w:val="it-CH"/>
              </w:rPr>
              <w:t xml:space="preserve"> i suoli agricoli migliori </w:t>
            </w:r>
            <w:bookmarkStart w:id="30" w:name="_Hlk528314602"/>
            <w:r w:rsidRPr="00CC45F6">
              <w:rPr>
                <w:b/>
                <w:bCs/>
                <w:lang w:val="it-CH"/>
              </w:rPr>
              <w:t xml:space="preserve">della Svizzera </w:t>
            </w:r>
            <w:bookmarkEnd w:id="30"/>
            <w:r w:rsidRPr="00CC45F6">
              <w:rPr>
                <w:b/>
                <w:bCs/>
                <w:lang w:val="it-CH"/>
              </w:rPr>
              <w:t>vengono garantit</w:t>
            </w:r>
            <w:r w:rsidR="00390190">
              <w:rPr>
                <w:b/>
                <w:bCs/>
                <w:lang w:val="it-CH"/>
              </w:rPr>
              <w:t>i</w:t>
            </w:r>
            <w:r w:rsidRPr="00CC45F6">
              <w:rPr>
                <w:b/>
                <w:bCs/>
                <w:lang w:val="it-CH"/>
              </w:rPr>
              <w:t>, nel lungo periodo, in termini sia qualitativi che quantitativi</w:t>
            </w:r>
            <w:r w:rsidR="00162A09" w:rsidRPr="00F92E59">
              <w:rPr>
                <w:b/>
                <w:bCs/>
                <w:lang w:val="it-CH"/>
              </w:rPr>
              <w:t>.</w:t>
            </w:r>
          </w:p>
          <w:p w14:paraId="32A12057" w14:textId="46DAB3F4" w:rsidR="00162A09" w:rsidRPr="00E51727" w:rsidRDefault="00881245" w:rsidP="00A6154F">
            <w:pPr>
              <w:rPr>
                <w:lang w:val="it-CH"/>
              </w:rPr>
            </w:pPr>
            <w:r w:rsidRPr="00E51727">
              <w:rPr>
                <w:lang w:val="it-CH"/>
              </w:rPr>
              <w:t>Per quanto riguarda</w:t>
            </w:r>
            <w:r w:rsidR="00236471" w:rsidRPr="00E51727">
              <w:rPr>
                <w:lang w:val="it-CH"/>
              </w:rPr>
              <w:t xml:space="preserve"> la produzione di </w:t>
            </w:r>
            <w:r w:rsidRPr="00E51727">
              <w:rPr>
                <w:lang w:val="it-CH"/>
              </w:rPr>
              <w:t xml:space="preserve">derrate </w:t>
            </w:r>
            <w:r w:rsidR="00236471" w:rsidRPr="00E51727">
              <w:rPr>
                <w:lang w:val="it-CH"/>
              </w:rPr>
              <w:t xml:space="preserve">alimentari, le SAC </w:t>
            </w:r>
            <w:r w:rsidR="008B29EA" w:rsidRPr="00E51727">
              <w:rPr>
                <w:lang w:val="it-CH"/>
              </w:rPr>
              <w:t>rappresentano</w:t>
            </w:r>
            <w:r w:rsidR="00236471" w:rsidRPr="00E51727">
              <w:rPr>
                <w:lang w:val="it-CH"/>
              </w:rPr>
              <w:t xml:space="preserve"> la </w:t>
            </w:r>
            <w:r w:rsidR="005204DC" w:rsidRPr="00E51727">
              <w:rPr>
                <w:lang w:val="it-CH"/>
              </w:rPr>
              <w:t xml:space="preserve">componente più </w:t>
            </w:r>
            <w:r w:rsidR="00C570F6" w:rsidRPr="00E51727">
              <w:rPr>
                <w:lang w:val="it-CH"/>
              </w:rPr>
              <w:t>pregiata</w:t>
            </w:r>
            <w:r w:rsidR="005204DC" w:rsidRPr="00E51727">
              <w:rPr>
                <w:lang w:val="it-CH"/>
              </w:rPr>
              <w:t xml:space="preserve"> della superficie agricola</w:t>
            </w:r>
            <w:r w:rsidR="00236471" w:rsidRPr="00E51727">
              <w:rPr>
                <w:lang w:val="it-CH"/>
              </w:rPr>
              <w:t xml:space="preserve"> e </w:t>
            </w:r>
            <w:r w:rsidR="008B29EA" w:rsidRPr="00E51727">
              <w:rPr>
                <w:lang w:val="it-CH"/>
              </w:rPr>
              <w:t xml:space="preserve">insieme i terreni coltivi </w:t>
            </w:r>
            <w:r w:rsidR="00570F7B" w:rsidRPr="00E51727">
              <w:rPr>
                <w:lang w:val="it-CH"/>
              </w:rPr>
              <w:t>di migliore qualità</w:t>
            </w:r>
            <w:r w:rsidR="00236471" w:rsidRPr="00E51727">
              <w:rPr>
                <w:lang w:val="it-CH"/>
              </w:rPr>
              <w:t xml:space="preserve">. </w:t>
            </w:r>
            <w:r w:rsidR="008B29EA" w:rsidRPr="00E51727">
              <w:rPr>
                <w:lang w:val="it-CH"/>
              </w:rPr>
              <w:t>Esse</w:t>
            </w:r>
            <w:r w:rsidR="00236471" w:rsidRPr="00E51727">
              <w:rPr>
                <w:lang w:val="it-CH"/>
              </w:rPr>
              <w:t xml:space="preserve"> comprend</w:t>
            </w:r>
            <w:r w:rsidR="008B29EA" w:rsidRPr="00E51727">
              <w:rPr>
                <w:lang w:val="it-CH"/>
              </w:rPr>
              <w:t>ono</w:t>
            </w:r>
            <w:r w:rsidR="00236471" w:rsidRPr="00E51727">
              <w:rPr>
                <w:lang w:val="it-CH"/>
              </w:rPr>
              <w:t xml:space="preserve"> </w:t>
            </w:r>
            <w:r w:rsidR="008B29EA" w:rsidRPr="00E51727">
              <w:rPr>
                <w:lang w:val="it-CH"/>
              </w:rPr>
              <w:t>soprattutto i</w:t>
            </w:r>
            <w:r w:rsidR="00236471" w:rsidRPr="00E51727">
              <w:rPr>
                <w:lang w:val="it-CH"/>
              </w:rPr>
              <w:t xml:space="preserve"> </w:t>
            </w:r>
            <w:r w:rsidR="008B29EA" w:rsidRPr="00E51727">
              <w:rPr>
                <w:lang w:val="it-CH"/>
              </w:rPr>
              <w:t>campi, i prati artificiali in rotazione e i prati naturali</w:t>
            </w:r>
            <w:r w:rsidR="00162A09" w:rsidRPr="00E51727">
              <w:rPr>
                <w:lang w:val="it-CH"/>
              </w:rPr>
              <w:t>.</w:t>
            </w:r>
          </w:p>
        </w:tc>
      </w:tr>
    </w:tbl>
    <w:p w14:paraId="08830277" w14:textId="1135A03B" w:rsidR="00237714" w:rsidRPr="00E51727" w:rsidRDefault="00237714" w:rsidP="00810877">
      <w:pPr>
        <w:rPr>
          <w:lang w:val="it-CH"/>
        </w:rPr>
      </w:pPr>
    </w:p>
    <w:p w14:paraId="5150B373" w14:textId="2C4B9997" w:rsidR="00E15452" w:rsidRPr="00E51727" w:rsidRDefault="00236471" w:rsidP="00162A09">
      <w:pPr>
        <w:pStyle w:val="berschrift2"/>
        <w:rPr>
          <w:lang w:val="it-CH"/>
        </w:rPr>
      </w:pPr>
      <w:bookmarkStart w:id="31" w:name="_Toc533053016"/>
      <w:r w:rsidRPr="00E51727">
        <w:rPr>
          <w:lang w:val="it-CH"/>
        </w:rPr>
        <w:t>Indicazioni</w:t>
      </w:r>
      <w:bookmarkEnd w:id="31"/>
    </w:p>
    <w:tbl>
      <w:tblPr>
        <w:tblStyle w:val="Tabellenraster"/>
        <w:tblW w:w="90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ayout w:type="fixed"/>
        <w:tblLook w:val="04A0" w:firstRow="1" w:lastRow="0" w:firstColumn="1" w:lastColumn="0" w:noHBand="0" w:noVBand="1"/>
      </w:tblPr>
      <w:tblGrid>
        <w:gridCol w:w="572"/>
        <w:gridCol w:w="8494"/>
      </w:tblGrid>
      <w:tr w:rsidR="00162A09" w:rsidRPr="00E51727" w14:paraId="355077C8" w14:textId="77777777" w:rsidTr="000E0979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767171"/>
          </w:tcPr>
          <w:p w14:paraId="312D638A" w14:textId="1A384404" w:rsidR="00162A09" w:rsidRPr="00E51727" w:rsidRDefault="00236471" w:rsidP="00B60CEB">
            <w:pPr>
              <w:spacing w:before="120"/>
              <w:rPr>
                <w:b/>
                <w:bCs/>
                <w:sz w:val="24"/>
                <w:szCs w:val="24"/>
                <w:lang w:val="it-CH"/>
              </w:rPr>
            </w:pPr>
            <w:r w:rsidRPr="00E51727">
              <w:rPr>
                <w:b/>
                <w:bCs/>
                <w:sz w:val="24"/>
                <w:szCs w:val="24"/>
                <w:lang w:val="it-CH"/>
              </w:rPr>
              <w:t>INDICAZIONI</w:t>
            </w:r>
          </w:p>
        </w:tc>
      </w:tr>
      <w:tr w:rsidR="00162A09" w:rsidRPr="002C06C6" w14:paraId="6B15216A" w14:textId="77777777" w:rsidTr="29D59492">
        <w:tc>
          <w:tcPr>
            <w:tcW w:w="572" w:type="dxa"/>
            <w:shd w:val="clear" w:color="auto" w:fill="D9D9D9" w:themeFill="background1" w:themeFillShade="D9"/>
          </w:tcPr>
          <w:p w14:paraId="7AA88F1A" w14:textId="77777777" w:rsidR="00162A09" w:rsidRPr="00E51727" w:rsidRDefault="00162A09" w:rsidP="00162A09">
            <w:pPr>
              <w:pStyle w:val="Listenabsatz"/>
              <w:numPr>
                <w:ilvl w:val="0"/>
                <w:numId w:val="10"/>
              </w:numPr>
              <w:spacing w:before="120"/>
              <w:rPr>
                <w:b/>
                <w:lang w:val="it-CH"/>
              </w:rPr>
            </w:pPr>
            <w:bookmarkStart w:id="32" w:name="_Ref532981609"/>
          </w:p>
        </w:tc>
        <w:bookmarkEnd w:id="32"/>
        <w:tc>
          <w:tcPr>
            <w:tcW w:w="8494" w:type="dxa"/>
            <w:shd w:val="clear" w:color="auto" w:fill="D9D9D9" w:themeFill="background1" w:themeFillShade="D9"/>
          </w:tcPr>
          <w:p w14:paraId="2F86DC9F" w14:textId="56E9897B" w:rsidR="00162A09" w:rsidRPr="00F92E59" w:rsidRDefault="00F92E59" w:rsidP="00162A09">
            <w:pPr>
              <w:spacing w:before="120"/>
              <w:rPr>
                <w:b/>
                <w:bCs/>
                <w:lang w:val="it-CH"/>
              </w:rPr>
            </w:pPr>
            <w:r w:rsidRPr="00CC45F6">
              <w:rPr>
                <w:b/>
                <w:bCs/>
                <w:lang w:val="it-CH"/>
              </w:rPr>
              <w:t>In tutta la Svizzera occorre garantire un’estensione minima di SAC pari a 438 460 ha</w:t>
            </w:r>
            <w:r w:rsidR="00162A09" w:rsidRPr="00F92E59">
              <w:rPr>
                <w:b/>
                <w:bCs/>
                <w:lang w:val="it-CH"/>
              </w:rPr>
              <w:t>.</w:t>
            </w:r>
            <w:r w:rsidR="00162A09" w:rsidRPr="00F92E59">
              <w:rPr>
                <w:lang w:val="it-CH"/>
              </w:rPr>
              <w:t xml:space="preserve"> </w:t>
            </w:r>
          </w:p>
          <w:p w14:paraId="63CA831F" w14:textId="1931A0E1" w:rsidR="00162A09" w:rsidRPr="00E51727" w:rsidRDefault="00236471" w:rsidP="00A81E2D">
            <w:pPr>
              <w:spacing w:before="120"/>
              <w:rPr>
                <w:lang w:val="it-CH"/>
              </w:rPr>
            </w:pPr>
            <w:r w:rsidRPr="00E51727">
              <w:rPr>
                <w:lang w:val="it-CH"/>
              </w:rPr>
              <w:t xml:space="preserve">Con questa </w:t>
            </w:r>
            <w:r w:rsidR="009E13A4" w:rsidRPr="00E51727">
              <w:rPr>
                <w:lang w:val="it-CH"/>
              </w:rPr>
              <w:t>indicazione</w:t>
            </w:r>
            <w:r w:rsidRPr="00E51727">
              <w:rPr>
                <w:lang w:val="it-CH"/>
              </w:rPr>
              <w:t>, la Confederazione definisce l’estensione</w:t>
            </w:r>
            <w:r w:rsidR="00A81E2D">
              <w:rPr>
                <w:lang w:val="it-CH"/>
              </w:rPr>
              <w:t xml:space="preserve"> totale</w:t>
            </w:r>
            <w:r w:rsidRPr="00E51727">
              <w:rPr>
                <w:lang w:val="it-CH"/>
              </w:rPr>
              <w:t xml:space="preserve"> minima </w:t>
            </w:r>
            <w:r w:rsidR="00A81E2D">
              <w:rPr>
                <w:lang w:val="it-CH"/>
              </w:rPr>
              <w:t>conformemente all</w:t>
            </w:r>
            <w:r w:rsidRPr="00E51727">
              <w:rPr>
                <w:lang w:val="it-CH"/>
              </w:rPr>
              <w:t>’art</w:t>
            </w:r>
            <w:r w:rsidR="001A7378" w:rsidRPr="00E51727">
              <w:rPr>
                <w:lang w:val="it-CH"/>
              </w:rPr>
              <w:t>icolo</w:t>
            </w:r>
            <w:r w:rsidRPr="00E51727">
              <w:rPr>
                <w:lang w:val="it-CH"/>
              </w:rPr>
              <w:t xml:space="preserve"> 29 OPT. Le analisi dell’approvvigionamento economico del Paese forniscono </w:t>
            </w:r>
            <w:r w:rsidR="009E13A4" w:rsidRPr="00E51727">
              <w:rPr>
                <w:lang w:val="it-CH"/>
              </w:rPr>
              <w:t xml:space="preserve">i </w:t>
            </w:r>
            <w:r w:rsidRPr="00E51727">
              <w:rPr>
                <w:lang w:val="it-CH"/>
              </w:rPr>
              <w:t xml:space="preserve">valori di </w:t>
            </w:r>
            <w:r w:rsidR="009E13A4" w:rsidRPr="00E51727">
              <w:rPr>
                <w:lang w:val="it-CH"/>
              </w:rPr>
              <w:t xml:space="preserve">massima per la </w:t>
            </w:r>
            <w:r w:rsidR="00E81FB0" w:rsidRPr="00E51727">
              <w:rPr>
                <w:lang w:val="it-CH"/>
              </w:rPr>
              <w:t>determinazione</w:t>
            </w:r>
            <w:r w:rsidRPr="00E51727">
              <w:rPr>
                <w:lang w:val="it-CH"/>
              </w:rPr>
              <w:t xml:space="preserve"> dell’estensione minima delle SAC ai sensi dell’art</w:t>
            </w:r>
            <w:r w:rsidR="001A7378" w:rsidRPr="00E51727">
              <w:rPr>
                <w:lang w:val="it-CH"/>
              </w:rPr>
              <w:t>icolo</w:t>
            </w:r>
            <w:r w:rsidRPr="00E51727">
              <w:rPr>
                <w:lang w:val="it-CH"/>
              </w:rPr>
              <w:t xml:space="preserve"> 27</w:t>
            </w:r>
            <w:r w:rsidR="009E13A4" w:rsidRPr="00E51727">
              <w:rPr>
                <w:lang w:val="it-CH"/>
              </w:rPr>
              <w:t xml:space="preserve"> </w:t>
            </w:r>
            <w:r w:rsidRPr="00E51727">
              <w:rPr>
                <w:lang w:val="it-CH"/>
              </w:rPr>
              <w:t>OPT</w:t>
            </w:r>
            <w:r w:rsidR="00162A09" w:rsidRPr="00E51727">
              <w:rPr>
                <w:lang w:val="it-CH"/>
              </w:rPr>
              <w:t>.</w:t>
            </w:r>
          </w:p>
        </w:tc>
      </w:tr>
      <w:tr w:rsidR="00162A09" w:rsidRPr="002C06C6" w14:paraId="0570584B" w14:textId="77777777" w:rsidTr="29D59492">
        <w:tc>
          <w:tcPr>
            <w:tcW w:w="572" w:type="dxa"/>
            <w:shd w:val="clear" w:color="auto" w:fill="D9D9D9" w:themeFill="background1" w:themeFillShade="D9"/>
          </w:tcPr>
          <w:p w14:paraId="24AFC197" w14:textId="77777777" w:rsidR="00162A09" w:rsidRPr="00E51727" w:rsidRDefault="00162A09" w:rsidP="00B60CEB">
            <w:pPr>
              <w:pStyle w:val="Listenabsatz"/>
              <w:numPr>
                <w:ilvl w:val="0"/>
                <w:numId w:val="10"/>
              </w:numPr>
              <w:rPr>
                <w:b/>
                <w:lang w:val="it-CH"/>
              </w:rPr>
            </w:pPr>
            <w:bookmarkStart w:id="33" w:name="_Ref519167584"/>
          </w:p>
          <w:bookmarkEnd w:id="33"/>
          <w:p w14:paraId="05A28EDB" w14:textId="77777777" w:rsidR="00162A09" w:rsidRPr="00E51727" w:rsidRDefault="00162A09" w:rsidP="00B60CEB">
            <w:pPr>
              <w:rPr>
                <w:b/>
                <w:lang w:val="it-CH"/>
              </w:rPr>
            </w:pPr>
          </w:p>
        </w:tc>
        <w:tc>
          <w:tcPr>
            <w:tcW w:w="8494" w:type="dxa"/>
            <w:shd w:val="clear" w:color="auto" w:fill="D9D9D9" w:themeFill="background1" w:themeFillShade="D9"/>
          </w:tcPr>
          <w:p w14:paraId="505C8F8E" w14:textId="494710BE" w:rsidR="006B475F" w:rsidRPr="00F92E59" w:rsidRDefault="00F92E59" w:rsidP="006B475F">
            <w:pPr>
              <w:spacing w:after="240"/>
              <w:rPr>
                <w:b/>
                <w:bCs/>
                <w:lang w:val="it-CH"/>
              </w:rPr>
            </w:pPr>
            <w:r w:rsidRPr="00CC45F6">
              <w:rPr>
                <w:b/>
                <w:bCs/>
                <w:lang w:val="it-CH"/>
              </w:rPr>
              <w:t>Le quote di superficie</w:t>
            </w:r>
            <w:r w:rsidR="00A81E2D">
              <w:rPr>
                <w:b/>
                <w:bCs/>
                <w:lang w:val="it-CH"/>
              </w:rPr>
              <w:t xml:space="preserve"> cantonali e i corrispondenti </w:t>
            </w:r>
            <w:r w:rsidRPr="00CC45F6">
              <w:rPr>
                <w:b/>
                <w:bCs/>
                <w:lang w:val="it-CH"/>
              </w:rPr>
              <w:t xml:space="preserve">contingenti </w:t>
            </w:r>
            <w:r>
              <w:rPr>
                <w:b/>
                <w:bCs/>
                <w:lang w:val="it-CH"/>
              </w:rPr>
              <w:t xml:space="preserve">SAC </w:t>
            </w:r>
            <w:r w:rsidRPr="00CC45F6">
              <w:rPr>
                <w:b/>
                <w:bCs/>
                <w:lang w:val="it-CH"/>
              </w:rPr>
              <w:t>(valore netto)</w:t>
            </w:r>
            <w:r>
              <w:rPr>
                <w:b/>
                <w:bCs/>
                <w:lang w:val="it-CH"/>
              </w:rPr>
              <w:t xml:space="preserve"> </w:t>
            </w:r>
            <w:r w:rsidRPr="00CC45F6">
              <w:rPr>
                <w:b/>
                <w:bCs/>
                <w:lang w:val="it-CH"/>
              </w:rPr>
              <w:t xml:space="preserve">necessari per garantire l’estensione minima svizzera ammontano almeno </w:t>
            </w:r>
            <w:r>
              <w:rPr>
                <w:b/>
                <w:bCs/>
                <w:lang w:val="it-CH"/>
              </w:rPr>
              <w:t>a</w:t>
            </w:r>
            <w:r w:rsidR="006E66D4" w:rsidRPr="00F92E59">
              <w:rPr>
                <w:b/>
                <w:bCs/>
                <w:lang w:val="it-CH"/>
              </w:rPr>
              <w:t>:</w:t>
            </w:r>
          </w:p>
          <w:tbl>
            <w:tblPr>
              <w:tblStyle w:val="Tabellenraster"/>
              <w:tblpPr w:leftFromText="141" w:rightFromText="141" w:vertAnchor="text" w:horzAnchor="margin" w:tblpY="-57"/>
              <w:tblOverlap w:val="never"/>
              <w:tblW w:w="8084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284"/>
              <w:gridCol w:w="1559"/>
              <w:gridCol w:w="1134"/>
              <w:gridCol w:w="284"/>
              <w:gridCol w:w="1417"/>
              <w:gridCol w:w="1143"/>
            </w:tblGrid>
            <w:tr w:rsidR="00BA2761" w:rsidRPr="002C06C6" w14:paraId="1239FD6A" w14:textId="77777777" w:rsidTr="000048F0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46C56" w14:textId="684330D4" w:rsidR="00BA2761" w:rsidRPr="00885816" w:rsidRDefault="00BA2761" w:rsidP="00BA2761">
                  <w:pPr>
                    <w:spacing w:before="40" w:after="40" w:line="240" w:lineRule="auto"/>
                    <w:rPr>
                      <w:b/>
                      <w:bCs/>
                      <w:lang w:val="it-CH" w:eastAsia="en-US"/>
                    </w:rPr>
                  </w:pPr>
                  <w:r w:rsidRPr="00885816">
                    <w:rPr>
                      <w:b/>
                      <w:lang w:val="it-CH"/>
                    </w:rPr>
                    <w:t>Cantone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ED2764" w14:textId="48FA9F13" w:rsidR="00BA2761" w:rsidRPr="00885816" w:rsidRDefault="00885816" w:rsidP="00BA2761">
                  <w:pPr>
                    <w:spacing w:before="40" w:after="40" w:line="240" w:lineRule="auto"/>
                    <w:rPr>
                      <w:b/>
                      <w:bCs/>
                      <w:lang w:val="it-CH" w:eastAsia="en-US"/>
                    </w:rPr>
                  </w:pPr>
                  <w:r w:rsidRPr="00885816">
                    <w:rPr>
                      <w:b/>
                      <w:lang w:val="it-CH"/>
                    </w:rPr>
                    <w:t>Superficie</w:t>
                  </w:r>
                  <w:r w:rsidR="00BA2761" w:rsidRPr="00885816">
                    <w:rPr>
                      <w:b/>
                      <w:lang w:val="it-CH"/>
                    </w:rPr>
                    <w:t xml:space="preserve"> in ha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0CDC73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b/>
                      <w:bCs/>
                      <w:lang w:val="it-CH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721FAA" w14:textId="6F62D2DA" w:rsidR="00BA2761" w:rsidRPr="00885816" w:rsidRDefault="00BA2761" w:rsidP="00BA2761">
                  <w:pPr>
                    <w:spacing w:before="40" w:after="40" w:line="240" w:lineRule="auto"/>
                    <w:rPr>
                      <w:b/>
                      <w:bCs/>
                      <w:lang w:val="it-CH" w:eastAsia="en-US"/>
                    </w:rPr>
                  </w:pPr>
                  <w:r w:rsidRPr="00885816">
                    <w:rPr>
                      <w:b/>
                      <w:lang w:val="it-CH"/>
                    </w:rPr>
                    <w:t>Cantone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58835" w14:textId="3A8F5EE5" w:rsidR="00BA2761" w:rsidRPr="00885816" w:rsidRDefault="00885816" w:rsidP="00BA2761">
                  <w:pPr>
                    <w:spacing w:before="40" w:after="40" w:line="240" w:lineRule="auto"/>
                    <w:rPr>
                      <w:b/>
                      <w:bCs/>
                      <w:lang w:val="it-CH" w:eastAsia="en-US"/>
                    </w:rPr>
                  </w:pPr>
                  <w:r w:rsidRPr="00885816">
                    <w:rPr>
                      <w:b/>
                      <w:lang w:val="it-CH"/>
                    </w:rPr>
                    <w:t>Superficie</w:t>
                  </w:r>
                  <w:r w:rsidR="00BA2761" w:rsidRPr="00885816">
                    <w:rPr>
                      <w:b/>
                      <w:lang w:val="it-CH"/>
                    </w:rPr>
                    <w:t xml:space="preserve"> in ha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FB75615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b/>
                      <w:bCs/>
                      <w:lang w:val="it-CH"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E5525" w14:textId="2BC14419" w:rsidR="00BA2761" w:rsidRPr="00885816" w:rsidRDefault="00BA2761" w:rsidP="00BA2761">
                  <w:pPr>
                    <w:spacing w:before="40" w:after="40" w:line="240" w:lineRule="auto"/>
                    <w:rPr>
                      <w:b/>
                      <w:bCs/>
                      <w:lang w:val="it-CH" w:eastAsia="en-US"/>
                    </w:rPr>
                  </w:pPr>
                  <w:r w:rsidRPr="00885816">
                    <w:rPr>
                      <w:b/>
                      <w:lang w:val="it-CH"/>
                    </w:rPr>
                    <w:t>Cantone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54D7A" w14:textId="6CD1FC62" w:rsidR="00BA2761" w:rsidRPr="00885816" w:rsidRDefault="00885816" w:rsidP="00BA2761">
                  <w:pPr>
                    <w:spacing w:before="40" w:after="40" w:line="240" w:lineRule="auto"/>
                    <w:rPr>
                      <w:b/>
                      <w:bCs/>
                      <w:lang w:val="it-CH" w:eastAsia="en-US"/>
                    </w:rPr>
                  </w:pPr>
                  <w:r w:rsidRPr="00885816">
                    <w:rPr>
                      <w:b/>
                      <w:lang w:val="it-CH"/>
                    </w:rPr>
                    <w:t>Superficie</w:t>
                  </w:r>
                  <w:r w:rsidR="00BA2761" w:rsidRPr="00885816">
                    <w:rPr>
                      <w:b/>
                      <w:lang w:val="it-CH"/>
                    </w:rPr>
                    <w:t xml:space="preserve"> in ha</w:t>
                  </w:r>
                </w:p>
              </w:tc>
            </w:tr>
            <w:tr w:rsidR="00BA2761" w:rsidRPr="002C06C6" w14:paraId="284A634F" w14:textId="77777777" w:rsidTr="000048F0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B98E8" w14:textId="17B847E6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 xml:space="preserve">Berna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5EE7A" w14:textId="75B1D540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82</w:t>
                  </w:r>
                  <w:r w:rsidR="00A9121C" w:rsidRPr="00885816">
                    <w:rPr>
                      <w:lang w:val="it-CH"/>
                    </w:rPr>
                    <w:t xml:space="preserve"> </w:t>
                  </w:r>
                  <w:r w:rsidRPr="00885816">
                    <w:rPr>
                      <w:lang w:val="it-CH"/>
                    </w:rPr>
                    <w:t>200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FA6AE7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3FCAD" w14:textId="079D0A9C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San Gallo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1741C" w14:textId="4C23F7C6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12</w:t>
                  </w:r>
                  <w:r w:rsidR="00A9121C" w:rsidRPr="00885816">
                    <w:rPr>
                      <w:lang w:val="it-CH"/>
                    </w:rPr>
                    <w:t xml:space="preserve"> </w:t>
                  </w:r>
                  <w:r w:rsidRPr="00885816">
                    <w:rPr>
                      <w:lang w:val="it-CH"/>
                    </w:rPr>
                    <w:t>500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B00202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9C42C" w14:textId="0B66E204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Svitto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788DC" w14:textId="1A1C49BD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2500</w:t>
                  </w:r>
                </w:p>
              </w:tc>
            </w:tr>
            <w:tr w:rsidR="00BA2761" w:rsidRPr="002C06C6" w14:paraId="1D0E2968" w14:textId="77777777" w:rsidTr="000048F0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0A7D6" w14:textId="73F7C9D3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proofErr w:type="spellStart"/>
                  <w:r w:rsidRPr="00885816">
                    <w:rPr>
                      <w:lang w:val="it-CH"/>
                    </w:rPr>
                    <w:t>Vaud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3AA4B" w14:textId="68BB619D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75</w:t>
                  </w:r>
                  <w:r w:rsidR="00A9121C" w:rsidRPr="00885816">
                    <w:rPr>
                      <w:lang w:val="it-CH"/>
                    </w:rPr>
                    <w:t xml:space="preserve"> </w:t>
                  </w:r>
                  <w:r w:rsidRPr="00885816">
                    <w:rPr>
                      <w:lang w:val="it-CH"/>
                    </w:rPr>
                    <w:t>800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68A1C9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3921B" w14:textId="0DC45225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Sciaffusa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8F9D6" w14:textId="1C80F3F9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8900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F57364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88557" w14:textId="55CA3670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Appenzello E.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0356B" w14:textId="4C3F9972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790</w:t>
                  </w:r>
                </w:p>
              </w:tc>
            </w:tr>
            <w:tr w:rsidR="00BA2761" w:rsidRPr="002C06C6" w14:paraId="3FCC88AD" w14:textId="77777777" w:rsidTr="000048F0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744F6" w14:textId="5F3AA473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Zurigo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D6477" w14:textId="4FA07DB1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44</w:t>
                  </w:r>
                  <w:r w:rsidR="00A9121C" w:rsidRPr="00885816">
                    <w:rPr>
                      <w:lang w:val="it-CH"/>
                    </w:rPr>
                    <w:t xml:space="preserve"> </w:t>
                  </w:r>
                  <w:r w:rsidRPr="00885816">
                    <w:rPr>
                      <w:lang w:val="it-CH"/>
                    </w:rPr>
                    <w:t>400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03ED90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DA053" w14:textId="22E1C706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Ginevra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BC8963" w14:textId="0EE90567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8400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EF70C3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59B7D" w14:textId="2038A05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proofErr w:type="spellStart"/>
                  <w:r w:rsidRPr="00885816">
                    <w:rPr>
                      <w:lang w:val="it-CH"/>
                    </w:rPr>
                    <w:t>Obvaldo</w:t>
                  </w:r>
                  <w:proofErr w:type="spellEnd"/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B0285" w14:textId="434EDACC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420</w:t>
                  </w:r>
                </w:p>
              </w:tc>
            </w:tr>
            <w:tr w:rsidR="00BA2761" w:rsidRPr="002C06C6" w14:paraId="0FAC1F92" w14:textId="77777777" w:rsidTr="000048F0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41EF4" w14:textId="20C2CFD1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proofErr w:type="spellStart"/>
                  <w:r w:rsidRPr="00885816">
                    <w:rPr>
                      <w:lang w:val="it-CH"/>
                    </w:rPr>
                    <w:t>Argovia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442C5" w14:textId="154CF75B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40</w:t>
                  </w:r>
                  <w:r w:rsidR="00A9121C" w:rsidRPr="00885816">
                    <w:rPr>
                      <w:lang w:val="it-CH"/>
                    </w:rPr>
                    <w:t xml:space="preserve"> </w:t>
                  </w:r>
                  <w:r w:rsidRPr="00885816">
                    <w:rPr>
                      <w:lang w:val="it-CH"/>
                    </w:rPr>
                    <w:t>000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C24806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1DA75" w14:textId="1E44AEE8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 xml:space="preserve">Basilea </w:t>
                  </w:r>
                  <w:proofErr w:type="spellStart"/>
                  <w:r w:rsidRPr="00885816">
                    <w:rPr>
                      <w:lang w:val="it-CH"/>
                    </w:rPr>
                    <w:t>Cam-pagna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690E5" w14:textId="323B9D6B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9800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618B96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4F700" w14:textId="15E27BC4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proofErr w:type="spellStart"/>
                  <w:r w:rsidRPr="00885816">
                    <w:rPr>
                      <w:lang w:val="it-CH"/>
                    </w:rPr>
                    <w:t>Nidvaldo</w:t>
                  </w:r>
                  <w:proofErr w:type="spellEnd"/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477FD" w14:textId="621E91F9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370</w:t>
                  </w:r>
                </w:p>
              </w:tc>
            </w:tr>
            <w:tr w:rsidR="00BA2761" w:rsidRPr="002C06C6" w14:paraId="29087675" w14:textId="77777777" w:rsidTr="000048F0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43E4DA" w14:textId="3D0F7CF0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Friburgo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AF5D9C" w14:textId="332DF033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35</w:t>
                  </w:r>
                  <w:r w:rsidR="00A9121C" w:rsidRPr="00885816">
                    <w:rPr>
                      <w:lang w:val="it-CH"/>
                    </w:rPr>
                    <w:t xml:space="preserve"> </w:t>
                  </w:r>
                  <w:r w:rsidRPr="00885816">
                    <w:rPr>
                      <w:lang w:val="it-CH"/>
                    </w:rPr>
                    <w:t>800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A6D80E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BB5546" w14:textId="73E6D838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Vallese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C31D24" w14:textId="1B6CA67C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7350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41EF8E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FEFA1" w14:textId="0796612E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Appenzello I.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8D38C" w14:textId="327A2F3C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330</w:t>
                  </w:r>
                </w:p>
              </w:tc>
            </w:tr>
            <w:tr w:rsidR="00BA2761" w:rsidRPr="002C06C6" w14:paraId="75589F9C" w14:textId="77777777" w:rsidTr="000048F0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B51CC1" w14:textId="132DF41A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proofErr w:type="spellStart"/>
                  <w:r w:rsidRPr="00885816">
                    <w:rPr>
                      <w:lang w:val="it-CH"/>
                    </w:rPr>
                    <w:t>Turgovia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1CDF11" w14:textId="22B37E27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30</w:t>
                  </w:r>
                  <w:r w:rsidR="00A9121C" w:rsidRPr="00885816">
                    <w:rPr>
                      <w:lang w:val="it-CH"/>
                    </w:rPr>
                    <w:t xml:space="preserve"> </w:t>
                  </w:r>
                  <w:r w:rsidRPr="00885816">
                    <w:rPr>
                      <w:lang w:val="it-CH"/>
                    </w:rPr>
                    <w:t>000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A68FE7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B6D27" w14:textId="0FA96309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Neuchâtel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C76202" w14:textId="6D16B6B8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6700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07D5B2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DE7E0" w14:textId="4E70193E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Uri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570E3" w14:textId="3BD0ECA1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260</w:t>
                  </w:r>
                </w:p>
              </w:tc>
            </w:tr>
            <w:tr w:rsidR="00BA2761" w:rsidRPr="002C06C6" w14:paraId="0A198525" w14:textId="77777777" w:rsidTr="000048F0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F01A48" w14:textId="3CE6D1D4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Lucerna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D2AAE" w14:textId="7B51C0BE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27</w:t>
                  </w:r>
                  <w:r w:rsidR="00A9121C" w:rsidRPr="00885816">
                    <w:rPr>
                      <w:lang w:val="it-CH"/>
                    </w:rPr>
                    <w:t xml:space="preserve"> </w:t>
                  </w:r>
                  <w:r w:rsidRPr="00885816">
                    <w:rPr>
                      <w:lang w:val="it-CH"/>
                    </w:rPr>
                    <w:t>500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CB059E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33EE9" w14:textId="5EBEAAEE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Grigioni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1598B" w14:textId="5F3771D4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6300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C50EB9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2B854" w14:textId="06A5DEB9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Basilea Città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668A5" w14:textId="45F46CC9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240</w:t>
                  </w:r>
                </w:p>
              </w:tc>
            </w:tr>
            <w:tr w:rsidR="00BA2761" w:rsidRPr="002C06C6" w14:paraId="6836C180" w14:textId="77777777" w:rsidTr="000048F0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59205" w14:textId="4C984C1D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Soletta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F786C" w14:textId="0CA5137F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16</w:t>
                  </w:r>
                  <w:r w:rsidR="00A9121C" w:rsidRPr="00885816">
                    <w:rPr>
                      <w:lang w:val="it-CH"/>
                    </w:rPr>
                    <w:t xml:space="preserve"> </w:t>
                  </w:r>
                  <w:r w:rsidRPr="00885816">
                    <w:rPr>
                      <w:lang w:val="it-CH"/>
                    </w:rPr>
                    <w:t>200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0BA052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268DD" w14:textId="5EC6C6C1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Ticino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4DE8E3" w14:textId="01F2EB3F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3500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EC1704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BEA64" w14:textId="0D7443E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Glarona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BD493" w14:textId="678D1445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200</w:t>
                  </w:r>
                </w:p>
              </w:tc>
            </w:tr>
            <w:tr w:rsidR="00BA2761" w:rsidRPr="002C06C6" w14:paraId="3DAE2F74" w14:textId="77777777" w:rsidTr="000048F0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AA2AE3" w14:textId="49388C6E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Giura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C02B4" w14:textId="4F547117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15</w:t>
                  </w:r>
                  <w:r w:rsidR="00A9121C" w:rsidRPr="00885816">
                    <w:rPr>
                      <w:lang w:val="it-CH"/>
                    </w:rPr>
                    <w:t xml:space="preserve"> </w:t>
                  </w:r>
                  <w:r w:rsidRPr="00885816">
                    <w:rPr>
                      <w:lang w:val="it-CH"/>
                    </w:rPr>
                    <w:t>000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40B517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01D62" w14:textId="4D118EDB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Zugo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3ECFA" w14:textId="7916FCF3" w:rsidR="00BA2761" w:rsidRPr="00885816" w:rsidRDefault="00BA2761" w:rsidP="00BA2761">
                  <w:pPr>
                    <w:spacing w:before="40" w:after="40" w:line="240" w:lineRule="auto"/>
                    <w:jc w:val="center"/>
                    <w:rPr>
                      <w:lang w:val="it-CH" w:eastAsia="en-US"/>
                    </w:rPr>
                  </w:pPr>
                  <w:r w:rsidRPr="00885816">
                    <w:rPr>
                      <w:lang w:val="it-CH"/>
                    </w:rPr>
                    <w:t>3000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D470B64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8CA343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603A6D" w14:textId="77777777" w:rsidR="00BA2761" w:rsidRPr="00885816" w:rsidRDefault="00BA2761" w:rsidP="00BA2761">
                  <w:pPr>
                    <w:spacing w:before="40" w:after="40" w:line="240" w:lineRule="auto"/>
                    <w:rPr>
                      <w:lang w:val="it-CH" w:eastAsia="en-US"/>
                    </w:rPr>
                  </w:pPr>
                </w:p>
              </w:tc>
            </w:tr>
          </w:tbl>
          <w:p w14:paraId="6AACE23E" w14:textId="0A1DD3CA" w:rsidR="00162A09" w:rsidRPr="00E51727" w:rsidRDefault="00236471" w:rsidP="007608AD">
            <w:pPr>
              <w:spacing w:before="120"/>
              <w:rPr>
                <w:b/>
                <w:bCs/>
                <w:lang w:val="it-CH"/>
              </w:rPr>
            </w:pPr>
            <w:r w:rsidRPr="00E51727">
              <w:rPr>
                <w:lang w:val="it-CH"/>
              </w:rPr>
              <w:t xml:space="preserve">Con questa indicazione </w:t>
            </w:r>
            <w:r w:rsidR="00595207" w:rsidRPr="00675C65">
              <w:rPr>
                <w:lang w:val="it-CH"/>
              </w:rPr>
              <w:t xml:space="preserve">viene effettuata </w:t>
            </w:r>
            <w:r w:rsidRPr="00675C65">
              <w:rPr>
                <w:lang w:val="it-CH"/>
              </w:rPr>
              <w:t xml:space="preserve">la </w:t>
            </w:r>
            <w:r w:rsidR="00B360DF" w:rsidRPr="00675C65">
              <w:rPr>
                <w:lang w:val="it-CH"/>
              </w:rPr>
              <w:t>ripartizione</w:t>
            </w:r>
            <w:r w:rsidRPr="00675C65">
              <w:rPr>
                <w:lang w:val="it-CH"/>
              </w:rPr>
              <w:t xml:space="preserve"> </w:t>
            </w:r>
            <w:r w:rsidR="00B360DF" w:rsidRPr="00675C65">
              <w:rPr>
                <w:lang w:val="it-CH"/>
              </w:rPr>
              <w:t>tra i</w:t>
            </w:r>
            <w:r w:rsidRPr="00675C65">
              <w:rPr>
                <w:lang w:val="it-CH"/>
              </w:rPr>
              <w:t xml:space="preserve"> Cantoni </w:t>
            </w:r>
            <w:r w:rsidR="007608AD">
              <w:rPr>
                <w:lang w:val="it-CH"/>
              </w:rPr>
              <w:t>conformemente all</w:t>
            </w:r>
            <w:r w:rsidRPr="00675C65">
              <w:rPr>
                <w:lang w:val="it-CH"/>
              </w:rPr>
              <w:t>’art</w:t>
            </w:r>
            <w:r w:rsidR="001A7378" w:rsidRPr="00675C65">
              <w:rPr>
                <w:lang w:val="it-CH"/>
              </w:rPr>
              <w:t>icolo</w:t>
            </w:r>
            <w:r w:rsidRPr="00675C65">
              <w:rPr>
                <w:lang w:val="it-CH"/>
              </w:rPr>
              <w:t xml:space="preserve"> 29 </w:t>
            </w:r>
            <w:r w:rsidR="001A7378" w:rsidRPr="00675C65">
              <w:rPr>
                <w:lang w:val="it-CH"/>
              </w:rPr>
              <w:t>O</w:t>
            </w:r>
            <w:r w:rsidRPr="00675C65">
              <w:rPr>
                <w:lang w:val="it-CH"/>
              </w:rPr>
              <w:t xml:space="preserve">PT. I contingenti non possono </w:t>
            </w:r>
            <w:r w:rsidR="00C570F6" w:rsidRPr="00675C65">
              <w:rPr>
                <w:lang w:val="it-CH"/>
              </w:rPr>
              <w:t>essere</w:t>
            </w:r>
            <w:r w:rsidR="00C570F6" w:rsidRPr="004E6EA9">
              <w:rPr>
                <w:lang w:val="it-CH"/>
              </w:rPr>
              <w:t xml:space="preserve"> </w:t>
            </w:r>
            <w:r w:rsidR="000A0484" w:rsidRPr="004E6EA9">
              <w:rPr>
                <w:lang w:val="it-CH"/>
              </w:rPr>
              <w:t>inferiori a quelli prefissati</w:t>
            </w:r>
            <w:r w:rsidRPr="00E51727">
              <w:rPr>
                <w:lang w:val="it-CH"/>
              </w:rPr>
              <w:t xml:space="preserve">. Le superfici devono essere garantite </w:t>
            </w:r>
            <w:r w:rsidR="00595207">
              <w:rPr>
                <w:lang w:val="it-CH"/>
              </w:rPr>
              <w:t xml:space="preserve">a lungo termine </w:t>
            </w:r>
            <w:r w:rsidRPr="00E51727">
              <w:rPr>
                <w:lang w:val="it-CH"/>
              </w:rPr>
              <w:t xml:space="preserve">entro i confini </w:t>
            </w:r>
            <w:r w:rsidR="007608AD">
              <w:rPr>
                <w:lang w:val="it-CH"/>
              </w:rPr>
              <w:t>s</w:t>
            </w:r>
            <w:r w:rsidRPr="00E51727">
              <w:rPr>
                <w:lang w:val="it-CH"/>
              </w:rPr>
              <w:t>vizzeri</w:t>
            </w:r>
            <w:r w:rsidR="000048F0" w:rsidRPr="00E51727">
              <w:rPr>
                <w:lang w:val="it-CH"/>
              </w:rPr>
              <w:t>.</w:t>
            </w:r>
          </w:p>
        </w:tc>
      </w:tr>
    </w:tbl>
    <w:p w14:paraId="5B1B944A" w14:textId="4AC126D6" w:rsidR="007B6805" w:rsidRPr="00E51727" w:rsidRDefault="00525C94" w:rsidP="00162A09">
      <w:pPr>
        <w:pStyle w:val="berschrift1"/>
        <w:rPr>
          <w:lang w:val="it-CH"/>
        </w:rPr>
      </w:pPr>
      <w:bookmarkStart w:id="34" w:name="_Toc383511845"/>
      <w:bookmarkStart w:id="35" w:name="_Ref526428497"/>
      <w:bookmarkStart w:id="36" w:name="_Toc526428726"/>
      <w:bookmarkStart w:id="37" w:name="_Toc533053017"/>
      <w:r w:rsidRPr="00E51727">
        <w:rPr>
          <w:lang w:val="it-CH"/>
        </w:rPr>
        <w:lastRenderedPageBreak/>
        <w:t>Principi relativi alla gestione delle superfici per l’avvicendamento delle colture</w:t>
      </w:r>
      <w:bookmarkEnd w:id="34"/>
      <w:bookmarkEnd w:id="35"/>
      <w:bookmarkEnd w:id="36"/>
      <w:bookmarkEnd w:id="37"/>
    </w:p>
    <w:p w14:paraId="2A9826F8" w14:textId="759BF416" w:rsidR="00314A8E" w:rsidRPr="00E51727" w:rsidRDefault="00525C94" w:rsidP="00B00A3C">
      <w:pPr>
        <w:spacing w:after="240"/>
        <w:rPr>
          <w:lang w:val="it-CH"/>
        </w:rPr>
      </w:pPr>
      <w:bookmarkStart w:id="38" w:name="_Toc384205214"/>
      <w:bookmarkStart w:id="39" w:name="_Toc384205488"/>
      <w:bookmarkStart w:id="40" w:name="_Toc384212573"/>
      <w:bookmarkStart w:id="41" w:name="_Toc384226433"/>
      <w:bookmarkStart w:id="42" w:name="_Toc384289081"/>
      <w:bookmarkStart w:id="43" w:name="_Toc384289725"/>
      <w:bookmarkStart w:id="44" w:name="_Toc384289774"/>
      <w:bookmarkStart w:id="45" w:name="_Toc384295766"/>
      <w:bookmarkStart w:id="46" w:name="_Toc384643572"/>
      <w:bookmarkStart w:id="47" w:name="_Toc384728527"/>
      <w:bookmarkStart w:id="48" w:name="_Toc384738910"/>
      <w:bookmarkStart w:id="49" w:name="_Toc384742206"/>
      <w:bookmarkStart w:id="50" w:name="_Toc384747010"/>
      <w:bookmarkStart w:id="51" w:name="_Toc384894466"/>
      <w:bookmarkStart w:id="52" w:name="_Toc384895060"/>
      <w:bookmarkStart w:id="53" w:name="_Toc384895109"/>
      <w:bookmarkStart w:id="54" w:name="_Toc384908814"/>
      <w:bookmarkStart w:id="55" w:name="_Toc384914138"/>
      <w:bookmarkStart w:id="56" w:name="_Toc384914494"/>
      <w:bookmarkStart w:id="57" w:name="_Toc383511846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E51727">
        <w:rPr>
          <w:lang w:val="it-CH"/>
        </w:rPr>
        <w:t>I principi s</w:t>
      </w:r>
      <w:r w:rsidR="007608AD">
        <w:rPr>
          <w:lang w:val="it-CH"/>
        </w:rPr>
        <w:t>anciscono</w:t>
      </w:r>
      <w:r w:rsidRPr="00E51727">
        <w:rPr>
          <w:lang w:val="it-CH"/>
        </w:rPr>
        <w:t xml:space="preserve"> </w:t>
      </w:r>
      <w:r w:rsidR="007608AD">
        <w:rPr>
          <w:lang w:val="it-CH"/>
        </w:rPr>
        <w:t xml:space="preserve">la gestione delle SAC e i relativi </w:t>
      </w:r>
      <w:r w:rsidRPr="00E51727">
        <w:rPr>
          <w:lang w:val="it-CH"/>
        </w:rPr>
        <w:t>processi</w:t>
      </w:r>
      <w:r w:rsidR="003A446E" w:rsidRPr="00E51727">
        <w:rPr>
          <w:lang w:val="it-CH"/>
        </w:rPr>
        <w:t>.</w:t>
      </w:r>
    </w:p>
    <w:tbl>
      <w:tblPr>
        <w:tblStyle w:val="Tabellenraster"/>
        <w:tblW w:w="175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ayout w:type="fixed"/>
        <w:tblLook w:val="04A0" w:firstRow="1" w:lastRow="0" w:firstColumn="1" w:lastColumn="0" w:noHBand="0" w:noVBand="1"/>
      </w:tblPr>
      <w:tblGrid>
        <w:gridCol w:w="572"/>
        <w:gridCol w:w="8494"/>
        <w:gridCol w:w="11"/>
        <w:gridCol w:w="8483"/>
      </w:tblGrid>
      <w:tr w:rsidR="00EC4BC4" w:rsidRPr="00E51727" w14:paraId="5206B9D3" w14:textId="77777777" w:rsidTr="008A0DDA">
        <w:trPr>
          <w:gridAfter w:val="2"/>
          <w:wAfter w:w="8494" w:type="dxa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767171"/>
          </w:tcPr>
          <w:p w14:paraId="02CEC921" w14:textId="5A55FF1A" w:rsidR="00EC4BC4" w:rsidRPr="00E51727" w:rsidRDefault="006C3490" w:rsidP="325E5E49">
            <w:pPr>
              <w:spacing w:before="120"/>
              <w:rPr>
                <w:b/>
                <w:bCs/>
                <w:sz w:val="24"/>
                <w:szCs w:val="24"/>
                <w:lang w:val="it-CH"/>
              </w:rPr>
            </w:pPr>
            <w:r w:rsidRPr="00E51727">
              <w:rPr>
                <w:b/>
                <w:bCs/>
                <w:sz w:val="24"/>
                <w:szCs w:val="24"/>
                <w:lang w:val="it-CH"/>
              </w:rPr>
              <w:t>PRINCIPI</w:t>
            </w:r>
          </w:p>
        </w:tc>
      </w:tr>
      <w:tr w:rsidR="0062030D" w:rsidRPr="002C06C6" w14:paraId="1B9F8EFF" w14:textId="77777777" w:rsidTr="008A0DDA">
        <w:trPr>
          <w:gridAfter w:val="2"/>
          <w:wAfter w:w="8494" w:type="dxa"/>
        </w:trPr>
        <w:tc>
          <w:tcPr>
            <w:tcW w:w="9066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EE17DB0" w14:textId="7AEFE660" w:rsidR="00F723BD" w:rsidRPr="00E51727" w:rsidRDefault="00F92E59" w:rsidP="007608AD">
            <w:pPr>
              <w:spacing w:before="120"/>
              <w:jc w:val="center"/>
              <w:rPr>
                <w:b/>
                <w:bCs/>
                <w:lang w:val="it-CH"/>
              </w:rPr>
            </w:pPr>
            <w:bookmarkStart w:id="58" w:name="_Toc531612508"/>
            <w:r w:rsidRPr="00F92E59">
              <w:rPr>
                <w:b/>
                <w:bCs/>
                <w:lang w:val="it-CH"/>
              </w:rPr>
              <w:t xml:space="preserve">Garanzia </w:t>
            </w:r>
            <w:r w:rsidR="007608AD">
              <w:rPr>
                <w:b/>
                <w:bCs/>
                <w:lang w:val="it-CH"/>
              </w:rPr>
              <w:t>a</w:t>
            </w:r>
            <w:r w:rsidRPr="00F92E59">
              <w:rPr>
                <w:b/>
                <w:bCs/>
                <w:lang w:val="it-CH"/>
              </w:rPr>
              <w:t xml:space="preserve"> lungo termine delle SAC</w:t>
            </w:r>
            <w:bookmarkEnd w:id="58"/>
          </w:p>
        </w:tc>
      </w:tr>
      <w:tr w:rsidR="0062030D" w:rsidRPr="002C06C6" w14:paraId="1969A08D" w14:textId="77777777" w:rsidTr="008A0DDA">
        <w:trPr>
          <w:gridAfter w:val="2"/>
          <w:wAfter w:w="8494" w:type="dxa"/>
        </w:trPr>
        <w:tc>
          <w:tcPr>
            <w:tcW w:w="572" w:type="dxa"/>
            <w:shd w:val="clear" w:color="auto" w:fill="D9D9D9" w:themeFill="background1" w:themeFillShade="D9"/>
          </w:tcPr>
          <w:p w14:paraId="3B3A2E85" w14:textId="77777777" w:rsidR="003A1E5E" w:rsidRPr="00E51727" w:rsidRDefault="003A1E5E" w:rsidP="005E67E9">
            <w:pPr>
              <w:pStyle w:val="Listenabsatz"/>
              <w:numPr>
                <w:ilvl w:val="0"/>
                <w:numId w:val="9"/>
              </w:numPr>
              <w:spacing w:before="120"/>
              <w:rPr>
                <w:b/>
                <w:lang w:val="it-CH"/>
              </w:rPr>
            </w:pPr>
          </w:p>
        </w:tc>
        <w:tc>
          <w:tcPr>
            <w:tcW w:w="8494" w:type="dxa"/>
            <w:shd w:val="clear" w:color="auto" w:fill="D9D9D9" w:themeFill="background1" w:themeFillShade="D9"/>
          </w:tcPr>
          <w:p w14:paraId="49145A91" w14:textId="4AD28CA3" w:rsidR="003A1E5E" w:rsidRPr="008A6D1C" w:rsidRDefault="00F92E59" w:rsidP="325E5E49">
            <w:pPr>
              <w:spacing w:before="120"/>
              <w:rPr>
                <w:b/>
                <w:bCs/>
                <w:lang w:val="it-CH"/>
              </w:rPr>
            </w:pPr>
            <w:r w:rsidRPr="008A6D1C">
              <w:rPr>
                <w:b/>
                <w:bCs/>
                <w:lang w:val="it-CH"/>
              </w:rPr>
              <w:t>Il consumo di SAC per qualsivoglia scopo dev’essere ridotto al minimo</w:t>
            </w:r>
            <w:r w:rsidR="325E5E49" w:rsidRPr="008A6D1C">
              <w:rPr>
                <w:b/>
                <w:bCs/>
                <w:lang w:val="it-CH"/>
              </w:rPr>
              <w:t>.</w:t>
            </w:r>
          </w:p>
          <w:p w14:paraId="42177829" w14:textId="2F43CA6C" w:rsidR="003A1E5E" w:rsidRPr="00E51727" w:rsidRDefault="006C3490" w:rsidP="0041751E">
            <w:pPr>
              <w:ind w:left="35"/>
              <w:rPr>
                <w:lang w:val="it-CH"/>
              </w:rPr>
            </w:pPr>
            <w:r w:rsidRPr="00E51727">
              <w:rPr>
                <w:lang w:val="it-CH"/>
              </w:rPr>
              <w:t xml:space="preserve">Il consumo di SAC, sia per scopi non agricoli sia per scopi agricoli, è associato alla distruzione di suolo e con ciò alla perdita </w:t>
            </w:r>
            <w:r w:rsidR="00CC7902" w:rsidRPr="00E51727">
              <w:rPr>
                <w:lang w:val="it-CH"/>
              </w:rPr>
              <w:t>della</w:t>
            </w:r>
            <w:r w:rsidRPr="00E51727">
              <w:rPr>
                <w:lang w:val="it-CH"/>
              </w:rPr>
              <w:t xml:space="preserve"> qualità SAC</w:t>
            </w:r>
            <w:r w:rsidR="00CA0A0F" w:rsidRPr="00E51727">
              <w:rPr>
                <w:lang w:val="it-CH"/>
              </w:rPr>
              <w:t>.</w:t>
            </w:r>
          </w:p>
        </w:tc>
      </w:tr>
      <w:tr w:rsidR="00CA3BE4" w:rsidRPr="002C06C6" w14:paraId="62AA5A98" w14:textId="77777777" w:rsidTr="008A0DDA">
        <w:trPr>
          <w:gridAfter w:val="2"/>
          <w:wAfter w:w="8494" w:type="dxa"/>
        </w:trPr>
        <w:tc>
          <w:tcPr>
            <w:tcW w:w="572" w:type="dxa"/>
            <w:shd w:val="clear" w:color="auto" w:fill="D9D9D9" w:themeFill="background1" w:themeFillShade="D9"/>
          </w:tcPr>
          <w:p w14:paraId="1F71590D" w14:textId="77777777" w:rsidR="00CA3BE4" w:rsidRPr="00E51727" w:rsidRDefault="00CA3BE4" w:rsidP="005E67E9">
            <w:pPr>
              <w:pStyle w:val="Listenabsatz"/>
              <w:numPr>
                <w:ilvl w:val="0"/>
                <w:numId w:val="9"/>
              </w:numPr>
              <w:spacing w:before="120"/>
              <w:rPr>
                <w:b/>
                <w:lang w:val="it-CH"/>
              </w:rPr>
            </w:pPr>
            <w:bookmarkStart w:id="59" w:name="_Ref532981555"/>
          </w:p>
        </w:tc>
        <w:bookmarkEnd w:id="59"/>
        <w:tc>
          <w:tcPr>
            <w:tcW w:w="8494" w:type="dxa"/>
            <w:shd w:val="clear" w:color="auto" w:fill="D9D9D9" w:themeFill="background1" w:themeFillShade="D9"/>
          </w:tcPr>
          <w:p w14:paraId="151F1D06" w14:textId="6F7B4516" w:rsidR="00910499" w:rsidRPr="00F83835" w:rsidRDefault="00F92E59" w:rsidP="325E5E49">
            <w:pPr>
              <w:spacing w:before="120"/>
              <w:rPr>
                <w:b/>
                <w:bCs/>
                <w:lang w:val="it-CH"/>
              </w:rPr>
            </w:pPr>
            <w:r w:rsidRPr="00CC45F6">
              <w:rPr>
                <w:b/>
                <w:bCs/>
                <w:lang w:val="it-CH"/>
              </w:rPr>
              <w:t>I Cantoni provvedono affinché i loro contingenti SAC siano garantiti a lungo termine. A tal fine essi devono fissare e attuare misure vincolanti</w:t>
            </w:r>
            <w:r w:rsidR="325E5E49" w:rsidRPr="00F83835">
              <w:rPr>
                <w:b/>
                <w:bCs/>
                <w:lang w:val="it-CH"/>
              </w:rPr>
              <w:t>.</w:t>
            </w:r>
          </w:p>
          <w:p w14:paraId="321338FE" w14:textId="1754DB28" w:rsidR="006C3490" w:rsidRPr="00F83835" w:rsidRDefault="006C3490" w:rsidP="006C3490">
            <w:pPr>
              <w:rPr>
                <w:lang w:val="it-CH"/>
              </w:rPr>
            </w:pPr>
            <w:r w:rsidRPr="00F83835">
              <w:rPr>
                <w:lang w:val="it-CH"/>
              </w:rPr>
              <w:t>I Cantoni stabiliscono queste misure nel loro piano direttore.</w:t>
            </w:r>
            <w:r w:rsidR="00595207" w:rsidRPr="00F83835">
              <w:rPr>
                <w:lang w:val="it-CH"/>
              </w:rPr>
              <w:t xml:space="preserve"> </w:t>
            </w:r>
            <w:r w:rsidR="00865691" w:rsidRPr="00F83835">
              <w:rPr>
                <w:lang w:val="it-CH"/>
              </w:rPr>
              <w:t xml:space="preserve">Un consumo di SAC deve essere obbligatoriamente compensato se il contingente cantonale non può essere altrimenti </w:t>
            </w:r>
            <w:r w:rsidR="00675C65" w:rsidRPr="00F83835">
              <w:rPr>
                <w:lang w:val="it-CH"/>
              </w:rPr>
              <w:t>mantenuto</w:t>
            </w:r>
            <w:r w:rsidR="00865691" w:rsidRPr="00F83835">
              <w:rPr>
                <w:lang w:val="it-CH"/>
              </w:rPr>
              <w:t>.</w:t>
            </w:r>
          </w:p>
          <w:p w14:paraId="267E2617" w14:textId="1E91DAB3" w:rsidR="006C3490" w:rsidRPr="00E51727" w:rsidRDefault="00865691" w:rsidP="006C3490">
            <w:pPr>
              <w:rPr>
                <w:lang w:val="it-CH"/>
              </w:rPr>
            </w:pPr>
            <w:r w:rsidRPr="00F83835">
              <w:rPr>
                <w:lang w:val="it-CH"/>
              </w:rPr>
              <w:t>Idealmente, nella carta del piano direttore andrebbero indicate tutte le SAC iscritte nel rispettivo inventario SAC del Cantone</w:t>
            </w:r>
            <w:r w:rsidR="006C3490" w:rsidRPr="00F83835">
              <w:rPr>
                <w:lang w:val="it-CH"/>
              </w:rPr>
              <w:t>.</w:t>
            </w:r>
            <w:r w:rsidR="006C3490" w:rsidRPr="00E51727">
              <w:rPr>
                <w:lang w:val="it-CH"/>
              </w:rPr>
              <w:t xml:space="preserve"> </w:t>
            </w:r>
          </w:p>
          <w:p w14:paraId="5A720157" w14:textId="5A29B413" w:rsidR="00CA3BE4" w:rsidRPr="00E51727" w:rsidRDefault="00767C7B" w:rsidP="006C3490">
            <w:pPr>
              <w:rPr>
                <w:rFonts w:ascii="Times New Roman" w:hAnsi="Times New Roman"/>
                <w:sz w:val="24"/>
                <w:szCs w:val="24"/>
                <w:lang w:val="it-CH"/>
              </w:rPr>
            </w:pPr>
            <w:r w:rsidRPr="00E51727">
              <w:rPr>
                <w:lang w:val="it-CH"/>
              </w:rPr>
              <w:t xml:space="preserve">Le esigenze </w:t>
            </w:r>
            <w:r w:rsidR="006C3490" w:rsidRPr="00E51727">
              <w:rPr>
                <w:lang w:val="it-CH"/>
              </w:rPr>
              <w:t>dell’art</w:t>
            </w:r>
            <w:r w:rsidR="007056A8" w:rsidRPr="00E51727">
              <w:rPr>
                <w:lang w:val="it-CH"/>
              </w:rPr>
              <w:t xml:space="preserve">icolo </w:t>
            </w:r>
            <w:r w:rsidR="006C3490" w:rsidRPr="00E51727">
              <w:rPr>
                <w:lang w:val="it-CH"/>
              </w:rPr>
              <w:t>30 c</w:t>
            </w:r>
            <w:r w:rsidR="007056A8" w:rsidRPr="00E51727">
              <w:rPr>
                <w:lang w:val="it-CH"/>
              </w:rPr>
              <w:t xml:space="preserve">apoverso </w:t>
            </w:r>
            <w:r w:rsidR="006C3490" w:rsidRPr="00E51727">
              <w:rPr>
                <w:lang w:val="it-CH"/>
              </w:rPr>
              <w:t>1</w:t>
            </w:r>
            <w:r w:rsidR="006C3490" w:rsidRPr="00E51727">
              <w:rPr>
                <w:vertAlign w:val="superscript"/>
                <w:lang w:val="it-CH"/>
              </w:rPr>
              <w:t>bis</w:t>
            </w:r>
            <w:r w:rsidR="006C3490" w:rsidRPr="00E51727">
              <w:rPr>
                <w:lang w:val="it-CH"/>
              </w:rPr>
              <w:t xml:space="preserve"> OPT </w:t>
            </w:r>
            <w:r w:rsidRPr="00E51727">
              <w:rPr>
                <w:lang w:val="it-CH"/>
              </w:rPr>
              <w:t>vengono applicate, in ambito di azzonamenti, per tutte le SAC</w:t>
            </w:r>
            <w:r w:rsidR="00865691">
              <w:rPr>
                <w:lang w:val="it-CH"/>
              </w:rPr>
              <w:t xml:space="preserve"> inventariate</w:t>
            </w:r>
            <w:r w:rsidR="007056A8" w:rsidRPr="00E51727">
              <w:rPr>
                <w:lang w:val="it-CH"/>
              </w:rPr>
              <w:t xml:space="preserve">, </w:t>
            </w:r>
            <w:r w:rsidRPr="00E51727">
              <w:rPr>
                <w:lang w:val="it-CH"/>
              </w:rPr>
              <w:t>indipendentemente dal fatto che queste siano o meno contenute nel piano direttore</w:t>
            </w:r>
            <w:r w:rsidR="009348B8" w:rsidRPr="00E51727">
              <w:rPr>
                <w:sz w:val="19"/>
                <w:szCs w:val="19"/>
                <w:lang w:val="it-CH"/>
              </w:rPr>
              <w:t>.</w:t>
            </w:r>
          </w:p>
        </w:tc>
      </w:tr>
      <w:tr w:rsidR="00E60DC6" w:rsidRPr="002C06C6" w14:paraId="37C2EE96" w14:textId="77777777" w:rsidTr="008A0DDA">
        <w:trPr>
          <w:gridAfter w:val="2"/>
          <w:wAfter w:w="8494" w:type="dxa"/>
        </w:trPr>
        <w:tc>
          <w:tcPr>
            <w:tcW w:w="572" w:type="dxa"/>
            <w:shd w:val="clear" w:color="auto" w:fill="D9D9D9" w:themeFill="background1" w:themeFillShade="D9"/>
          </w:tcPr>
          <w:p w14:paraId="6B3EB306" w14:textId="77777777" w:rsidR="00E60DC6" w:rsidRPr="00E51727" w:rsidRDefault="00E60DC6" w:rsidP="00146614">
            <w:pPr>
              <w:pStyle w:val="Listenabsatz"/>
              <w:numPr>
                <w:ilvl w:val="0"/>
                <w:numId w:val="9"/>
              </w:numPr>
              <w:rPr>
                <w:b/>
                <w:lang w:val="it-CH"/>
              </w:rPr>
            </w:pPr>
            <w:bookmarkStart w:id="60" w:name="_Ref520123443"/>
          </w:p>
        </w:tc>
        <w:bookmarkEnd w:id="60"/>
        <w:tc>
          <w:tcPr>
            <w:tcW w:w="8494" w:type="dxa"/>
            <w:shd w:val="clear" w:color="auto" w:fill="D9D9D9" w:themeFill="background1" w:themeFillShade="D9"/>
          </w:tcPr>
          <w:p w14:paraId="5F66D627" w14:textId="6065FC51" w:rsidR="00E60DC6" w:rsidRPr="00F92E59" w:rsidRDefault="00F92E59" w:rsidP="325E5E49">
            <w:pPr>
              <w:rPr>
                <w:b/>
                <w:bCs/>
                <w:lang w:val="it-CH"/>
              </w:rPr>
            </w:pPr>
            <w:r w:rsidRPr="00CC45F6">
              <w:rPr>
                <w:b/>
                <w:bCs/>
                <w:lang w:val="it-CH"/>
              </w:rPr>
              <w:t>Le SAC devono essere gestite in modo tale da preservare a lungo termine la qualità del suolo</w:t>
            </w:r>
            <w:r w:rsidR="325E5E49" w:rsidRPr="00F92E59">
              <w:rPr>
                <w:b/>
                <w:bCs/>
                <w:lang w:val="it-CH"/>
              </w:rPr>
              <w:t xml:space="preserve">. </w:t>
            </w:r>
          </w:p>
          <w:p w14:paraId="07328271" w14:textId="5CFBF94C" w:rsidR="00E60DC6" w:rsidRPr="00E51727" w:rsidRDefault="006C3490" w:rsidP="00571CDD">
            <w:pPr>
              <w:rPr>
                <w:lang w:val="it-CH"/>
              </w:rPr>
            </w:pPr>
            <w:r w:rsidRPr="00E51727">
              <w:rPr>
                <w:lang w:val="it-CH" w:eastAsia="en-US"/>
              </w:rPr>
              <w:t xml:space="preserve">Per garantire </w:t>
            </w:r>
            <w:r w:rsidR="007056A8" w:rsidRPr="00E51727">
              <w:rPr>
                <w:lang w:val="it-CH" w:eastAsia="en-US"/>
              </w:rPr>
              <w:t>questo</w:t>
            </w:r>
            <w:r w:rsidRPr="00E51727">
              <w:rPr>
                <w:lang w:val="it-CH" w:eastAsia="en-US"/>
              </w:rPr>
              <w:t xml:space="preserve"> principio, occorre </w:t>
            </w:r>
            <w:r w:rsidR="00767C7B" w:rsidRPr="00E51727">
              <w:rPr>
                <w:lang w:val="it-CH" w:eastAsia="en-US"/>
              </w:rPr>
              <w:t xml:space="preserve">in particolare </w:t>
            </w:r>
            <w:r w:rsidRPr="00E51727">
              <w:rPr>
                <w:lang w:val="it-CH" w:eastAsia="en-US"/>
              </w:rPr>
              <w:t>applicare in modo coerente le direttive vigenti in ambito di protezione del suolo</w:t>
            </w:r>
            <w:r w:rsidRPr="00E51727">
              <w:rPr>
                <w:lang w:val="it-CH"/>
              </w:rPr>
              <w:t xml:space="preserve">. </w:t>
            </w:r>
            <w:r w:rsidR="00CC564D" w:rsidRPr="00E51727">
              <w:rPr>
                <w:lang w:val="it-CH"/>
              </w:rPr>
              <w:t>S</w:t>
            </w:r>
            <w:r w:rsidRPr="00E51727">
              <w:rPr>
                <w:lang w:val="it-CH"/>
              </w:rPr>
              <w:t xml:space="preserve">i tratta </w:t>
            </w:r>
            <w:r w:rsidR="00CC564D" w:rsidRPr="00E51727">
              <w:rPr>
                <w:lang w:val="it-CH"/>
              </w:rPr>
              <w:t xml:space="preserve">principalmente </w:t>
            </w:r>
            <w:r w:rsidRPr="00E51727">
              <w:rPr>
                <w:lang w:val="it-CH"/>
              </w:rPr>
              <w:t xml:space="preserve">delle </w:t>
            </w:r>
            <w:r w:rsidR="00CC564D" w:rsidRPr="00E51727">
              <w:rPr>
                <w:lang w:val="it-CH"/>
              </w:rPr>
              <w:t>disposizioni</w:t>
            </w:r>
            <w:r w:rsidRPr="00E51727">
              <w:rPr>
                <w:lang w:val="it-CH"/>
              </w:rPr>
              <w:t xml:space="preserve"> contenute nell’ordinanza </w:t>
            </w:r>
            <w:r w:rsidR="007608AD">
              <w:rPr>
                <w:lang w:val="it-CH"/>
              </w:rPr>
              <w:t>del 1° luglio 1998</w:t>
            </w:r>
            <w:r w:rsidR="007608AD" w:rsidRPr="00E51727">
              <w:rPr>
                <w:lang w:val="it-CH" w:eastAsia="en-US"/>
              </w:rPr>
              <w:t xml:space="preserve"> </w:t>
            </w:r>
            <w:r w:rsidRPr="00E51727">
              <w:rPr>
                <w:lang w:val="it-CH"/>
              </w:rPr>
              <w:t>contro il deterioramento del suolo</w:t>
            </w:r>
            <w:r w:rsidR="00865691">
              <w:rPr>
                <w:lang w:val="it-CH"/>
              </w:rPr>
              <w:t xml:space="preserve"> </w:t>
            </w:r>
            <w:r w:rsidRPr="00E51727">
              <w:rPr>
                <w:lang w:val="it-CH" w:eastAsia="en-US"/>
              </w:rPr>
              <w:t>(O suolo</w:t>
            </w:r>
            <w:r w:rsidR="00865691">
              <w:rPr>
                <w:lang w:val="it-CH" w:eastAsia="en-US"/>
              </w:rPr>
              <w:t>; RS 814.12</w:t>
            </w:r>
            <w:r w:rsidRPr="00E51727">
              <w:rPr>
                <w:lang w:val="it-CH" w:eastAsia="en-US"/>
              </w:rPr>
              <w:t xml:space="preserve">) e di quelle dell’ordinanza </w:t>
            </w:r>
            <w:r w:rsidR="00571CDD">
              <w:rPr>
                <w:lang w:val="it-CH" w:eastAsia="en-US"/>
              </w:rPr>
              <w:t xml:space="preserve">del 23 ottobre 2013 </w:t>
            </w:r>
            <w:r w:rsidRPr="00E51727">
              <w:rPr>
                <w:lang w:val="it-CH" w:eastAsia="en-US"/>
              </w:rPr>
              <w:t>sui pagamenti diretti (OPD</w:t>
            </w:r>
            <w:r w:rsidR="00865691">
              <w:rPr>
                <w:lang w:val="it-CH" w:eastAsia="en-US"/>
              </w:rPr>
              <w:t>; RS 910.13</w:t>
            </w:r>
            <w:r w:rsidRPr="00E51727">
              <w:rPr>
                <w:lang w:val="it-CH" w:eastAsia="en-US"/>
              </w:rPr>
              <w:t xml:space="preserve">) </w:t>
            </w:r>
            <w:r w:rsidR="00CC564D" w:rsidRPr="00E51727">
              <w:rPr>
                <w:lang w:val="it-CH" w:eastAsia="en-US"/>
              </w:rPr>
              <w:t>relative alla</w:t>
            </w:r>
            <w:r w:rsidRPr="00E51727">
              <w:rPr>
                <w:lang w:val="it-CH" w:eastAsia="en-US"/>
              </w:rPr>
              <w:t xml:space="preserve"> prova che le esigenze ecologiche </w:t>
            </w:r>
            <w:r w:rsidR="00CC564D" w:rsidRPr="00E51727">
              <w:rPr>
                <w:lang w:val="it-CH" w:eastAsia="en-US"/>
              </w:rPr>
              <w:t>sono</w:t>
            </w:r>
            <w:r w:rsidRPr="00E51727">
              <w:rPr>
                <w:lang w:val="it-CH" w:eastAsia="en-US"/>
              </w:rPr>
              <w:t xml:space="preserve"> rispettate</w:t>
            </w:r>
            <w:r w:rsidR="3120AD34" w:rsidRPr="00E51727">
              <w:rPr>
                <w:lang w:val="it-CH" w:eastAsia="en-US"/>
              </w:rPr>
              <w:t>.</w:t>
            </w:r>
          </w:p>
        </w:tc>
      </w:tr>
      <w:tr w:rsidR="0062030D" w:rsidRPr="002C06C6" w14:paraId="14693638" w14:textId="77777777" w:rsidTr="008A0DDA">
        <w:trPr>
          <w:gridAfter w:val="2"/>
          <w:wAfter w:w="8494" w:type="dxa"/>
        </w:trPr>
        <w:tc>
          <w:tcPr>
            <w:tcW w:w="9066" w:type="dxa"/>
            <w:gridSpan w:val="2"/>
            <w:shd w:val="clear" w:color="auto" w:fill="AEAAAA" w:themeFill="background2" w:themeFillShade="BF"/>
          </w:tcPr>
          <w:p w14:paraId="08613635" w14:textId="51B51CA0" w:rsidR="003A1E5E" w:rsidRPr="00F92E59" w:rsidRDefault="00F92E59" w:rsidP="325E5E49">
            <w:pPr>
              <w:spacing w:before="120"/>
              <w:jc w:val="center"/>
              <w:rPr>
                <w:b/>
                <w:bCs/>
                <w:lang w:val="it-CH"/>
              </w:rPr>
            </w:pPr>
            <w:bookmarkStart w:id="61" w:name="_Toc531102184"/>
            <w:bookmarkStart w:id="62" w:name="_Toc523813322"/>
            <w:bookmarkStart w:id="63" w:name="_Toc525022622"/>
            <w:bookmarkStart w:id="64" w:name="_Toc526946712"/>
            <w:bookmarkStart w:id="65" w:name="_Toc531103702"/>
            <w:bookmarkStart w:id="66" w:name="_Toc531612509"/>
            <w:r w:rsidRPr="00F92E59">
              <w:rPr>
                <w:b/>
                <w:bCs/>
                <w:lang w:val="it-CH"/>
              </w:rPr>
              <w:t>Inventari SAC, rilevamento e criteri di qualità SAC</w:t>
            </w:r>
            <w:bookmarkEnd w:id="61"/>
            <w:bookmarkEnd w:id="62"/>
            <w:bookmarkEnd w:id="63"/>
            <w:bookmarkEnd w:id="64"/>
            <w:bookmarkEnd w:id="65"/>
            <w:bookmarkEnd w:id="66"/>
          </w:p>
        </w:tc>
      </w:tr>
      <w:tr w:rsidR="0062030D" w:rsidRPr="002C06C6" w14:paraId="4809DC40" w14:textId="77777777" w:rsidTr="008A0DDA">
        <w:trPr>
          <w:gridAfter w:val="2"/>
          <w:wAfter w:w="8494" w:type="dxa"/>
        </w:trPr>
        <w:tc>
          <w:tcPr>
            <w:tcW w:w="572" w:type="dxa"/>
            <w:shd w:val="clear" w:color="auto" w:fill="D9D9D9" w:themeFill="background1" w:themeFillShade="D9"/>
          </w:tcPr>
          <w:p w14:paraId="31D7D4EC" w14:textId="6FAE51CD" w:rsidR="0035368E" w:rsidRPr="00F92E59" w:rsidRDefault="0035368E" w:rsidP="005E67E9">
            <w:pPr>
              <w:pStyle w:val="Listenabsatz"/>
              <w:numPr>
                <w:ilvl w:val="0"/>
                <w:numId w:val="9"/>
              </w:numPr>
              <w:spacing w:before="120"/>
              <w:rPr>
                <w:b/>
                <w:lang w:val="it-CH"/>
              </w:rPr>
            </w:pPr>
            <w:bookmarkStart w:id="67" w:name="_Ref525227301"/>
          </w:p>
        </w:tc>
        <w:bookmarkEnd w:id="67"/>
        <w:tc>
          <w:tcPr>
            <w:tcW w:w="8494" w:type="dxa"/>
            <w:shd w:val="clear" w:color="auto" w:fill="D9D9D9" w:themeFill="background1" w:themeFillShade="D9"/>
          </w:tcPr>
          <w:p w14:paraId="5EC9E05D" w14:textId="5AEADFDB" w:rsidR="007A2A9A" w:rsidRPr="00F92E59" w:rsidRDefault="00F92E59" w:rsidP="325E5E49">
            <w:pPr>
              <w:spacing w:before="120"/>
              <w:rPr>
                <w:b/>
                <w:bCs/>
                <w:lang w:val="it-CH"/>
              </w:rPr>
            </w:pPr>
            <w:r w:rsidRPr="00F92E59">
              <w:rPr>
                <w:b/>
                <w:bCs/>
                <w:lang w:val="it-CH"/>
              </w:rPr>
              <w:t>I Cantoni hanno l’obbligo di inserire tutt</w:t>
            </w:r>
            <w:r w:rsidR="00571CDD">
              <w:rPr>
                <w:b/>
                <w:bCs/>
                <w:lang w:val="it-CH"/>
              </w:rPr>
              <w:t>i i suoli</w:t>
            </w:r>
            <w:r w:rsidRPr="00F92E59">
              <w:rPr>
                <w:b/>
                <w:bCs/>
                <w:lang w:val="it-CH"/>
              </w:rPr>
              <w:t xml:space="preserve"> con qualità SAC nei loro inventari SAC</w:t>
            </w:r>
            <w:r w:rsidR="325E5E49" w:rsidRPr="00F92E59">
              <w:rPr>
                <w:b/>
                <w:bCs/>
                <w:lang w:val="it-CH"/>
              </w:rPr>
              <w:t xml:space="preserve">. </w:t>
            </w:r>
          </w:p>
          <w:p w14:paraId="40102FE3" w14:textId="5F0294AC" w:rsidR="00AC78E5" w:rsidRPr="00E51727" w:rsidRDefault="00342201" w:rsidP="00571CDD">
            <w:pPr>
              <w:spacing w:before="120"/>
              <w:rPr>
                <w:lang w:val="it-CH"/>
              </w:rPr>
            </w:pPr>
            <w:r w:rsidRPr="00E51727">
              <w:rPr>
                <w:lang w:val="it-CH"/>
              </w:rPr>
              <w:t xml:space="preserve">Le SAC </w:t>
            </w:r>
            <w:r w:rsidR="006B24C5" w:rsidRPr="00E51727">
              <w:rPr>
                <w:lang w:val="it-CH"/>
              </w:rPr>
              <w:t>devono essere rilevate su tutto il territorio cantonale</w:t>
            </w:r>
            <w:r w:rsidRPr="00E51727">
              <w:rPr>
                <w:lang w:val="it-CH"/>
              </w:rPr>
              <w:t xml:space="preserve">. </w:t>
            </w:r>
            <w:r w:rsidR="00865691">
              <w:rPr>
                <w:lang w:val="it-CH"/>
              </w:rPr>
              <w:t xml:space="preserve">Anche </w:t>
            </w:r>
            <w:r w:rsidR="00571CDD">
              <w:rPr>
                <w:lang w:val="it-CH"/>
              </w:rPr>
              <w:t>i suoli</w:t>
            </w:r>
            <w:r w:rsidRPr="00E51727">
              <w:rPr>
                <w:lang w:val="it-CH"/>
              </w:rPr>
              <w:t xml:space="preserve"> </w:t>
            </w:r>
            <w:r w:rsidR="006B24C5" w:rsidRPr="00E51727">
              <w:rPr>
                <w:lang w:val="it-CH"/>
              </w:rPr>
              <w:t>valorizzat</w:t>
            </w:r>
            <w:r w:rsidR="00571CDD">
              <w:rPr>
                <w:lang w:val="it-CH"/>
              </w:rPr>
              <w:t>i</w:t>
            </w:r>
            <w:r w:rsidRPr="00E51727">
              <w:rPr>
                <w:lang w:val="it-CH"/>
              </w:rPr>
              <w:t xml:space="preserve"> o ricoltivat</w:t>
            </w:r>
            <w:r w:rsidR="00571CDD">
              <w:rPr>
                <w:lang w:val="it-CH"/>
              </w:rPr>
              <w:t>i</w:t>
            </w:r>
            <w:r w:rsidRPr="00E51727">
              <w:rPr>
                <w:lang w:val="it-CH"/>
              </w:rPr>
              <w:t xml:space="preserve"> che </w:t>
            </w:r>
            <w:r w:rsidR="006B24C5" w:rsidRPr="00E51727">
              <w:rPr>
                <w:lang w:val="it-CH"/>
              </w:rPr>
              <w:t xml:space="preserve">adempiono ai </w:t>
            </w:r>
            <w:r w:rsidRPr="00E51727">
              <w:rPr>
                <w:lang w:val="it-CH"/>
              </w:rPr>
              <w:t>criteri di qualità SAC devono essere inserit</w:t>
            </w:r>
            <w:r w:rsidR="00F83835">
              <w:rPr>
                <w:lang w:val="it-CH"/>
              </w:rPr>
              <w:t>e</w:t>
            </w:r>
            <w:r w:rsidRPr="00E51727">
              <w:rPr>
                <w:lang w:val="it-CH"/>
              </w:rPr>
              <w:t xml:space="preserve"> nell’</w:t>
            </w:r>
            <w:r w:rsidR="006B24C5" w:rsidRPr="00E51727">
              <w:rPr>
                <w:lang w:val="it-CH"/>
              </w:rPr>
              <w:t>i</w:t>
            </w:r>
            <w:r w:rsidRPr="00E51727">
              <w:rPr>
                <w:lang w:val="it-CH"/>
              </w:rPr>
              <w:t>nventario</w:t>
            </w:r>
            <w:r w:rsidR="00865691">
              <w:rPr>
                <w:lang w:val="it-CH"/>
              </w:rPr>
              <w:t>.</w:t>
            </w:r>
          </w:p>
        </w:tc>
      </w:tr>
      <w:tr w:rsidR="008748C0" w:rsidRPr="002C06C6" w14:paraId="1B24217A" w14:textId="77777777" w:rsidTr="008A0DDA">
        <w:trPr>
          <w:gridAfter w:val="2"/>
          <w:wAfter w:w="8494" w:type="dxa"/>
        </w:trPr>
        <w:tc>
          <w:tcPr>
            <w:tcW w:w="572" w:type="dxa"/>
            <w:shd w:val="clear" w:color="auto" w:fill="D9D9D9" w:themeFill="background1" w:themeFillShade="D9"/>
          </w:tcPr>
          <w:p w14:paraId="76E3F876" w14:textId="77777777" w:rsidR="008748C0" w:rsidRPr="00E51727" w:rsidRDefault="008748C0" w:rsidP="00AE6D5B">
            <w:pPr>
              <w:pStyle w:val="Listenabsatz"/>
              <w:numPr>
                <w:ilvl w:val="0"/>
                <w:numId w:val="9"/>
              </w:numPr>
              <w:rPr>
                <w:b/>
                <w:lang w:val="it-CH"/>
              </w:rPr>
            </w:pPr>
            <w:bookmarkStart w:id="68" w:name="_Ref525658814"/>
          </w:p>
        </w:tc>
        <w:bookmarkEnd w:id="68"/>
        <w:tc>
          <w:tcPr>
            <w:tcW w:w="8494" w:type="dxa"/>
            <w:shd w:val="clear" w:color="auto" w:fill="D9D9D9" w:themeFill="background1" w:themeFillShade="D9"/>
          </w:tcPr>
          <w:p w14:paraId="22BFB6D0" w14:textId="07B27EA8" w:rsidR="008748C0" w:rsidRPr="00AD2BB5" w:rsidRDefault="00AD2BB5" w:rsidP="325E5E49">
            <w:pPr>
              <w:rPr>
                <w:b/>
                <w:bCs/>
                <w:lang w:val="it-CH"/>
              </w:rPr>
            </w:pPr>
            <w:r>
              <w:rPr>
                <w:b/>
                <w:bCs/>
                <w:lang w:val="it-CH"/>
              </w:rPr>
              <w:t>Gli inventari</w:t>
            </w:r>
            <w:r w:rsidRPr="00CC45F6">
              <w:rPr>
                <w:b/>
                <w:bCs/>
                <w:lang w:val="it-CH"/>
              </w:rPr>
              <w:t xml:space="preserve"> SAC devono essere </w:t>
            </w:r>
            <w:r>
              <w:rPr>
                <w:b/>
                <w:bCs/>
                <w:lang w:val="it-CH"/>
              </w:rPr>
              <w:t xml:space="preserve">allestiti e aggiornati </w:t>
            </w:r>
            <w:r w:rsidRPr="00CC45F6">
              <w:rPr>
                <w:b/>
                <w:bCs/>
                <w:lang w:val="it-CH"/>
              </w:rPr>
              <w:t xml:space="preserve">sulla base di dati affidabili relativi </w:t>
            </w:r>
            <w:r>
              <w:rPr>
                <w:b/>
                <w:bCs/>
                <w:lang w:val="it-CH"/>
              </w:rPr>
              <w:t>alle superfici</w:t>
            </w:r>
            <w:r w:rsidR="325E5E49" w:rsidRPr="00AD2BB5">
              <w:rPr>
                <w:b/>
                <w:bCs/>
                <w:lang w:val="it-CH"/>
              </w:rPr>
              <w:t xml:space="preserve">. </w:t>
            </w:r>
          </w:p>
          <w:p w14:paraId="2FD50B6D" w14:textId="4CC43ECB" w:rsidR="008748C0" w:rsidRPr="00E51727" w:rsidRDefault="007056A8" w:rsidP="00014D09">
            <w:pPr>
              <w:rPr>
                <w:lang w:val="it-CH"/>
              </w:rPr>
            </w:pPr>
            <w:r w:rsidRPr="00E51727">
              <w:rPr>
                <w:lang w:val="it-CH"/>
              </w:rPr>
              <w:t>I n</w:t>
            </w:r>
            <w:r w:rsidR="006B24C5" w:rsidRPr="00E51727">
              <w:rPr>
                <w:lang w:val="it-CH"/>
              </w:rPr>
              <w:t>uovi</w:t>
            </w:r>
            <w:r w:rsidR="00342201" w:rsidRPr="00E51727">
              <w:rPr>
                <w:lang w:val="it-CH"/>
              </w:rPr>
              <w:t xml:space="preserve"> rilevamenti dei dati </w:t>
            </w:r>
            <w:r w:rsidR="004861D7" w:rsidRPr="00E51727">
              <w:rPr>
                <w:lang w:val="it-CH"/>
              </w:rPr>
              <w:t xml:space="preserve">pedologici </w:t>
            </w:r>
            <w:r w:rsidRPr="00E51727">
              <w:rPr>
                <w:lang w:val="it-CH"/>
              </w:rPr>
              <w:t xml:space="preserve">relativi alle </w:t>
            </w:r>
            <w:r w:rsidR="00342201" w:rsidRPr="00E51727">
              <w:rPr>
                <w:lang w:val="it-CH"/>
              </w:rPr>
              <w:t xml:space="preserve">SAC </w:t>
            </w:r>
            <w:r w:rsidR="004861D7" w:rsidRPr="00E51727">
              <w:rPr>
                <w:lang w:val="it-CH"/>
              </w:rPr>
              <w:t>devono essere</w:t>
            </w:r>
            <w:r w:rsidR="00342201" w:rsidRPr="00E51727">
              <w:rPr>
                <w:lang w:val="it-CH"/>
              </w:rPr>
              <w:t xml:space="preserve"> eseguiti almeno </w:t>
            </w:r>
            <w:r w:rsidR="004861D7" w:rsidRPr="00E51727">
              <w:rPr>
                <w:lang w:val="it-CH"/>
              </w:rPr>
              <w:t xml:space="preserve">rispettando </w:t>
            </w:r>
            <w:r w:rsidR="00342201" w:rsidRPr="00E51727">
              <w:rPr>
                <w:lang w:val="it-CH"/>
              </w:rPr>
              <w:t>lo standard della tecnica cartografica del metodo FAL</w:t>
            </w:r>
            <w:r w:rsidR="006B24C5" w:rsidRPr="00E51727">
              <w:rPr>
                <w:lang w:val="it-CH"/>
              </w:rPr>
              <w:t xml:space="preserve"> </w:t>
            </w:r>
            <w:r w:rsidR="00342201" w:rsidRPr="00E51727">
              <w:rPr>
                <w:lang w:val="it-CH"/>
              </w:rPr>
              <w:t>24+</w:t>
            </w:r>
            <w:r w:rsidR="3120AD34" w:rsidRPr="00E51727">
              <w:rPr>
                <w:lang w:val="it-CH"/>
              </w:rPr>
              <w:t xml:space="preserve">. </w:t>
            </w:r>
          </w:p>
        </w:tc>
      </w:tr>
      <w:tr w:rsidR="0062030D" w:rsidRPr="002C06C6" w14:paraId="48FD2C9C" w14:textId="1E5D5E29" w:rsidTr="008A0DDA">
        <w:tc>
          <w:tcPr>
            <w:tcW w:w="572" w:type="dxa"/>
            <w:shd w:val="clear" w:color="auto" w:fill="D9D9D9" w:themeFill="background1" w:themeFillShade="D9"/>
          </w:tcPr>
          <w:p w14:paraId="2EB68F93" w14:textId="61523F57" w:rsidR="00052635" w:rsidRPr="00E51727" w:rsidRDefault="00052635" w:rsidP="005E67E9">
            <w:pPr>
              <w:pStyle w:val="Listenabsatz"/>
              <w:numPr>
                <w:ilvl w:val="0"/>
                <w:numId w:val="9"/>
              </w:numPr>
              <w:rPr>
                <w:b/>
                <w:lang w:val="it-CH"/>
              </w:rPr>
            </w:pPr>
            <w:bookmarkStart w:id="69" w:name="_Ref520123456"/>
          </w:p>
        </w:tc>
        <w:bookmarkEnd w:id="69"/>
        <w:tc>
          <w:tcPr>
            <w:tcW w:w="8494" w:type="dxa"/>
            <w:shd w:val="clear" w:color="auto" w:fill="D9D9D9" w:themeFill="background1" w:themeFillShade="D9"/>
          </w:tcPr>
          <w:p w14:paraId="28DF8B58" w14:textId="0654E0F7" w:rsidR="00B87249" w:rsidRPr="00AD2BB5" w:rsidRDefault="00571CDD" w:rsidP="325E5E49">
            <w:pPr>
              <w:rPr>
                <w:b/>
                <w:bCs/>
                <w:lang w:val="it-CH"/>
              </w:rPr>
            </w:pPr>
            <w:r>
              <w:rPr>
                <w:b/>
                <w:bCs/>
                <w:lang w:val="it-CH"/>
              </w:rPr>
              <w:t xml:space="preserve">I suoli </w:t>
            </w:r>
            <w:r w:rsidR="003E4933">
              <w:rPr>
                <w:b/>
                <w:bCs/>
                <w:lang w:val="it-CH"/>
              </w:rPr>
              <w:t xml:space="preserve">inseriti </w:t>
            </w:r>
            <w:r w:rsidR="003E4933" w:rsidRPr="00923805">
              <w:rPr>
                <w:b/>
                <w:bCs/>
                <w:lang w:val="it-CH"/>
              </w:rPr>
              <w:t xml:space="preserve">nell’inventario in seguito a nuovi rilevamenti, valorizzazioni e </w:t>
            </w:r>
            <w:proofErr w:type="spellStart"/>
            <w:r w:rsidR="003E4933" w:rsidRPr="00923805">
              <w:rPr>
                <w:b/>
                <w:bCs/>
                <w:lang w:val="it-CH"/>
              </w:rPr>
              <w:t>ricoltivazioni</w:t>
            </w:r>
            <w:proofErr w:type="spellEnd"/>
            <w:r w:rsidR="003E4933">
              <w:rPr>
                <w:b/>
                <w:bCs/>
                <w:lang w:val="it-CH"/>
              </w:rPr>
              <w:t xml:space="preserve">, devono soddisfare i </w:t>
            </w:r>
            <w:r w:rsidR="00AD2BB5" w:rsidRPr="00923805">
              <w:rPr>
                <w:b/>
                <w:bCs/>
                <w:lang w:val="it-CH"/>
              </w:rPr>
              <w:t xml:space="preserve">criteri di qualità </w:t>
            </w:r>
            <w:r w:rsidR="003E4933">
              <w:rPr>
                <w:b/>
                <w:bCs/>
                <w:lang w:val="it-CH"/>
              </w:rPr>
              <w:t>stabiliti dalla Confederazione</w:t>
            </w:r>
            <w:r w:rsidR="325E5E49" w:rsidRPr="00AD2BB5">
              <w:rPr>
                <w:b/>
                <w:bCs/>
                <w:lang w:val="it-CH"/>
              </w:rPr>
              <w:t>.</w:t>
            </w:r>
          </w:p>
          <w:p w14:paraId="01FFADB5" w14:textId="41EE4C2A" w:rsidR="00737039" w:rsidRPr="00E51727" w:rsidRDefault="004861D7" w:rsidP="00637884">
            <w:pPr>
              <w:rPr>
                <w:lang w:val="it-CH"/>
              </w:rPr>
            </w:pPr>
            <w:r w:rsidRPr="00E51727">
              <w:rPr>
                <w:lang w:val="it-CH"/>
              </w:rPr>
              <w:t>Oltre alla zona climatica e a</w:t>
            </w:r>
            <w:r w:rsidR="005952C4">
              <w:rPr>
                <w:lang w:val="it-CH"/>
              </w:rPr>
              <w:t>lla pendenza del terreno</w:t>
            </w:r>
            <w:r w:rsidRPr="00E51727">
              <w:rPr>
                <w:lang w:val="it-CH"/>
              </w:rPr>
              <w:t>, vengono tenut</w:t>
            </w:r>
            <w:r w:rsidR="005952C4">
              <w:rPr>
                <w:lang w:val="it-CH"/>
              </w:rPr>
              <w:t>e</w:t>
            </w:r>
            <w:r w:rsidRPr="00E51727">
              <w:rPr>
                <w:lang w:val="it-CH"/>
              </w:rPr>
              <w:t xml:space="preserve"> in </w:t>
            </w:r>
            <w:r w:rsidR="00737039" w:rsidRPr="00E51727">
              <w:rPr>
                <w:lang w:val="it-CH"/>
              </w:rPr>
              <w:t xml:space="preserve">considerazione anche la </w:t>
            </w:r>
            <w:r w:rsidRPr="00E51727">
              <w:rPr>
                <w:lang w:val="it-CH"/>
              </w:rPr>
              <w:t xml:space="preserve">profondità utile </w:t>
            </w:r>
            <w:r w:rsidR="00F83835">
              <w:rPr>
                <w:lang w:val="it-CH"/>
              </w:rPr>
              <w:t>all</w:t>
            </w:r>
            <w:r w:rsidRPr="00E51727">
              <w:rPr>
                <w:lang w:val="it-CH"/>
              </w:rPr>
              <w:t xml:space="preserve">e piante, </w:t>
            </w:r>
            <w:r w:rsidR="00637884" w:rsidRPr="00E51727">
              <w:rPr>
                <w:lang w:val="it-CH"/>
              </w:rPr>
              <w:t>la densità apparente effettiva</w:t>
            </w:r>
            <w:r w:rsidR="00737039" w:rsidRPr="00E51727">
              <w:rPr>
                <w:lang w:val="it-CH"/>
              </w:rPr>
              <w:t xml:space="preserve">, </w:t>
            </w:r>
            <w:r w:rsidR="00637884" w:rsidRPr="00E51727">
              <w:rPr>
                <w:lang w:val="it-CH"/>
              </w:rPr>
              <w:t xml:space="preserve">le sostanze nocive secondo l’O suolo </w:t>
            </w:r>
            <w:r w:rsidR="00737039" w:rsidRPr="00E51727">
              <w:rPr>
                <w:lang w:val="it-CH"/>
              </w:rPr>
              <w:t xml:space="preserve">e le dimensioni delle </w:t>
            </w:r>
            <w:r w:rsidR="005151ED" w:rsidRPr="00E51727">
              <w:rPr>
                <w:lang w:val="it-CH"/>
              </w:rPr>
              <w:t xml:space="preserve">superfici </w:t>
            </w:r>
            <w:r w:rsidR="00B718B5" w:rsidRPr="00E51727">
              <w:rPr>
                <w:lang w:val="it-CH"/>
              </w:rPr>
              <w:t>contigue</w:t>
            </w:r>
            <w:r w:rsidR="00737039" w:rsidRPr="00E51727">
              <w:rPr>
                <w:lang w:val="it-CH"/>
              </w:rPr>
              <w:t>.</w:t>
            </w:r>
          </w:p>
          <w:p w14:paraId="2CAECD0D" w14:textId="376536B6" w:rsidR="00052635" w:rsidRPr="00E51727" w:rsidRDefault="00737039" w:rsidP="00737039">
            <w:pPr>
              <w:spacing w:before="120"/>
              <w:rPr>
                <w:lang w:val="it-CH"/>
              </w:rPr>
            </w:pPr>
            <w:r w:rsidRPr="00E51727">
              <w:rPr>
                <w:lang w:val="it-CH"/>
              </w:rPr>
              <w:lastRenderedPageBreak/>
              <w:t xml:space="preserve">In ambito di </w:t>
            </w:r>
            <w:proofErr w:type="spellStart"/>
            <w:r w:rsidRPr="00E51727">
              <w:rPr>
                <w:lang w:val="it-CH"/>
              </w:rPr>
              <w:t>ricoltivazione</w:t>
            </w:r>
            <w:proofErr w:type="spellEnd"/>
            <w:r w:rsidRPr="00E51727">
              <w:rPr>
                <w:lang w:val="it-CH"/>
              </w:rPr>
              <w:t xml:space="preserve"> </w:t>
            </w:r>
            <w:r w:rsidR="005151ED" w:rsidRPr="00E51727">
              <w:rPr>
                <w:lang w:val="it-CH"/>
              </w:rPr>
              <w:t>o</w:t>
            </w:r>
            <w:r w:rsidRPr="00E51727">
              <w:rPr>
                <w:lang w:val="it-CH"/>
              </w:rPr>
              <w:t xml:space="preserve"> </w:t>
            </w:r>
            <w:r w:rsidR="005151ED" w:rsidRPr="00E51727">
              <w:rPr>
                <w:lang w:val="it-CH"/>
              </w:rPr>
              <w:t>valorizzazione, dopo quattro anni</w:t>
            </w:r>
            <w:r w:rsidRPr="00E51727">
              <w:rPr>
                <w:lang w:val="it-CH"/>
              </w:rPr>
              <w:t xml:space="preserve"> occorre </w:t>
            </w:r>
            <w:r w:rsidR="005151ED" w:rsidRPr="00E51727">
              <w:rPr>
                <w:lang w:val="it-CH"/>
              </w:rPr>
              <w:t xml:space="preserve">avviare una valutazione delle superfici alla luce di </w:t>
            </w:r>
            <w:r w:rsidRPr="00E51727">
              <w:rPr>
                <w:lang w:val="it-CH"/>
              </w:rPr>
              <w:t xml:space="preserve">questi criteri di qualità. Se soddisfano i criteri, </w:t>
            </w:r>
            <w:r w:rsidR="00CB72A0">
              <w:rPr>
                <w:lang w:val="it-CH"/>
              </w:rPr>
              <w:t>tali</w:t>
            </w:r>
            <w:r w:rsidR="005151ED" w:rsidRPr="00E51727">
              <w:rPr>
                <w:lang w:val="it-CH"/>
              </w:rPr>
              <w:t xml:space="preserve"> superfici </w:t>
            </w:r>
            <w:r w:rsidRPr="00E51727">
              <w:rPr>
                <w:lang w:val="it-CH"/>
              </w:rPr>
              <w:t xml:space="preserve">vanno </w:t>
            </w:r>
            <w:r w:rsidR="00CB72A0">
              <w:rPr>
                <w:lang w:val="it-CH"/>
              </w:rPr>
              <w:t>inserite</w:t>
            </w:r>
            <w:r w:rsidR="005151ED" w:rsidRPr="00E51727">
              <w:rPr>
                <w:lang w:val="it-CH"/>
              </w:rPr>
              <w:t xml:space="preserve"> </w:t>
            </w:r>
            <w:r w:rsidR="00CB72A0">
              <w:rPr>
                <w:lang w:val="it-CH"/>
              </w:rPr>
              <w:t>nell’inventario SAC</w:t>
            </w:r>
            <w:r w:rsidR="325E5E49" w:rsidRPr="00E51727">
              <w:rPr>
                <w:lang w:val="it-CH"/>
              </w:rPr>
              <w:t>.</w:t>
            </w:r>
          </w:p>
        </w:tc>
        <w:tc>
          <w:tcPr>
            <w:tcW w:w="8494" w:type="dxa"/>
            <w:gridSpan w:val="2"/>
          </w:tcPr>
          <w:p w14:paraId="7EF21DB0" w14:textId="47BB5F36" w:rsidR="00052635" w:rsidRPr="00E51727" w:rsidRDefault="00052635" w:rsidP="00052635">
            <w:pPr>
              <w:spacing w:after="160" w:line="259" w:lineRule="auto"/>
              <w:rPr>
                <w:lang w:val="it-CH"/>
              </w:rPr>
            </w:pPr>
          </w:p>
        </w:tc>
      </w:tr>
      <w:tr w:rsidR="0062030D" w:rsidRPr="002C06C6" w14:paraId="4D230E41" w14:textId="77777777" w:rsidTr="008A0DDA">
        <w:trPr>
          <w:gridAfter w:val="2"/>
          <w:wAfter w:w="8494" w:type="dxa"/>
        </w:trPr>
        <w:tc>
          <w:tcPr>
            <w:tcW w:w="572" w:type="dxa"/>
            <w:shd w:val="clear" w:color="auto" w:fill="D9D9D9" w:themeFill="background1" w:themeFillShade="D9"/>
          </w:tcPr>
          <w:p w14:paraId="25D62A67" w14:textId="77777777" w:rsidR="00052635" w:rsidRPr="00E51727" w:rsidRDefault="00052635" w:rsidP="005E67E9">
            <w:pPr>
              <w:pStyle w:val="Listenabsatz"/>
              <w:numPr>
                <w:ilvl w:val="0"/>
                <w:numId w:val="9"/>
              </w:numPr>
              <w:rPr>
                <w:b/>
                <w:lang w:val="it-CH"/>
              </w:rPr>
            </w:pPr>
            <w:bookmarkStart w:id="70" w:name="_Ref532981632"/>
          </w:p>
        </w:tc>
        <w:bookmarkEnd w:id="70"/>
        <w:tc>
          <w:tcPr>
            <w:tcW w:w="8494" w:type="dxa"/>
            <w:shd w:val="clear" w:color="auto" w:fill="D9D9D9" w:themeFill="background1" w:themeFillShade="D9"/>
          </w:tcPr>
          <w:p w14:paraId="1FF320BF" w14:textId="01472A51" w:rsidR="00052635" w:rsidRPr="00AD2BB5" w:rsidRDefault="00AD2BB5" w:rsidP="325E5E49">
            <w:pPr>
              <w:rPr>
                <w:b/>
                <w:bCs/>
                <w:lang w:val="it-CH"/>
              </w:rPr>
            </w:pPr>
            <w:r w:rsidRPr="00CC45F6">
              <w:rPr>
                <w:b/>
                <w:bCs/>
                <w:lang w:val="it-CH"/>
              </w:rPr>
              <w:t xml:space="preserve">I Cantoni definiscono </w:t>
            </w:r>
            <w:r w:rsidR="00571CDD">
              <w:rPr>
                <w:b/>
                <w:bCs/>
                <w:lang w:val="it-CH"/>
              </w:rPr>
              <w:t>i suoli</w:t>
            </w:r>
            <w:r w:rsidRPr="00CC45F6">
              <w:rPr>
                <w:b/>
                <w:bCs/>
                <w:lang w:val="it-CH"/>
              </w:rPr>
              <w:t xml:space="preserve"> da prendere in considerazione per una valorizzazione o una </w:t>
            </w:r>
            <w:proofErr w:type="spellStart"/>
            <w:r w:rsidRPr="00CC45F6">
              <w:rPr>
                <w:b/>
                <w:bCs/>
                <w:lang w:val="it-CH"/>
              </w:rPr>
              <w:t>ricoltivazione</w:t>
            </w:r>
            <w:proofErr w:type="spellEnd"/>
            <w:r w:rsidR="325E5E49" w:rsidRPr="00AD2BB5">
              <w:rPr>
                <w:b/>
                <w:bCs/>
                <w:lang w:val="it-CH"/>
              </w:rPr>
              <w:t>.</w:t>
            </w:r>
          </w:p>
          <w:p w14:paraId="24257C6C" w14:textId="5672AE26" w:rsidR="00052635" w:rsidRPr="00E51727" w:rsidRDefault="00206D59" w:rsidP="325E5E49">
            <w:pPr>
              <w:rPr>
                <w:b/>
                <w:bCs/>
                <w:lang w:val="it-CH"/>
              </w:rPr>
            </w:pPr>
            <w:r w:rsidRPr="00E51727">
              <w:rPr>
                <w:lang w:val="it-CH"/>
              </w:rPr>
              <w:t xml:space="preserve">Nei tre </w:t>
            </w:r>
            <w:r w:rsidR="00737039" w:rsidRPr="00E51727">
              <w:rPr>
                <w:lang w:val="it-CH"/>
              </w:rPr>
              <w:t xml:space="preserve">anni </w:t>
            </w:r>
            <w:r w:rsidRPr="00E51727">
              <w:rPr>
                <w:lang w:val="it-CH"/>
              </w:rPr>
              <w:t>successivi all</w:t>
            </w:r>
            <w:r w:rsidR="00737039" w:rsidRPr="00E51727">
              <w:rPr>
                <w:lang w:val="it-CH"/>
              </w:rPr>
              <w:t>’approvazione</w:t>
            </w:r>
            <w:r w:rsidRPr="00E51727">
              <w:rPr>
                <w:lang w:val="it-CH"/>
              </w:rPr>
              <w:t xml:space="preserve"> del pi</w:t>
            </w:r>
            <w:r w:rsidR="00737039" w:rsidRPr="00E51727">
              <w:rPr>
                <w:lang w:val="it-CH"/>
              </w:rPr>
              <w:t>ano settoriale</w:t>
            </w:r>
            <w:r w:rsidRPr="00E51727">
              <w:rPr>
                <w:lang w:val="it-CH"/>
              </w:rPr>
              <w:t xml:space="preserve">, i Cantoni realizzano una carta indicativa contenente le necessarie </w:t>
            </w:r>
            <w:r w:rsidR="00737039" w:rsidRPr="00E51727">
              <w:rPr>
                <w:lang w:val="it-CH"/>
              </w:rPr>
              <w:t>informazioni</w:t>
            </w:r>
            <w:r w:rsidR="325E5E49" w:rsidRPr="00E51727">
              <w:rPr>
                <w:lang w:val="it-CH"/>
              </w:rPr>
              <w:t xml:space="preserve">. </w:t>
            </w:r>
          </w:p>
        </w:tc>
      </w:tr>
      <w:tr w:rsidR="00A82D14" w:rsidRPr="00E51727" w14:paraId="68ACA0B9" w14:textId="77777777" w:rsidTr="008A0DDA">
        <w:trPr>
          <w:gridAfter w:val="1"/>
          <w:wAfter w:w="8483" w:type="dxa"/>
          <w:trHeight w:val="510"/>
        </w:trPr>
        <w:tc>
          <w:tcPr>
            <w:tcW w:w="9077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9B1E50A" w14:textId="52005992" w:rsidR="00A82D14" w:rsidRPr="00E51727" w:rsidRDefault="00AD2BB5" w:rsidP="00B81345">
            <w:pPr>
              <w:spacing w:before="120"/>
              <w:jc w:val="center"/>
              <w:rPr>
                <w:b/>
                <w:bCs/>
                <w:lang w:val="it-CH"/>
              </w:rPr>
            </w:pPr>
            <w:bookmarkStart w:id="71" w:name="_Toc531612510"/>
            <w:r w:rsidRPr="00AD2BB5">
              <w:rPr>
                <w:b/>
                <w:bCs/>
                <w:lang w:val="it-CH"/>
              </w:rPr>
              <w:t>Misure di compensazione</w:t>
            </w:r>
            <w:bookmarkEnd w:id="71"/>
          </w:p>
        </w:tc>
      </w:tr>
      <w:tr w:rsidR="00A82D14" w:rsidRPr="002C06C6" w14:paraId="50AAA23D" w14:textId="77777777" w:rsidTr="008A0DDA">
        <w:trPr>
          <w:gridAfter w:val="1"/>
          <w:wAfter w:w="8483" w:type="dxa"/>
        </w:trPr>
        <w:tc>
          <w:tcPr>
            <w:tcW w:w="572" w:type="dxa"/>
            <w:shd w:val="clear" w:color="auto" w:fill="D9D9D9" w:themeFill="background1" w:themeFillShade="D9"/>
          </w:tcPr>
          <w:p w14:paraId="419ECF38" w14:textId="77777777" w:rsidR="00A82D14" w:rsidRPr="00E51727" w:rsidRDefault="00A82D14" w:rsidP="00B81345">
            <w:pPr>
              <w:pStyle w:val="Listenabsatz"/>
              <w:numPr>
                <w:ilvl w:val="0"/>
                <w:numId w:val="9"/>
              </w:numPr>
              <w:spacing w:before="120"/>
              <w:rPr>
                <w:b/>
                <w:lang w:val="it-CH"/>
              </w:rPr>
            </w:pPr>
            <w:bookmarkStart w:id="72" w:name="_Ref532981510"/>
          </w:p>
        </w:tc>
        <w:bookmarkEnd w:id="72"/>
        <w:tc>
          <w:tcPr>
            <w:tcW w:w="8505" w:type="dxa"/>
            <w:gridSpan w:val="2"/>
            <w:shd w:val="clear" w:color="auto" w:fill="D9D9D9" w:themeFill="background1" w:themeFillShade="D9"/>
          </w:tcPr>
          <w:p w14:paraId="04807469" w14:textId="222F1CF3" w:rsidR="00A82D14" w:rsidRPr="00AD2BB5" w:rsidRDefault="0073123C" w:rsidP="00B81345">
            <w:pPr>
              <w:spacing w:before="120"/>
              <w:ind w:left="35"/>
              <w:rPr>
                <w:b/>
                <w:bCs/>
                <w:lang w:val="it-CH"/>
              </w:rPr>
            </w:pPr>
            <w:r>
              <w:rPr>
                <w:b/>
                <w:bCs/>
                <w:lang w:val="it-CH"/>
              </w:rPr>
              <w:t>Se</w:t>
            </w:r>
            <w:r w:rsidRPr="00AD2BB5">
              <w:rPr>
                <w:b/>
                <w:bCs/>
                <w:lang w:val="it-CH"/>
              </w:rPr>
              <w:t xml:space="preserve"> </w:t>
            </w:r>
            <w:r w:rsidR="00AD2BB5" w:rsidRPr="00AD2BB5">
              <w:rPr>
                <w:b/>
                <w:bCs/>
                <w:lang w:val="it-CH"/>
              </w:rPr>
              <w:t>possibile, qualsiasi consumo di SAC iscritte nell’inventario cantonale dovrebbe essere compensato sia sul piano quantitativo sia su quello qualitativo</w:t>
            </w:r>
            <w:r w:rsidR="00A82D14" w:rsidRPr="00AD2BB5">
              <w:rPr>
                <w:b/>
                <w:bCs/>
                <w:lang w:val="it-CH"/>
              </w:rPr>
              <w:t xml:space="preserve">. </w:t>
            </w:r>
          </w:p>
          <w:p w14:paraId="1521E714" w14:textId="5DF52011" w:rsidR="00A82D14" w:rsidRPr="00E51727" w:rsidRDefault="00737039" w:rsidP="00571CDD">
            <w:pPr>
              <w:ind w:left="35"/>
              <w:rPr>
                <w:b/>
                <w:bCs/>
                <w:lang w:val="it-CH"/>
              </w:rPr>
            </w:pPr>
            <w:r w:rsidRPr="00F83835">
              <w:rPr>
                <w:lang w:val="it-CH"/>
              </w:rPr>
              <w:t xml:space="preserve">Per la compensazione vengono prese in considerazione </w:t>
            </w:r>
            <w:r w:rsidR="00206D59" w:rsidRPr="00F83835">
              <w:rPr>
                <w:lang w:val="it-CH"/>
              </w:rPr>
              <w:t>valorizzazioni</w:t>
            </w:r>
            <w:r w:rsidRPr="00F83835">
              <w:rPr>
                <w:lang w:val="it-CH"/>
              </w:rPr>
              <w:t xml:space="preserve">, </w:t>
            </w:r>
            <w:proofErr w:type="spellStart"/>
            <w:r w:rsidRPr="00F83835">
              <w:rPr>
                <w:lang w:val="it-CH"/>
              </w:rPr>
              <w:t>ricoltivazioni</w:t>
            </w:r>
            <w:proofErr w:type="spellEnd"/>
            <w:r w:rsidR="00CB72A0" w:rsidRPr="00F83835">
              <w:rPr>
                <w:lang w:val="it-CH"/>
              </w:rPr>
              <w:t xml:space="preserve"> o</w:t>
            </w:r>
            <w:r w:rsidRPr="00F83835">
              <w:rPr>
                <w:lang w:val="it-CH"/>
              </w:rPr>
              <w:t xml:space="preserve"> nuovi rilevamenti</w:t>
            </w:r>
            <w:r w:rsidRPr="00F83835">
              <w:rPr>
                <w:rStyle w:val="Funotenzeichen"/>
                <w:lang w:val="it-CH"/>
              </w:rPr>
              <w:footnoteReference w:id="17"/>
            </w:r>
            <w:r w:rsidRPr="00F83835">
              <w:rPr>
                <w:lang w:val="it-CH"/>
              </w:rPr>
              <w:t xml:space="preserve"> d</w:t>
            </w:r>
            <w:r w:rsidR="00A844B4" w:rsidRPr="00F83835">
              <w:rPr>
                <w:lang w:val="it-CH"/>
              </w:rPr>
              <w:t>i</w:t>
            </w:r>
            <w:r w:rsidRPr="00F83835">
              <w:rPr>
                <w:lang w:val="it-CH"/>
              </w:rPr>
              <w:t xml:space="preserve"> SAC </w:t>
            </w:r>
            <w:r w:rsidR="00CB72A0" w:rsidRPr="00F83835">
              <w:rPr>
                <w:lang w:val="it-CH"/>
              </w:rPr>
              <w:t>nonché</w:t>
            </w:r>
            <w:r w:rsidRPr="00F83835">
              <w:rPr>
                <w:lang w:val="it-CH"/>
              </w:rPr>
              <w:t xml:space="preserve"> </w:t>
            </w:r>
            <w:proofErr w:type="spellStart"/>
            <w:r w:rsidRPr="00F83835">
              <w:rPr>
                <w:lang w:val="it-CH"/>
              </w:rPr>
              <w:t>dezonamenti</w:t>
            </w:r>
            <w:proofErr w:type="spellEnd"/>
            <w:r w:rsidRPr="00F83835">
              <w:rPr>
                <w:lang w:val="it-CH"/>
              </w:rPr>
              <w:t xml:space="preserve"> d</w:t>
            </w:r>
            <w:r w:rsidR="00A844B4" w:rsidRPr="00F83835">
              <w:rPr>
                <w:lang w:val="it-CH"/>
              </w:rPr>
              <w:t>i</w:t>
            </w:r>
            <w:r w:rsidRPr="00F83835">
              <w:rPr>
                <w:lang w:val="it-CH"/>
              </w:rPr>
              <w:t xml:space="preserve"> </w:t>
            </w:r>
            <w:r w:rsidR="00524CF9">
              <w:rPr>
                <w:lang w:val="it-CH"/>
              </w:rPr>
              <w:t>s</w:t>
            </w:r>
            <w:r w:rsidR="00571CDD">
              <w:rPr>
                <w:lang w:val="it-CH"/>
              </w:rPr>
              <w:t>uoli</w:t>
            </w:r>
            <w:r w:rsidRPr="00F83835">
              <w:rPr>
                <w:lang w:val="it-CH"/>
              </w:rPr>
              <w:t xml:space="preserve"> con qualità SAC. </w:t>
            </w:r>
            <w:r w:rsidR="00A844B4" w:rsidRPr="00F83835">
              <w:rPr>
                <w:lang w:val="it-CH"/>
              </w:rPr>
              <w:t>Vi è inoltre l</w:t>
            </w:r>
            <w:r w:rsidRPr="00F83835">
              <w:rPr>
                <w:lang w:val="it-CH"/>
              </w:rPr>
              <w:t xml:space="preserve">a possibilità di allestire un </w:t>
            </w:r>
            <w:r w:rsidR="00A844B4" w:rsidRPr="00F83835">
              <w:rPr>
                <w:lang w:val="it-CH"/>
              </w:rPr>
              <w:t>f</w:t>
            </w:r>
            <w:r w:rsidRPr="00F83835">
              <w:rPr>
                <w:lang w:val="it-CH"/>
              </w:rPr>
              <w:t>ondo (cfr. al riguardo</w:t>
            </w:r>
            <w:r w:rsidR="00A844B4" w:rsidRPr="00F83835">
              <w:rPr>
                <w:lang w:val="it-CH"/>
              </w:rPr>
              <w:t xml:space="preserve"> il principio</w:t>
            </w:r>
            <w:r w:rsidRPr="00F83835">
              <w:rPr>
                <w:lang w:val="it-CH"/>
              </w:rPr>
              <w:t xml:space="preserve"> </w:t>
            </w:r>
            <w:r w:rsidR="008172D2" w:rsidRPr="00F83835">
              <w:rPr>
                <w:lang w:val="it-CH"/>
              </w:rPr>
              <w:fldChar w:fldCharType="begin"/>
            </w:r>
            <w:r w:rsidR="008172D2" w:rsidRPr="00F83835">
              <w:rPr>
                <w:lang w:val="it-CH"/>
              </w:rPr>
              <w:instrText xml:space="preserve"> REF _Ref526318176 \r \h </w:instrText>
            </w:r>
            <w:r w:rsidR="00CB72A0" w:rsidRPr="00F83835">
              <w:rPr>
                <w:lang w:val="it-CH"/>
              </w:rPr>
              <w:instrText xml:space="preserve"> \* MERGEFORMAT </w:instrText>
            </w:r>
            <w:r w:rsidR="008172D2" w:rsidRPr="00F83835">
              <w:rPr>
                <w:lang w:val="it-CH"/>
              </w:rPr>
            </w:r>
            <w:r w:rsidR="008172D2" w:rsidRPr="00F83835">
              <w:rPr>
                <w:lang w:val="it-CH"/>
              </w:rPr>
              <w:fldChar w:fldCharType="separate"/>
            </w:r>
            <w:r w:rsidR="00BD32B4">
              <w:rPr>
                <w:lang w:val="it-CH"/>
              </w:rPr>
              <w:t>P9</w:t>
            </w:r>
            <w:r w:rsidR="008172D2" w:rsidRPr="00F83835">
              <w:rPr>
                <w:lang w:val="it-CH"/>
              </w:rPr>
              <w:fldChar w:fldCharType="end"/>
            </w:r>
            <w:r w:rsidR="00A82D14" w:rsidRPr="00F83835">
              <w:rPr>
                <w:lang w:val="it-CH"/>
              </w:rPr>
              <w:t xml:space="preserve">). </w:t>
            </w:r>
            <w:r w:rsidR="00F83835" w:rsidRPr="00F83835">
              <w:rPr>
                <w:rFonts w:eastAsia="Arial" w:cs="Arial"/>
                <w:lang w:val="it-CH"/>
              </w:rPr>
              <w:t>La valorizzazione di una SAC degradata già compresa nell’inventario</w:t>
            </w:r>
            <w:r w:rsidR="00A844B4" w:rsidRPr="00F83835">
              <w:rPr>
                <w:rFonts w:eastAsia="Arial" w:cs="Arial"/>
                <w:lang w:val="it-CH"/>
              </w:rPr>
              <w:t xml:space="preserve"> non viene considerata una compensazione</w:t>
            </w:r>
            <w:r w:rsidR="00A82D14" w:rsidRPr="00F83835">
              <w:rPr>
                <w:lang w:val="it-CH"/>
              </w:rPr>
              <w:t>.</w:t>
            </w:r>
            <w:r w:rsidR="00A82D14" w:rsidRPr="00E51727">
              <w:rPr>
                <w:lang w:val="it-CH"/>
              </w:rPr>
              <w:t xml:space="preserve"> </w:t>
            </w:r>
          </w:p>
        </w:tc>
      </w:tr>
      <w:tr w:rsidR="00A82D14" w:rsidRPr="002C06C6" w14:paraId="6139D911" w14:textId="77777777" w:rsidTr="008A0DDA">
        <w:trPr>
          <w:gridAfter w:val="1"/>
          <w:wAfter w:w="8483" w:type="dxa"/>
        </w:trPr>
        <w:tc>
          <w:tcPr>
            <w:tcW w:w="572" w:type="dxa"/>
            <w:shd w:val="clear" w:color="auto" w:fill="D9D9D9" w:themeFill="background1" w:themeFillShade="D9"/>
          </w:tcPr>
          <w:p w14:paraId="3D1ECBF0" w14:textId="77777777" w:rsidR="00A82D14" w:rsidRPr="00E51727" w:rsidRDefault="00A82D14" w:rsidP="00B81345">
            <w:pPr>
              <w:pStyle w:val="Listenabsatz"/>
              <w:numPr>
                <w:ilvl w:val="0"/>
                <w:numId w:val="9"/>
              </w:numPr>
              <w:spacing w:before="120"/>
              <w:rPr>
                <w:b/>
                <w:lang w:val="it-CH"/>
              </w:rPr>
            </w:pPr>
            <w:bookmarkStart w:id="73" w:name="_Ref526318176"/>
          </w:p>
        </w:tc>
        <w:bookmarkEnd w:id="73"/>
        <w:tc>
          <w:tcPr>
            <w:tcW w:w="8505" w:type="dxa"/>
            <w:gridSpan w:val="2"/>
            <w:shd w:val="clear" w:color="auto" w:fill="D9D9D9" w:themeFill="background1" w:themeFillShade="D9"/>
          </w:tcPr>
          <w:p w14:paraId="61827E7E" w14:textId="3FDFB1A4" w:rsidR="00A82D14" w:rsidRPr="00AD2BB5" w:rsidRDefault="00AD2BB5" w:rsidP="00B81345">
            <w:pPr>
              <w:spacing w:before="120"/>
              <w:rPr>
                <w:lang w:val="it-CH"/>
              </w:rPr>
            </w:pPr>
            <w:r w:rsidRPr="00CC45F6">
              <w:rPr>
                <w:b/>
                <w:bCs/>
                <w:lang w:val="it-CH"/>
              </w:rPr>
              <w:t>Ciascun Cantone può creare un fondo per SAC nel quale – in caso di consumo di SAC – possono essere versati indennizzi proporzionali alla superficie</w:t>
            </w:r>
            <w:r w:rsidR="00A82D14" w:rsidRPr="00AD2BB5">
              <w:rPr>
                <w:b/>
                <w:bCs/>
                <w:lang w:val="it-CH"/>
              </w:rPr>
              <w:t>.</w:t>
            </w:r>
          </w:p>
          <w:p w14:paraId="5674CD4C" w14:textId="56D42747" w:rsidR="00737039" w:rsidRPr="00E51727" w:rsidRDefault="00737039" w:rsidP="00737039">
            <w:pPr>
              <w:pStyle w:val="Listenabsatz"/>
              <w:ind w:left="5" w:hanging="5"/>
              <w:rPr>
                <w:lang w:val="it-CH"/>
              </w:rPr>
            </w:pPr>
            <w:r w:rsidRPr="00E51727">
              <w:rPr>
                <w:lang w:val="it-CH"/>
              </w:rPr>
              <w:t xml:space="preserve">Un versamento nel </w:t>
            </w:r>
            <w:r w:rsidR="00F02175" w:rsidRPr="00E51727">
              <w:rPr>
                <w:lang w:val="it-CH"/>
              </w:rPr>
              <w:t>f</w:t>
            </w:r>
            <w:r w:rsidRPr="00E51727">
              <w:rPr>
                <w:lang w:val="it-CH"/>
              </w:rPr>
              <w:t xml:space="preserve">ondo è </w:t>
            </w:r>
            <w:r w:rsidR="007159E7" w:rsidRPr="00E51727">
              <w:rPr>
                <w:lang w:val="it-CH"/>
              </w:rPr>
              <w:t xml:space="preserve">ammesso soltanto </w:t>
            </w:r>
            <w:r w:rsidR="00F02175" w:rsidRPr="00E51727">
              <w:rPr>
                <w:lang w:val="it-CH"/>
              </w:rPr>
              <w:t xml:space="preserve">dopo un’attenta analisi </w:t>
            </w:r>
            <w:r w:rsidR="00003A16" w:rsidRPr="00E51727">
              <w:rPr>
                <w:lang w:val="it-CH"/>
              </w:rPr>
              <w:t>delle</w:t>
            </w:r>
            <w:r w:rsidRPr="00E51727">
              <w:rPr>
                <w:lang w:val="it-CH"/>
              </w:rPr>
              <w:t xml:space="preserve"> </w:t>
            </w:r>
            <w:r w:rsidR="00003A16" w:rsidRPr="00E51727">
              <w:rPr>
                <w:lang w:val="it-CH"/>
              </w:rPr>
              <w:t>alternative</w:t>
            </w:r>
            <w:r w:rsidRPr="00E51727">
              <w:rPr>
                <w:lang w:val="it-CH"/>
              </w:rPr>
              <w:t xml:space="preserve"> </w:t>
            </w:r>
            <w:r w:rsidR="00F02175" w:rsidRPr="00E51727">
              <w:rPr>
                <w:lang w:val="it-CH"/>
              </w:rPr>
              <w:t>a</w:t>
            </w:r>
            <w:r w:rsidRPr="00E51727">
              <w:rPr>
                <w:lang w:val="it-CH"/>
              </w:rPr>
              <w:t xml:space="preserve"> una reale compensazione</w:t>
            </w:r>
            <w:r w:rsidR="00CB72A0">
              <w:rPr>
                <w:lang w:val="it-CH"/>
              </w:rPr>
              <w:t xml:space="preserve"> </w:t>
            </w:r>
            <w:r w:rsidR="00CB72A0" w:rsidRPr="00CB72A0">
              <w:rPr>
                <w:lang w:val="it-IT"/>
              </w:rPr>
              <w:t>(</w:t>
            </w:r>
            <w:r w:rsidR="00CB72A0">
              <w:rPr>
                <w:lang w:val="it-IT"/>
              </w:rPr>
              <w:t>cfr</w:t>
            </w:r>
            <w:r w:rsidR="00381CBA">
              <w:rPr>
                <w:lang w:val="it-IT"/>
              </w:rPr>
              <w:t xml:space="preserve">. </w:t>
            </w:r>
            <w:r w:rsidR="00381CBA">
              <w:rPr>
                <w:lang w:val="it-IT"/>
              </w:rPr>
              <w:fldChar w:fldCharType="begin"/>
            </w:r>
            <w:r w:rsidR="00381CBA">
              <w:rPr>
                <w:lang w:val="it-IT"/>
              </w:rPr>
              <w:instrText xml:space="preserve"> REF _Ref532981510 \r \h </w:instrText>
            </w:r>
            <w:r w:rsidR="00381CBA">
              <w:rPr>
                <w:lang w:val="it-IT"/>
              </w:rPr>
            </w:r>
            <w:r w:rsidR="00381CBA">
              <w:rPr>
                <w:lang w:val="it-IT"/>
              </w:rPr>
              <w:fldChar w:fldCharType="separate"/>
            </w:r>
            <w:r w:rsidR="00BD32B4">
              <w:rPr>
                <w:lang w:val="it-IT"/>
              </w:rPr>
              <w:t>P8</w:t>
            </w:r>
            <w:r w:rsidR="00381CBA">
              <w:rPr>
                <w:lang w:val="it-IT"/>
              </w:rPr>
              <w:fldChar w:fldCharType="end"/>
            </w:r>
            <w:r w:rsidR="00CB72A0" w:rsidRPr="00CB72A0">
              <w:rPr>
                <w:lang w:val="it-IT"/>
              </w:rPr>
              <w:t>)</w:t>
            </w:r>
            <w:r w:rsidRPr="00E51727">
              <w:rPr>
                <w:lang w:val="it-CH"/>
              </w:rPr>
              <w:t>.</w:t>
            </w:r>
          </w:p>
          <w:p w14:paraId="59F4BD1E" w14:textId="4C6506D7" w:rsidR="00737039" w:rsidRPr="00E51727" w:rsidRDefault="00737039" w:rsidP="00737039">
            <w:pPr>
              <w:pStyle w:val="Listenabsatz"/>
              <w:ind w:left="5" w:hanging="5"/>
              <w:rPr>
                <w:lang w:val="it-CH"/>
              </w:rPr>
            </w:pPr>
            <w:r w:rsidRPr="00E51727">
              <w:rPr>
                <w:lang w:val="it-CH"/>
              </w:rPr>
              <w:t xml:space="preserve">Un versamento nel </w:t>
            </w:r>
            <w:r w:rsidR="00003A16" w:rsidRPr="00E51727">
              <w:rPr>
                <w:lang w:val="it-CH"/>
              </w:rPr>
              <w:t>f</w:t>
            </w:r>
            <w:r w:rsidRPr="00E51727">
              <w:rPr>
                <w:lang w:val="it-CH"/>
              </w:rPr>
              <w:t xml:space="preserve">ondo </w:t>
            </w:r>
            <w:r w:rsidR="00F02175" w:rsidRPr="00E51727">
              <w:rPr>
                <w:lang w:val="it-CH"/>
              </w:rPr>
              <w:t>viene effettuato dal richiedente SAC, in luogo di una compensazione con superfici delle stesse dimensioni</w:t>
            </w:r>
            <w:r w:rsidRPr="00E51727">
              <w:rPr>
                <w:lang w:val="it-CH"/>
              </w:rPr>
              <w:t xml:space="preserve">. </w:t>
            </w:r>
            <w:r w:rsidR="00F02175" w:rsidRPr="00E51727">
              <w:rPr>
                <w:lang w:val="it-CH"/>
              </w:rPr>
              <w:t>Il versamento</w:t>
            </w:r>
            <w:r w:rsidRPr="00E51727">
              <w:rPr>
                <w:lang w:val="it-CH"/>
              </w:rPr>
              <w:t xml:space="preserve"> è possibile se il contingente </w:t>
            </w:r>
            <w:r w:rsidR="00CB72A0">
              <w:rPr>
                <w:lang w:val="it-CH"/>
              </w:rPr>
              <w:t xml:space="preserve">SAC </w:t>
            </w:r>
            <w:r w:rsidRPr="00E51727">
              <w:rPr>
                <w:lang w:val="it-CH"/>
              </w:rPr>
              <w:t xml:space="preserve">del Cantone </w:t>
            </w:r>
            <w:r w:rsidR="000E7C18" w:rsidRPr="00E51727">
              <w:rPr>
                <w:lang w:val="it-CH"/>
              </w:rPr>
              <w:t>continua ad essere</w:t>
            </w:r>
            <w:r w:rsidRPr="00E51727">
              <w:rPr>
                <w:lang w:val="it-CH"/>
              </w:rPr>
              <w:t xml:space="preserve"> garantito e se le</w:t>
            </w:r>
            <w:r w:rsidR="000E7C18" w:rsidRPr="00E51727">
              <w:rPr>
                <w:lang w:val="it-CH"/>
              </w:rPr>
              <w:t xml:space="preserve"> altre</w:t>
            </w:r>
            <w:r w:rsidRPr="00E51727">
              <w:rPr>
                <w:lang w:val="it-CH"/>
              </w:rPr>
              <w:t xml:space="preserve"> </w:t>
            </w:r>
            <w:r w:rsidR="000E7C18" w:rsidRPr="00E51727">
              <w:rPr>
                <w:lang w:val="it-CH"/>
              </w:rPr>
              <w:t>condizioni legal</w:t>
            </w:r>
            <w:r w:rsidRPr="00E51727">
              <w:rPr>
                <w:lang w:val="it-CH"/>
              </w:rPr>
              <w:t xml:space="preserve">i </w:t>
            </w:r>
            <w:r w:rsidR="000E7C18" w:rsidRPr="00E51727">
              <w:rPr>
                <w:lang w:val="it-CH"/>
              </w:rPr>
              <w:t xml:space="preserve">per il consumo di SAC </w:t>
            </w:r>
            <w:r w:rsidR="00003A16" w:rsidRPr="00E51727">
              <w:rPr>
                <w:lang w:val="it-CH"/>
              </w:rPr>
              <w:t>sono</w:t>
            </w:r>
            <w:r w:rsidR="000E7C18" w:rsidRPr="00E51727">
              <w:rPr>
                <w:lang w:val="it-CH"/>
              </w:rPr>
              <w:t xml:space="preserve"> rispettate.</w:t>
            </w:r>
          </w:p>
          <w:p w14:paraId="1D07FFF1" w14:textId="39528065" w:rsidR="00737039" w:rsidRPr="00E51727" w:rsidRDefault="00737039" w:rsidP="00737039">
            <w:pPr>
              <w:pStyle w:val="Listenabsatz"/>
              <w:ind w:left="5" w:hanging="5"/>
              <w:rPr>
                <w:lang w:val="it-CH"/>
              </w:rPr>
            </w:pPr>
            <w:r w:rsidRPr="00E51727">
              <w:rPr>
                <w:lang w:val="it-CH"/>
              </w:rPr>
              <w:t xml:space="preserve">Le risorse del </w:t>
            </w:r>
            <w:r w:rsidR="000E7C18" w:rsidRPr="00E51727">
              <w:rPr>
                <w:lang w:val="it-CH"/>
              </w:rPr>
              <w:t>f</w:t>
            </w:r>
            <w:r w:rsidRPr="00E51727">
              <w:rPr>
                <w:lang w:val="it-CH"/>
              </w:rPr>
              <w:t>ondo</w:t>
            </w:r>
            <w:r w:rsidR="000E7C18" w:rsidRPr="00E51727">
              <w:rPr>
                <w:lang w:val="it-CH"/>
              </w:rPr>
              <w:t xml:space="preserve">, versate </w:t>
            </w:r>
            <w:r w:rsidR="00BB62FA" w:rsidRPr="00E51727">
              <w:rPr>
                <w:lang w:val="it-CH"/>
              </w:rPr>
              <w:t xml:space="preserve">in luogo di una reale compensazione, </w:t>
            </w:r>
            <w:r w:rsidRPr="00E51727">
              <w:rPr>
                <w:lang w:val="it-CH"/>
              </w:rPr>
              <w:t xml:space="preserve">devono essere impiegate esclusivamente per </w:t>
            </w:r>
            <w:proofErr w:type="spellStart"/>
            <w:r w:rsidRPr="00E51727">
              <w:rPr>
                <w:lang w:val="it-CH"/>
              </w:rPr>
              <w:t>ricoltivazioni</w:t>
            </w:r>
            <w:proofErr w:type="spellEnd"/>
            <w:r w:rsidRPr="00E51727">
              <w:rPr>
                <w:lang w:val="it-CH"/>
              </w:rPr>
              <w:t xml:space="preserve"> </w:t>
            </w:r>
            <w:r w:rsidR="00BB62FA" w:rsidRPr="00E51727">
              <w:rPr>
                <w:lang w:val="it-CH"/>
              </w:rPr>
              <w:t xml:space="preserve">o valorizzazioni </w:t>
            </w:r>
            <w:r w:rsidRPr="00E51727">
              <w:rPr>
                <w:lang w:val="it-CH"/>
              </w:rPr>
              <w:t xml:space="preserve">di </w:t>
            </w:r>
            <w:r w:rsidR="00571CDD">
              <w:rPr>
                <w:lang w:val="it-CH"/>
              </w:rPr>
              <w:t>suoli</w:t>
            </w:r>
            <w:r w:rsidRPr="00E51727">
              <w:rPr>
                <w:lang w:val="it-CH"/>
              </w:rPr>
              <w:t xml:space="preserve"> </w:t>
            </w:r>
            <w:r w:rsidR="00BB62FA" w:rsidRPr="00E51727">
              <w:rPr>
                <w:lang w:val="it-CH"/>
              </w:rPr>
              <w:t>degradat</w:t>
            </w:r>
            <w:r w:rsidR="00571CDD">
              <w:rPr>
                <w:lang w:val="it-CH"/>
              </w:rPr>
              <w:t>i</w:t>
            </w:r>
            <w:r w:rsidR="00BB62FA" w:rsidRPr="00E51727">
              <w:rPr>
                <w:lang w:val="it-CH"/>
              </w:rPr>
              <w:t xml:space="preserve"> per cause antropiche che</w:t>
            </w:r>
            <w:r w:rsidR="00CB72A0">
              <w:rPr>
                <w:lang w:val="it-CH"/>
              </w:rPr>
              <w:t xml:space="preserve"> non si trovano nell’inventario SAC</w:t>
            </w:r>
            <w:r w:rsidRPr="00E51727">
              <w:rPr>
                <w:lang w:val="it-CH"/>
              </w:rPr>
              <w:t>.</w:t>
            </w:r>
          </w:p>
          <w:p w14:paraId="4443344A" w14:textId="43D85ADB" w:rsidR="00A82D14" w:rsidRPr="00E51727" w:rsidRDefault="00737039" w:rsidP="00737039">
            <w:pPr>
              <w:pStyle w:val="Listenabsatz"/>
              <w:ind w:left="5" w:hanging="5"/>
              <w:rPr>
                <w:lang w:val="it-CH"/>
              </w:rPr>
            </w:pPr>
            <w:r w:rsidRPr="00E51727">
              <w:rPr>
                <w:lang w:val="it-CH"/>
              </w:rPr>
              <w:t xml:space="preserve">La creazione di </w:t>
            </w:r>
            <w:r w:rsidR="00790663" w:rsidRPr="00E51727">
              <w:rPr>
                <w:lang w:val="it-CH"/>
              </w:rPr>
              <w:t>fondamenti giuridici</w:t>
            </w:r>
            <w:r w:rsidRPr="00E51727">
              <w:rPr>
                <w:lang w:val="it-CH"/>
              </w:rPr>
              <w:t xml:space="preserve"> per un </w:t>
            </w:r>
            <w:r w:rsidR="00003A16" w:rsidRPr="00E51727">
              <w:rPr>
                <w:lang w:val="it-CH"/>
              </w:rPr>
              <w:t>f</w:t>
            </w:r>
            <w:r w:rsidRPr="00E51727">
              <w:rPr>
                <w:lang w:val="it-CH"/>
              </w:rPr>
              <w:t xml:space="preserve">ondo </w:t>
            </w:r>
            <w:r w:rsidR="00BB62FA" w:rsidRPr="00E51727">
              <w:rPr>
                <w:lang w:val="it-CH"/>
              </w:rPr>
              <w:t xml:space="preserve">è di competenza del </w:t>
            </w:r>
            <w:r w:rsidRPr="00E51727">
              <w:rPr>
                <w:lang w:val="it-CH"/>
              </w:rPr>
              <w:t>Cantone</w:t>
            </w:r>
            <w:r w:rsidR="008172D2" w:rsidRPr="00E51727">
              <w:rPr>
                <w:lang w:val="it-CH"/>
              </w:rPr>
              <w:t>.</w:t>
            </w:r>
          </w:p>
        </w:tc>
      </w:tr>
      <w:tr w:rsidR="0062030D" w:rsidRPr="002C06C6" w14:paraId="18D0E5DC" w14:textId="77777777" w:rsidTr="008A0DDA">
        <w:trPr>
          <w:gridAfter w:val="2"/>
          <w:wAfter w:w="8494" w:type="dxa"/>
          <w:trHeight w:val="510"/>
        </w:trPr>
        <w:tc>
          <w:tcPr>
            <w:tcW w:w="9066" w:type="dxa"/>
            <w:gridSpan w:val="2"/>
            <w:shd w:val="clear" w:color="auto" w:fill="AEAAAA" w:themeFill="background2" w:themeFillShade="BF"/>
            <w:vAlign w:val="center"/>
          </w:tcPr>
          <w:p w14:paraId="25DFE13F" w14:textId="03599D58" w:rsidR="00052635" w:rsidRPr="00AD2BB5" w:rsidRDefault="00AD2BB5" w:rsidP="00EF3CE7">
            <w:pPr>
              <w:spacing w:before="120"/>
              <w:jc w:val="center"/>
              <w:rPr>
                <w:b/>
                <w:bCs/>
                <w:lang w:val="it-CH"/>
              </w:rPr>
            </w:pPr>
            <w:bookmarkStart w:id="74" w:name="_Toc531102188"/>
            <w:bookmarkStart w:id="75" w:name="_Toc531103704"/>
            <w:bookmarkStart w:id="76" w:name="_Toc531612511"/>
            <w:r w:rsidRPr="00AD2BB5">
              <w:rPr>
                <w:b/>
                <w:bCs/>
                <w:lang w:val="it-CH"/>
              </w:rPr>
              <w:t xml:space="preserve">Gestione delle SAC </w:t>
            </w:r>
            <w:r w:rsidR="00EF3CE7">
              <w:rPr>
                <w:b/>
                <w:bCs/>
                <w:lang w:val="it-CH"/>
              </w:rPr>
              <w:t xml:space="preserve">da parte delle </w:t>
            </w:r>
            <w:r w:rsidRPr="00AD2BB5">
              <w:rPr>
                <w:b/>
                <w:bCs/>
                <w:lang w:val="it-CH"/>
              </w:rPr>
              <w:t xml:space="preserve">autorità federali e </w:t>
            </w:r>
            <w:r w:rsidR="00EF3CE7">
              <w:rPr>
                <w:b/>
                <w:bCs/>
                <w:lang w:val="it-CH"/>
              </w:rPr>
              <w:t xml:space="preserve">dei servizi </w:t>
            </w:r>
            <w:r w:rsidRPr="00AD2BB5">
              <w:rPr>
                <w:b/>
                <w:bCs/>
                <w:lang w:val="it-CH"/>
              </w:rPr>
              <w:t>federali</w:t>
            </w:r>
            <w:bookmarkEnd w:id="74"/>
            <w:bookmarkEnd w:id="75"/>
            <w:bookmarkEnd w:id="76"/>
          </w:p>
        </w:tc>
      </w:tr>
      <w:tr w:rsidR="00A633F7" w:rsidRPr="002C06C6" w14:paraId="07E44121" w14:textId="77777777" w:rsidTr="008A0DDA">
        <w:tc>
          <w:tcPr>
            <w:tcW w:w="572" w:type="dxa"/>
            <w:shd w:val="clear" w:color="auto" w:fill="D9D9D9" w:themeFill="background1" w:themeFillShade="D9"/>
          </w:tcPr>
          <w:p w14:paraId="4221AB9D" w14:textId="77777777" w:rsidR="00A633F7" w:rsidRPr="00AD2BB5" w:rsidRDefault="00A633F7" w:rsidP="00026EF6">
            <w:pPr>
              <w:pStyle w:val="Listenabsatz"/>
              <w:numPr>
                <w:ilvl w:val="0"/>
                <w:numId w:val="9"/>
              </w:numPr>
              <w:spacing w:before="120"/>
              <w:rPr>
                <w:b/>
                <w:lang w:val="it-CH"/>
              </w:rPr>
            </w:pPr>
          </w:p>
        </w:tc>
        <w:tc>
          <w:tcPr>
            <w:tcW w:w="8494" w:type="dxa"/>
            <w:shd w:val="clear" w:color="auto" w:fill="D9D9D9" w:themeFill="background1" w:themeFillShade="D9"/>
          </w:tcPr>
          <w:p w14:paraId="48F44D07" w14:textId="1FF5F13E" w:rsidR="005A62F3" w:rsidRPr="00AD2BB5" w:rsidRDefault="00AD2BB5" w:rsidP="325E5E49">
            <w:pPr>
              <w:spacing w:before="120"/>
              <w:rPr>
                <w:b/>
                <w:bCs/>
                <w:lang w:val="it-CH"/>
              </w:rPr>
            </w:pPr>
            <w:r w:rsidRPr="00AD2BB5">
              <w:rPr>
                <w:b/>
                <w:bCs/>
                <w:lang w:val="it-CH"/>
              </w:rPr>
              <w:t>La Confederazione preserva le SAC nell’a</w:t>
            </w:r>
            <w:r w:rsidR="00EF3CE7">
              <w:rPr>
                <w:b/>
                <w:bCs/>
                <w:lang w:val="it-CH"/>
              </w:rPr>
              <w:t xml:space="preserve">dempimento di </w:t>
            </w:r>
            <w:r w:rsidRPr="00AD2BB5">
              <w:rPr>
                <w:b/>
                <w:bCs/>
                <w:lang w:val="it-CH"/>
              </w:rPr>
              <w:t>attività d'incidenza territoriale</w:t>
            </w:r>
            <w:r w:rsidR="325E5E49" w:rsidRPr="00AD2BB5">
              <w:rPr>
                <w:b/>
                <w:bCs/>
                <w:lang w:val="it-CH"/>
              </w:rPr>
              <w:t>.</w:t>
            </w:r>
          </w:p>
          <w:p w14:paraId="20C181AD" w14:textId="39349ACF" w:rsidR="00A633F7" w:rsidRPr="00E51727" w:rsidRDefault="00737039" w:rsidP="0073123C">
            <w:pPr>
              <w:rPr>
                <w:b/>
                <w:bCs/>
                <w:lang w:val="it-CH"/>
              </w:rPr>
            </w:pPr>
            <w:r w:rsidRPr="00E51727">
              <w:rPr>
                <w:lang w:val="it-CH"/>
              </w:rPr>
              <w:t xml:space="preserve">Tutte le autorità </w:t>
            </w:r>
            <w:r w:rsidR="00D202D8" w:rsidRPr="00E51727">
              <w:rPr>
                <w:lang w:val="it-CH"/>
              </w:rPr>
              <w:t xml:space="preserve">federali </w:t>
            </w:r>
            <w:r w:rsidRPr="00E51727">
              <w:rPr>
                <w:lang w:val="it-CH"/>
              </w:rPr>
              <w:t>e</w:t>
            </w:r>
            <w:r w:rsidR="00D202D8" w:rsidRPr="00E51727">
              <w:rPr>
                <w:lang w:val="it-CH"/>
              </w:rPr>
              <w:t xml:space="preserve"> </w:t>
            </w:r>
            <w:r w:rsidR="0073123C">
              <w:rPr>
                <w:lang w:val="it-CH"/>
              </w:rPr>
              <w:t xml:space="preserve">i servizi </w:t>
            </w:r>
            <w:r w:rsidRPr="00E51727">
              <w:rPr>
                <w:lang w:val="it-CH"/>
              </w:rPr>
              <w:t xml:space="preserve">federali riducono al minimo il consumo di SAC. </w:t>
            </w:r>
            <w:r w:rsidR="00D202D8" w:rsidRPr="00E51727">
              <w:rPr>
                <w:lang w:val="it-CH"/>
              </w:rPr>
              <w:t>Il</w:t>
            </w:r>
            <w:r w:rsidRPr="00E51727">
              <w:rPr>
                <w:lang w:val="it-CH"/>
              </w:rPr>
              <w:t xml:space="preserve"> consumo di SAC è possibile soltanto dopo una ponderazione degli interessi in cui le SAC vengono </w:t>
            </w:r>
            <w:r w:rsidR="00D202D8" w:rsidRPr="00E51727">
              <w:rPr>
                <w:lang w:val="it-CH"/>
              </w:rPr>
              <w:t>debitamente</w:t>
            </w:r>
            <w:r w:rsidRPr="00E51727">
              <w:rPr>
                <w:lang w:val="it-CH"/>
              </w:rPr>
              <w:t xml:space="preserve"> </w:t>
            </w:r>
            <w:r w:rsidR="00AC4340" w:rsidRPr="00E51727">
              <w:rPr>
                <w:lang w:val="it-CH"/>
              </w:rPr>
              <w:t>valutate</w:t>
            </w:r>
            <w:r w:rsidR="541445C3" w:rsidRPr="00E51727">
              <w:rPr>
                <w:lang w:val="it-CH"/>
              </w:rPr>
              <w:t>.</w:t>
            </w:r>
          </w:p>
        </w:tc>
        <w:tc>
          <w:tcPr>
            <w:tcW w:w="8494" w:type="dxa"/>
            <w:gridSpan w:val="2"/>
          </w:tcPr>
          <w:p w14:paraId="3A9882F2" w14:textId="77777777" w:rsidR="00A633F7" w:rsidRPr="00E51727" w:rsidRDefault="00A633F7" w:rsidP="00006F94">
            <w:pPr>
              <w:spacing w:after="160" w:line="259" w:lineRule="auto"/>
              <w:rPr>
                <w:lang w:val="it-CH"/>
              </w:rPr>
            </w:pPr>
          </w:p>
        </w:tc>
      </w:tr>
      <w:tr w:rsidR="00006F94" w:rsidRPr="002C06C6" w14:paraId="42BD75DF" w14:textId="3FEC62A9" w:rsidTr="008A0DDA">
        <w:tc>
          <w:tcPr>
            <w:tcW w:w="572" w:type="dxa"/>
            <w:shd w:val="clear" w:color="auto" w:fill="D9D9D9" w:themeFill="background1" w:themeFillShade="D9"/>
          </w:tcPr>
          <w:p w14:paraId="447B07E5" w14:textId="1A0F72D6" w:rsidR="00006F94" w:rsidRPr="00E51727" w:rsidRDefault="00006F94" w:rsidP="00026EF6">
            <w:pPr>
              <w:pStyle w:val="Listenabsatz"/>
              <w:numPr>
                <w:ilvl w:val="0"/>
                <w:numId w:val="9"/>
              </w:numPr>
              <w:spacing w:before="120"/>
              <w:rPr>
                <w:b/>
                <w:lang w:val="it-CH"/>
              </w:rPr>
            </w:pPr>
          </w:p>
          <w:p w14:paraId="49775653" w14:textId="57E05DAC" w:rsidR="00006F94" w:rsidRPr="00E51727" w:rsidRDefault="00006F94" w:rsidP="00006F94">
            <w:pPr>
              <w:rPr>
                <w:b/>
                <w:lang w:val="it-CH"/>
              </w:rPr>
            </w:pPr>
          </w:p>
          <w:p w14:paraId="3850E83C" w14:textId="6EBE1E0B" w:rsidR="00006F94" w:rsidRPr="00E51727" w:rsidRDefault="00006F94" w:rsidP="00006F94">
            <w:pPr>
              <w:rPr>
                <w:b/>
                <w:lang w:val="it-CH"/>
              </w:rPr>
            </w:pPr>
          </w:p>
        </w:tc>
        <w:tc>
          <w:tcPr>
            <w:tcW w:w="8494" w:type="dxa"/>
            <w:shd w:val="clear" w:color="auto" w:fill="D9D9D9" w:themeFill="background1" w:themeFillShade="D9"/>
          </w:tcPr>
          <w:p w14:paraId="0AE9FC02" w14:textId="35EF030A" w:rsidR="002F292A" w:rsidRPr="00AD2BB5" w:rsidRDefault="00AD2BB5" w:rsidP="325E5E49">
            <w:pPr>
              <w:spacing w:before="120"/>
              <w:rPr>
                <w:b/>
                <w:bCs/>
                <w:lang w:val="it-CH"/>
              </w:rPr>
            </w:pPr>
            <w:r w:rsidRPr="00AD2BB5">
              <w:rPr>
                <w:b/>
                <w:bCs/>
                <w:lang w:val="it-CH"/>
              </w:rPr>
              <w:t>I progetti federali nell’ambito dei quali vengono utilizzati più di 5 ha di SAC iscritte in un inventario cantonale, sono in linea di principio rilevanti in materia di piano settoriale</w:t>
            </w:r>
            <w:r w:rsidR="325E5E49" w:rsidRPr="00AD2BB5">
              <w:rPr>
                <w:b/>
                <w:bCs/>
                <w:lang w:val="it-CH"/>
              </w:rPr>
              <w:t xml:space="preserve">. </w:t>
            </w:r>
          </w:p>
          <w:p w14:paraId="3667E5FE" w14:textId="3223D563" w:rsidR="00006F94" w:rsidRPr="00E51727" w:rsidRDefault="00737039" w:rsidP="0073123C">
            <w:pPr>
              <w:spacing w:before="120"/>
              <w:rPr>
                <w:rFonts w:ascii="Times New Roman" w:hAnsi="Times New Roman"/>
                <w:lang w:val="it-CH" w:eastAsia="en-US"/>
              </w:rPr>
            </w:pPr>
            <w:r w:rsidRPr="00E51727">
              <w:rPr>
                <w:lang w:val="it-CH"/>
              </w:rPr>
              <w:t xml:space="preserve">Tali progetti vanno pianificati nel quadro di una procedura </w:t>
            </w:r>
            <w:r w:rsidR="00C02E89" w:rsidRPr="00E51727">
              <w:rPr>
                <w:lang w:val="it-CH"/>
              </w:rPr>
              <w:t>di</w:t>
            </w:r>
            <w:r w:rsidRPr="00E51727">
              <w:rPr>
                <w:lang w:val="it-CH"/>
              </w:rPr>
              <w:t xml:space="preserve"> </w:t>
            </w:r>
            <w:r w:rsidR="00C02E89" w:rsidRPr="00E51727">
              <w:rPr>
                <w:lang w:val="it-CH"/>
              </w:rPr>
              <w:t>p</w:t>
            </w:r>
            <w:r w:rsidRPr="00E51727">
              <w:rPr>
                <w:lang w:val="it-CH"/>
              </w:rPr>
              <w:t xml:space="preserve">iano settoriale o </w:t>
            </w:r>
            <w:r w:rsidR="00C02E89" w:rsidRPr="00E51727">
              <w:rPr>
                <w:lang w:val="it-CH"/>
              </w:rPr>
              <w:t>di</w:t>
            </w:r>
            <w:r w:rsidRPr="00E51727">
              <w:rPr>
                <w:lang w:val="it-CH"/>
              </w:rPr>
              <w:t xml:space="preserve"> una procedura simile che preved</w:t>
            </w:r>
            <w:r w:rsidR="00C02E89" w:rsidRPr="00E51727">
              <w:rPr>
                <w:lang w:val="it-CH"/>
              </w:rPr>
              <w:t>e</w:t>
            </w:r>
            <w:r w:rsidR="0073123C">
              <w:rPr>
                <w:lang w:val="it-CH"/>
              </w:rPr>
              <w:t xml:space="preserve"> il prima possibile</w:t>
            </w:r>
            <w:r w:rsidRPr="00E51727">
              <w:rPr>
                <w:lang w:val="it-CH"/>
              </w:rPr>
              <w:t xml:space="preserve"> un coinvolgimento dell’ARE</w:t>
            </w:r>
            <w:r w:rsidR="325E5E49" w:rsidRPr="00E51727">
              <w:rPr>
                <w:lang w:val="it-CH"/>
              </w:rPr>
              <w:t>.</w:t>
            </w:r>
          </w:p>
        </w:tc>
        <w:tc>
          <w:tcPr>
            <w:tcW w:w="8494" w:type="dxa"/>
            <w:gridSpan w:val="2"/>
          </w:tcPr>
          <w:p w14:paraId="6A91C97B" w14:textId="5E33B419" w:rsidR="00006F94" w:rsidRPr="00E51727" w:rsidRDefault="00006F94" w:rsidP="00006F94">
            <w:pPr>
              <w:spacing w:after="160" w:line="259" w:lineRule="auto"/>
              <w:rPr>
                <w:lang w:val="it-CH"/>
              </w:rPr>
            </w:pPr>
          </w:p>
        </w:tc>
      </w:tr>
      <w:tr w:rsidR="00346896" w:rsidRPr="002C06C6" w14:paraId="20B5C7B8" w14:textId="77777777" w:rsidTr="008A0DDA">
        <w:trPr>
          <w:gridAfter w:val="2"/>
          <w:wAfter w:w="8494" w:type="dxa"/>
        </w:trPr>
        <w:tc>
          <w:tcPr>
            <w:tcW w:w="572" w:type="dxa"/>
            <w:shd w:val="clear" w:color="auto" w:fill="D9D9D9" w:themeFill="background1" w:themeFillShade="D9"/>
          </w:tcPr>
          <w:p w14:paraId="47B31574" w14:textId="77777777" w:rsidR="00346896" w:rsidRPr="00E51727" w:rsidRDefault="00346896" w:rsidP="00006F94">
            <w:pPr>
              <w:pStyle w:val="Listenabsatz"/>
              <w:numPr>
                <w:ilvl w:val="0"/>
                <w:numId w:val="9"/>
              </w:numPr>
              <w:rPr>
                <w:b/>
                <w:lang w:val="it-CH"/>
              </w:rPr>
            </w:pPr>
            <w:bookmarkStart w:id="77" w:name="_Ref532981663"/>
          </w:p>
        </w:tc>
        <w:bookmarkEnd w:id="77"/>
        <w:tc>
          <w:tcPr>
            <w:tcW w:w="8494" w:type="dxa"/>
            <w:shd w:val="clear" w:color="auto" w:fill="D9D9D9" w:themeFill="background1" w:themeFillShade="D9"/>
          </w:tcPr>
          <w:p w14:paraId="2D6E071E" w14:textId="1BFEFBD7" w:rsidR="00346896" w:rsidRPr="00AD2BB5" w:rsidRDefault="00AD2BB5" w:rsidP="325E5E49">
            <w:pPr>
              <w:rPr>
                <w:b/>
                <w:bCs/>
                <w:lang w:val="it-CH"/>
              </w:rPr>
            </w:pPr>
            <w:r w:rsidRPr="00AD2BB5">
              <w:rPr>
                <w:b/>
                <w:bCs/>
                <w:lang w:val="it-CH"/>
              </w:rPr>
              <w:t>Nell’ambito di progetti della Confederazione,</w:t>
            </w:r>
            <w:r w:rsidR="00B07687">
              <w:rPr>
                <w:b/>
                <w:bCs/>
                <w:lang w:val="it-CH"/>
              </w:rPr>
              <w:t xml:space="preserve"> in caso di </w:t>
            </w:r>
            <w:r w:rsidRPr="00AD2BB5">
              <w:rPr>
                <w:b/>
                <w:bCs/>
                <w:lang w:val="it-CH"/>
              </w:rPr>
              <w:t>consumo di SAC in linea di principio tutte le SAC utilizzate devono essere compensate con superfici di uguale estensione e qualità</w:t>
            </w:r>
            <w:r w:rsidR="0073123C">
              <w:rPr>
                <w:b/>
                <w:bCs/>
                <w:lang w:val="it-CH"/>
              </w:rPr>
              <w:t xml:space="preserve">, con il sostegno dei </w:t>
            </w:r>
            <w:r w:rsidRPr="00AD2BB5">
              <w:rPr>
                <w:b/>
                <w:bCs/>
                <w:lang w:val="it-CH"/>
              </w:rPr>
              <w:t>Cantoni interessati</w:t>
            </w:r>
            <w:r w:rsidR="325E5E49" w:rsidRPr="00AD2BB5">
              <w:rPr>
                <w:b/>
                <w:bCs/>
                <w:lang w:val="it-CH"/>
              </w:rPr>
              <w:t>.</w:t>
            </w:r>
          </w:p>
          <w:p w14:paraId="7113D965" w14:textId="6F22E591" w:rsidR="00346896" w:rsidRPr="00E51727" w:rsidRDefault="00C02E89" w:rsidP="00346896">
            <w:pPr>
              <w:pStyle w:val="Listenabsatz"/>
              <w:ind w:left="5" w:hanging="5"/>
              <w:rPr>
                <w:lang w:val="it-CH"/>
              </w:rPr>
            </w:pPr>
            <w:r w:rsidRPr="00E51727">
              <w:rPr>
                <w:lang w:val="it-CH"/>
              </w:rPr>
              <w:t xml:space="preserve">Un consumo di SAC </w:t>
            </w:r>
            <w:r w:rsidR="00CB72A0" w:rsidRPr="00CB72A0">
              <w:rPr>
                <w:lang w:val="it-CH"/>
              </w:rPr>
              <w:t xml:space="preserve">iscritte negli inventari cantonali </w:t>
            </w:r>
            <w:r w:rsidRPr="00E51727">
              <w:rPr>
                <w:lang w:val="it-CH"/>
              </w:rPr>
              <w:t xml:space="preserve">è possibile solo dopo </w:t>
            </w:r>
            <w:r w:rsidR="00AA5B64" w:rsidRPr="00E51727">
              <w:rPr>
                <w:lang w:val="it-CH"/>
              </w:rPr>
              <w:t xml:space="preserve">una ponderazione degli interessi e uno studio delle </w:t>
            </w:r>
            <w:r w:rsidR="00AC4340" w:rsidRPr="00E51727">
              <w:rPr>
                <w:lang w:val="it-CH"/>
              </w:rPr>
              <w:t>varianti</w:t>
            </w:r>
            <w:r w:rsidR="00AA5B64" w:rsidRPr="00E51727">
              <w:rPr>
                <w:lang w:val="it-CH"/>
              </w:rPr>
              <w:t xml:space="preserve"> in cui le SAC sono state debitamente </w:t>
            </w:r>
            <w:r w:rsidR="00AC4340" w:rsidRPr="00E51727">
              <w:rPr>
                <w:lang w:val="it-CH"/>
              </w:rPr>
              <w:t>valutate</w:t>
            </w:r>
            <w:r w:rsidR="325E5E49" w:rsidRPr="00E51727">
              <w:rPr>
                <w:lang w:val="it-CH"/>
              </w:rPr>
              <w:t xml:space="preserve">. </w:t>
            </w:r>
          </w:p>
          <w:p w14:paraId="57245174" w14:textId="40EA1F75" w:rsidR="00083885" w:rsidRDefault="00083885" w:rsidP="003E2D1F">
            <w:pPr>
              <w:rPr>
                <w:lang w:val="it-CH"/>
              </w:rPr>
            </w:pPr>
            <w:r w:rsidRPr="00083885">
              <w:rPr>
                <w:lang w:val="it-CH"/>
              </w:rPr>
              <w:t xml:space="preserve">Le autorità federali </w:t>
            </w:r>
            <w:r w:rsidR="0073123C">
              <w:rPr>
                <w:lang w:val="it-CH"/>
              </w:rPr>
              <w:t xml:space="preserve">o il </w:t>
            </w:r>
            <w:r>
              <w:rPr>
                <w:lang w:val="it-CH"/>
              </w:rPr>
              <w:t>richiedente</w:t>
            </w:r>
            <w:r w:rsidR="00B07687">
              <w:rPr>
                <w:rStyle w:val="Funotenzeichen"/>
                <w:lang w:val="it-CH"/>
              </w:rPr>
              <w:footnoteReference w:id="18"/>
            </w:r>
            <w:r>
              <w:rPr>
                <w:lang w:val="it-CH"/>
              </w:rPr>
              <w:t xml:space="preserve"> provvedono a che, in linea di massima, tutte le SAC (iscritte negli inventari) utilizzate, vengano compensate. </w:t>
            </w:r>
            <w:r w:rsidRPr="00083885">
              <w:rPr>
                <w:lang w:val="it-CH"/>
              </w:rPr>
              <w:t>I</w:t>
            </w:r>
            <w:r>
              <w:rPr>
                <w:lang w:val="it-CH"/>
              </w:rPr>
              <w:t>l</w:t>
            </w:r>
            <w:r w:rsidRPr="00083885">
              <w:rPr>
                <w:lang w:val="it-CH"/>
              </w:rPr>
              <w:t xml:space="preserve"> richiedent</w:t>
            </w:r>
            <w:r>
              <w:rPr>
                <w:lang w:val="it-CH"/>
              </w:rPr>
              <w:t>e</w:t>
            </w:r>
            <w:r w:rsidRPr="00083885">
              <w:rPr>
                <w:lang w:val="it-CH"/>
              </w:rPr>
              <w:t xml:space="preserve"> </w:t>
            </w:r>
            <w:r w:rsidR="00BC26C1">
              <w:rPr>
                <w:lang w:val="it-CH"/>
              </w:rPr>
              <w:t xml:space="preserve">si </w:t>
            </w:r>
            <w:r>
              <w:rPr>
                <w:lang w:val="it-CH"/>
              </w:rPr>
              <w:t>assume</w:t>
            </w:r>
            <w:r w:rsidRPr="00083885">
              <w:rPr>
                <w:lang w:val="it-CH"/>
              </w:rPr>
              <w:t xml:space="preserve"> </w:t>
            </w:r>
            <w:r w:rsidR="00BC26C1">
              <w:rPr>
                <w:lang w:val="it-CH"/>
              </w:rPr>
              <w:t>i relativi</w:t>
            </w:r>
            <w:r w:rsidRPr="00083885">
              <w:rPr>
                <w:lang w:val="it-CH"/>
              </w:rPr>
              <w:t xml:space="preserve"> costi</w:t>
            </w:r>
            <w:r w:rsidR="00F83835">
              <w:rPr>
                <w:lang w:val="it-CH"/>
              </w:rPr>
              <w:t>.</w:t>
            </w:r>
          </w:p>
          <w:p w14:paraId="0E3B9A41" w14:textId="09421434" w:rsidR="008748C0" w:rsidRPr="00F83835" w:rsidRDefault="003512FD" w:rsidP="003E2D1F">
            <w:pPr>
              <w:rPr>
                <w:lang w:val="it-CH"/>
              </w:rPr>
            </w:pPr>
            <w:r w:rsidRPr="00E51727">
              <w:rPr>
                <w:lang w:val="it-CH"/>
              </w:rPr>
              <w:t xml:space="preserve">Come compensazione vengono prese in considerazione, in primo luogo, </w:t>
            </w:r>
            <w:r w:rsidR="00107C49" w:rsidRPr="00E51727">
              <w:rPr>
                <w:lang w:val="it-CH"/>
              </w:rPr>
              <w:t xml:space="preserve">valorizzazioni e </w:t>
            </w:r>
            <w:proofErr w:type="spellStart"/>
            <w:r w:rsidR="00107C49" w:rsidRPr="00F83835">
              <w:rPr>
                <w:lang w:val="it-CH"/>
              </w:rPr>
              <w:t>ricoltivazioni</w:t>
            </w:r>
            <w:proofErr w:type="spellEnd"/>
            <w:r w:rsidR="00107C49" w:rsidRPr="00F83835">
              <w:rPr>
                <w:lang w:val="it-CH"/>
              </w:rPr>
              <w:t xml:space="preserve"> </w:t>
            </w:r>
            <w:r w:rsidR="00A9041C">
              <w:rPr>
                <w:lang w:val="it-CH"/>
              </w:rPr>
              <w:t>conformi ai criteri di qualità</w:t>
            </w:r>
            <w:r w:rsidR="00107C49" w:rsidRPr="00F83835">
              <w:rPr>
                <w:lang w:val="it-CH"/>
              </w:rPr>
              <w:t xml:space="preserve"> di </w:t>
            </w:r>
            <w:r w:rsidR="00F83835" w:rsidRPr="00F83835">
              <w:rPr>
                <w:lang w:val="it-CH"/>
              </w:rPr>
              <w:t>superfici</w:t>
            </w:r>
            <w:r w:rsidR="00107C49" w:rsidRPr="00F83835">
              <w:rPr>
                <w:lang w:val="it-CH"/>
              </w:rPr>
              <w:t xml:space="preserve"> degradat</w:t>
            </w:r>
            <w:r w:rsidR="00F83835" w:rsidRPr="00F83835">
              <w:rPr>
                <w:lang w:val="it-CH"/>
              </w:rPr>
              <w:t>e</w:t>
            </w:r>
            <w:r w:rsidR="00107C49" w:rsidRPr="00F83835">
              <w:rPr>
                <w:lang w:val="it-CH"/>
              </w:rPr>
              <w:t xml:space="preserve"> per cause antropiche </w:t>
            </w:r>
            <w:r w:rsidR="00083885" w:rsidRPr="00F83835">
              <w:rPr>
                <w:lang w:val="it-CH"/>
              </w:rPr>
              <w:t>non compres</w:t>
            </w:r>
            <w:r w:rsidR="00F83835" w:rsidRPr="00F83835">
              <w:rPr>
                <w:lang w:val="it-CH"/>
              </w:rPr>
              <w:t>e</w:t>
            </w:r>
            <w:r w:rsidR="00083885" w:rsidRPr="00F83835">
              <w:rPr>
                <w:lang w:val="it-CH"/>
              </w:rPr>
              <w:t xml:space="preserve"> nell’inventario SAC</w:t>
            </w:r>
            <w:r w:rsidR="00107C49" w:rsidRPr="00F83835">
              <w:rPr>
                <w:lang w:val="it-CH"/>
              </w:rPr>
              <w:t xml:space="preserve">, nonché l’azzonamento di </w:t>
            </w:r>
            <w:r w:rsidR="00F83835" w:rsidRPr="00F83835">
              <w:rPr>
                <w:lang w:val="it-CH"/>
              </w:rPr>
              <w:t>s</w:t>
            </w:r>
            <w:r w:rsidR="00BC26C1">
              <w:rPr>
                <w:lang w:val="it-CH"/>
              </w:rPr>
              <w:t>uoli</w:t>
            </w:r>
            <w:r w:rsidR="00C63E78" w:rsidRPr="00F83835">
              <w:rPr>
                <w:lang w:val="it-CH"/>
              </w:rPr>
              <w:t xml:space="preserve"> con qualità SAC</w:t>
            </w:r>
            <w:r w:rsidR="00107C49" w:rsidRPr="00F83835">
              <w:rPr>
                <w:lang w:val="it-CH"/>
              </w:rPr>
              <w:t xml:space="preserve"> non edificat</w:t>
            </w:r>
            <w:r w:rsidR="00BC26C1">
              <w:rPr>
                <w:lang w:val="it-CH"/>
              </w:rPr>
              <w:t>i</w:t>
            </w:r>
            <w:r w:rsidR="00107C49" w:rsidRPr="00F83835">
              <w:rPr>
                <w:lang w:val="it-CH"/>
              </w:rPr>
              <w:t xml:space="preserve"> in zone edificabili</w:t>
            </w:r>
            <w:r w:rsidR="3120AD34" w:rsidRPr="00F83835">
              <w:rPr>
                <w:lang w:val="it-CH"/>
              </w:rPr>
              <w:t>.</w:t>
            </w:r>
            <w:r w:rsidR="00AC4340" w:rsidRPr="00F83835">
              <w:rPr>
                <w:lang w:val="it-CH"/>
              </w:rPr>
              <w:t xml:space="preserve"> </w:t>
            </w:r>
            <w:r w:rsidR="00C63E78" w:rsidRPr="00F83835">
              <w:rPr>
                <w:lang w:val="it-CH"/>
              </w:rPr>
              <w:t xml:space="preserve">È auspicabile la </w:t>
            </w:r>
            <w:r w:rsidR="00AC4340" w:rsidRPr="00F83835">
              <w:rPr>
                <w:lang w:val="it-CH"/>
              </w:rPr>
              <w:t>compensazione nel perimetro del progetto.</w:t>
            </w:r>
          </w:p>
          <w:p w14:paraId="66A37312" w14:textId="7373BE03" w:rsidR="00346896" w:rsidRPr="00E51727" w:rsidRDefault="00107C49" w:rsidP="003E2D1F">
            <w:pPr>
              <w:rPr>
                <w:lang w:val="it-CH"/>
              </w:rPr>
            </w:pPr>
            <w:r w:rsidRPr="00F83835">
              <w:rPr>
                <w:lang w:val="it-CH"/>
              </w:rPr>
              <w:t xml:space="preserve">I Cantoni </w:t>
            </w:r>
            <w:r w:rsidR="00C63E78" w:rsidRPr="00F83835">
              <w:rPr>
                <w:lang w:val="it-CH"/>
              </w:rPr>
              <w:t xml:space="preserve">sostengono attivamente </w:t>
            </w:r>
            <w:r w:rsidRPr="00F83835">
              <w:rPr>
                <w:lang w:val="it-CH"/>
              </w:rPr>
              <w:t>la Confederazione</w:t>
            </w:r>
            <w:r w:rsidR="325E5E49" w:rsidRPr="00F83835">
              <w:rPr>
                <w:lang w:val="it-CH"/>
              </w:rPr>
              <w:t xml:space="preserve"> </w:t>
            </w:r>
            <w:r w:rsidR="00C63E78" w:rsidRPr="00F83835">
              <w:rPr>
                <w:lang w:val="it-CH"/>
              </w:rPr>
              <w:t xml:space="preserve">affinché essa </w:t>
            </w:r>
            <w:r w:rsidR="00016313" w:rsidRPr="00F83835">
              <w:rPr>
                <w:lang w:val="it-CH"/>
              </w:rPr>
              <w:t xml:space="preserve">possa </w:t>
            </w:r>
            <w:r w:rsidR="00482B99" w:rsidRPr="00F83835">
              <w:rPr>
                <w:lang w:val="it-CH"/>
              </w:rPr>
              <w:t>realizzare</w:t>
            </w:r>
            <w:r w:rsidR="00C308E7" w:rsidRPr="00F83835">
              <w:rPr>
                <w:lang w:val="it-CH"/>
              </w:rPr>
              <w:t>,</w:t>
            </w:r>
            <w:r w:rsidR="00482B99" w:rsidRPr="00F83835">
              <w:rPr>
                <w:lang w:val="it-CH"/>
              </w:rPr>
              <w:t xml:space="preserve"> </w:t>
            </w:r>
            <w:r w:rsidR="00C308E7" w:rsidRPr="00F83835">
              <w:rPr>
                <w:lang w:val="it-CH"/>
              </w:rPr>
              <w:t>in modo tempestivo, la compensazione del</w:t>
            </w:r>
            <w:r w:rsidR="00016313" w:rsidRPr="00F83835">
              <w:rPr>
                <w:lang w:val="it-CH"/>
              </w:rPr>
              <w:t>le SAC utilizzate attraverso progetti federali</w:t>
            </w:r>
            <w:r w:rsidR="325E5E49" w:rsidRPr="00F83835">
              <w:rPr>
                <w:lang w:val="it-CH"/>
              </w:rPr>
              <w:t>.</w:t>
            </w:r>
          </w:p>
          <w:p w14:paraId="3C4AE812" w14:textId="1FF0883E" w:rsidR="00346896" w:rsidRPr="00E51727" w:rsidRDefault="00482B99" w:rsidP="003E2D1F">
            <w:pPr>
              <w:rPr>
                <w:lang w:val="it-CH"/>
              </w:rPr>
            </w:pPr>
            <w:r w:rsidRPr="00E51727">
              <w:rPr>
                <w:lang w:val="it-CH"/>
              </w:rPr>
              <w:t>I richiedenti possono altresì versare un indennizzo proporzionale alla superficie, a condizione che nel rispettivo Cantone esista un fondo ai sensi del principio</w:t>
            </w:r>
            <w:r w:rsidR="00D92FDB" w:rsidRPr="00E51727">
              <w:rPr>
                <w:lang w:val="it-CH"/>
              </w:rPr>
              <w:t xml:space="preserve"> </w:t>
            </w:r>
            <w:r w:rsidR="00D92FDB" w:rsidRPr="00E51727">
              <w:rPr>
                <w:lang w:val="it-CH"/>
              </w:rPr>
              <w:fldChar w:fldCharType="begin"/>
            </w:r>
            <w:r w:rsidR="00D92FDB" w:rsidRPr="00E51727">
              <w:rPr>
                <w:lang w:val="it-CH"/>
              </w:rPr>
              <w:instrText xml:space="preserve"> REF _Ref526318176 \r \h </w:instrText>
            </w:r>
            <w:r w:rsidR="00C308E7" w:rsidRPr="00E51727">
              <w:rPr>
                <w:lang w:val="it-CH"/>
              </w:rPr>
              <w:instrText xml:space="preserve"> \* MERGEFORMAT </w:instrText>
            </w:r>
            <w:r w:rsidR="00D92FDB" w:rsidRPr="00E51727">
              <w:rPr>
                <w:lang w:val="it-CH"/>
              </w:rPr>
            </w:r>
            <w:r w:rsidR="00D92FDB" w:rsidRPr="00E51727">
              <w:rPr>
                <w:lang w:val="it-CH"/>
              </w:rPr>
              <w:fldChar w:fldCharType="separate"/>
            </w:r>
            <w:r w:rsidR="00BD32B4">
              <w:rPr>
                <w:lang w:val="it-CH"/>
              </w:rPr>
              <w:t>P9</w:t>
            </w:r>
            <w:r w:rsidR="00D92FDB" w:rsidRPr="00E51727">
              <w:rPr>
                <w:lang w:val="it-CH"/>
              </w:rPr>
              <w:fldChar w:fldCharType="end"/>
            </w:r>
            <w:r w:rsidR="00D92FDB" w:rsidRPr="00E51727">
              <w:rPr>
                <w:lang w:val="it-CH"/>
              </w:rPr>
              <w:t xml:space="preserve"> </w:t>
            </w:r>
            <w:r w:rsidRPr="00E51727">
              <w:rPr>
                <w:lang w:val="it-CH"/>
              </w:rPr>
              <w:t xml:space="preserve">e che </w:t>
            </w:r>
            <w:r w:rsidR="00C63E78">
              <w:rPr>
                <w:lang w:val="it-CH"/>
              </w:rPr>
              <w:t>tutti i</w:t>
            </w:r>
            <w:r w:rsidRPr="00E51727">
              <w:rPr>
                <w:lang w:val="it-CH"/>
              </w:rPr>
              <w:t xml:space="preserve"> requisiti </w:t>
            </w:r>
            <w:r w:rsidR="00C308E7" w:rsidRPr="00E51727">
              <w:rPr>
                <w:lang w:val="it-CH"/>
              </w:rPr>
              <w:t>previsti dal</w:t>
            </w:r>
            <w:r w:rsidRPr="00E51727">
              <w:rPr>
                <w:lang w:val="it-CH"/>
              </w:rPr>
              <w:t xml:space="preserve"> principio </w:t>
            </w:r>
            <w:r w:rsidR="00175823" w:rsidRPr="00E51727">
              <w:rPr>
                <w:lang w:val="it-CH"/>
              </w:rPr>
              <w:fldChar w:fldCharType="begin"/>
            </w:r>
            <w:r w:rsidR="00175823" w:rsidRPr="00E51727">
              <w:rPr>
                <w:lang w:val="it-CH"/>
              </w:rPr>
              <w:instrText xml:space="preserve"> REF _Ref526318176 \r \h </w:instrText>
            </w:r>
            <w:r w:rsidR="00175823" w:rsidRPr="00E51727">
              <w:rPr>
                <w:lang w:val="it-CH"/>
              </w:rPr>
            </w:r>
            <w:r w:rsidR="00175823" w:rsidRPr="00E51727">
              <w:rPr>
                <w:lang w:val="it-CH"/>
              </w:rPr>
              <w:fldChar w:fldCharType="separate"/>
            </w:r>
            <w:r w:rsidR="00BD32B4">
              <w:rPr>
                <w:lang w:val="it-CH"/>
              </w:rPr>
              <w:t>P9</w:t>
            </w:r>
            <w:r w:rsidR="00175823" w:rsidRPr="00E51727">
              <w:rPr>
                <w:lang w:val="it-CH"/>
              </w:rPr>
              <w:fldChar w:fldCharType="end"/>
            </w:r>
            <w:r w:rsidR="00C63E78">
              <w:rPr>
                <w:lang w:val="it-CH"/>
              </w:rPr>
              <w:t xml:space="preserve"> siano soddisfatti</w:t>
            </w:r>
            <w:r w:rsidR="00175823" w:rsidRPr="00E51727">
              <w:rPr>
                <w:lang w:val="it-CH"/>
              </w:rPr>
              <w:t>.</w:t>
            </w:r>
          </w:p>
        </w:tc>
      </w:tr>
      <w:tr w:rsidR="00006F94" w:rsidRPr="002C06C6" w14:paraId="0BA2B702" w14:textId="77777777" w:rsidTr="008A0DDA">
        <w:trPr>
          <w:gridAfter w:val="2"/>
          <w:wAfter w:w="8494" w:type="dxa"/>
          <w:trHeight w:val="510"/>
        </w:trPr>
        <w:tc>
          <w:tcPr>
            <w:tcW w:w="9066" w:type="dxa"/>
            <w:gridSpan w:val="2"/>
            <w:shd w:val="clear" w:color="auto" w:fill="AEAAAA" w:themeFill="background2" w:themeFillShade="BF"/>
            <w:vAlign w:val="center"/>
          </w:tcPr>
          <w:p w14:paraId="10CC609A" w14:textId="45C92B4F" w:rsidR="00006F94" w:rsidRPr="00AD2BB5" w:rsidRDefault="00AD2BB5" w:rsidP="00BC26C1">
            <w:pPr>
              <w:spacing w:before="120"/>
              <w:jc w:val="center"/>
              <w:rPr>
                <w:b/>
                <w:bCs/>
                <w:lang w:val="it-CH"/>
              </w:rPr>
            </w:pPr>
            <w:bookmarkStart w:id="78" w:name="_Ref520127669"/>
            <w:bookmarkStart w:id="79" w:name="_Toc526946715"/>
            <w:bookmarkStart w:id="80" w:name="_Toc531102190"/>
            <w:bookmarkStart w:id="81" w:name="_Toc531103705"/>
            <w:bookmarkStart w:id="82" w:name="_Toc531612512"/>
            <w:bookmarkEnd w:id="78"/>
            <w:r w:rsidRPr="00AD2BB5">
              <w:rPr>
                <w:b/>
                <w:bCs/>
                <w:lang w:val="it-CH"/>
              </w:rPr>
              <w:t>Monitoraggio dell’evoluzione de</w:t>
            </w:r>
            <w:r w:rsidR="00BC26C1">
              <w:rPr>
                <w:b/>
                <w:bCs/>
                <w:lang w:val="it-CH"/>
              </w:rPr>
              <w:t>gli inventari</w:t>
            </w:r>
            <w:r w:rsidR="005952C4">
              <w:rPr>
                <w:b/>
                <w:bCs/>
                <w:lang w:val="it-CH"/>
              </w:rPr>
              <w:t xml:space="preserve"> </w:t>
            </w:r>
            <w:r w:rsidRPr="00AD2BB5">
              <w:rPr>
                <w:b/>
                <w:bCs/>
                <w:lang w:val="it-CH"/>
              </w:rPr>
              <w:t>SAC</w:t>
            </w:r>
            <w:bookmarkEnd w:id="79"/>
            <w:bookmarkEnd w:id="80"/>
            <w:bookmarkEnd w:id="81"/>
            <w:bookmarkEnd w:id="82"/>
          </w:p>
        </w:tc>
      </w:tr>
      <w:tr w:rsidR="00006F94" w:rsidRPr="002C06C6" w14:paraId="3E6C1D57" w14:textId="77777777" w:rsidTr="008A0DDA">
        <w:trPr>
          <w:gridAfter w:val="2"/>
          <w:wAfter w:w="8494" w:type="dxa"/>
        </w:trPr>
        <w:tc>
          <w:tcPr>
            <w:tcW w:w="572" w:type="dxa"/>
            <w:shd w:val="clear" w:color="auto" w:fill="D9D9D9" w:themeFill="background1" w:themeFillShade="D9"/>
          </w:tcPr>
          <w:p w14:paraId="795FCBEB" w14:textId="5F5C4D36" w:rsidR="00006F94" w:rsidRPr="00AD2BB5" w:rsidRDefault="00006F94" w:rsidP="00754D7E">
            <w:pPr>
              <w:pStyle w:val="Listenabsatz"/>
              <w:numPr>
                <w:ilvl w:val="0"/>
                <w:numId w:val="9"/>
              </w:numPr>
              <w:spacing w:before="120"/>
              <w:rPr>
                <w:b/>
                <w:lang w:val="it-CH"/>
              </w:rPr>
            </w:pPr>
            <w:bookmarkStart w:id="83" w:name="_Ref532981622"/>
          </w:p>
          <w:bookmarkEnd w:id="83"/>
          <w:p w14:paraId="6B1EE364" w14:textId="77777777" w:rsidR="00006F94" w:rsidRPr="00AD2BB5" w:rsidRDefault="00006F94" w:rsidP="00006F94">
            <w:pPr>
              <w:rPr>
                <w:b/>
                <w:lang w:val="it-CH"/>
              </w:rPr>
            </w:pPr>
          </w:p>
        </w:tc>
        <w:tc>
          <w:tcPr>
            <w:tcW w:w="8494" w:type="dxa"/>
            <w:shd w:val="clear" w:color="auto" w:fill="D9D9D9" w:themeFill="background1" w:themeFillShade="D9"/>
          </w:tcPr>
          <w:p w14:paraId="26C207D2" w14:textId="59FCBDB5" w:rsidR="006D598B" w:rsidRPr="00E51727" w:rsidRDefault="00AD2BB5" w:rsidP="006D598B">
            <w:pPr>
              <w:spacing w:before="120"/>
              <w:rPr>
                <w:b/>
                <w:bCs/>
                <w:lang w:val="it-CH"/>
              </w:rPr>
            </w:pPr>
            <w:r w:rsidRPr="00AD2BB5">
              <w:rPr>
                <w:b/>
                <w:bCs/>
                <w:lang w:val="it-CH"/>
              </w:rPr>
              <w:t xml:space="preserve">I Cantoni aggiornano i loro </w:t>
            </w:r>
            <w:proofErr w:type="spellStart"/>
            <w:r w:rsidRPr="00AD2BB5">
              <w:rPr>
                <w:b/>
                <w:bCs/>
                <w:lang w:val="it-CH"/>
              </w:rPr>
              <w:t>geodati</w:t>
            </w:r>
            <w:proofErr w:type="spellEnd"/>
            <w:r w:rsidRPr="00AD2BB5">
              <w:rPr>
                <w:b/>
                <w:bCs/>
                <w:lang w:val="it-CH"/>
              </w:rPr>
              <w:t xml:space="preserve"> sugli inventari SAC </w:t>
            </w:r>
            <w:bookmarkStart w:id="84" w:name="_Hlk531607558"/>
            <w:r w:rsidRPr="00AD2BB5">
              <w:rPr>
                <w:b/>
                <w:bCs/>
                <w:lang w:val="it-CH"/>
              </w:rPr>
              <w:t>con cadenza almeno annuale</w:t>
            </w:r>
            <w:bookmarkEnd w:id="84"/>
            <w:r w:rsidRPr="00AD2BB5">
              <w:rPr>
                <w:b/>
                <w:bCs/>
                <w:lang w:val="it-CH"/>
              </w:rPr>
              <w:t>, il 1° gennaio di ogni anno</w:t>
            </w:r>
            <w:r w:rsidR="325E5E49" w:rsidRPr="00E51727">
              <w:rPr>
                <w:b/>
                <w:bCs/>
                <w:lang w:val="it-CH"/>
              </w:rPr>
              <w:t xml:space="preserve">. </w:t>
            </w:r>
          </w:p>
          <w:p w14:paraId="5F8CFA53" w14:textId="447B966E" w:rsidR="00006F94" w:rsidRPr="00E51727" w:rsidRDefault="00B97A6D" w:rsidP="006D598B">
            <w:pPr>
              <w:spacing w:before="120"/>
              <w:rPr>
                <w:sz w:val="18"/>
                <w:szCs w:val="18"/>
                <w:lang w:val="it-CH"/>
              </w:rPr>
            </w:pPr>
            <w:r w:rsidRPr="004300DE">
              <w:rPr>
                <w:lang w:val="it-CH"/>
              </w:rPr>
              <w:t xml:space="preserve">Questi dati relativi </w:t>
            </w:r>
            <w:r w:rsidR="004300DE">
              <w:rPr>
                <w:lang w:val="it-CH"/>
              </w:rPr>
              <w:t>agli inventari</w:t>
            </w:r>
            <w:r w:rsidRPr="004300DE">
              <w:rPr>
                <w:lang w:val="it-CH"/>
              </w:rPr>
              <w:t xml:space="preserve"> SAC vengono pubblicati sul </w:t>
            </w:r>
            <w:proofErr w:type="spellStart"/>
            <w:r w:rsidRPr="004300DE">
              <w:rPr>
                <w:lang w:val="it-CH"/>
              </w:rPr>
              <w:t>geoportale</w:t>
            </w:r>
            <w:proofErr w:type="spellEnd"/>
            <w:r w:rsidRPr="004300DE">
              <w:rPr>
                <w:lang w:val="it-CH"/>
              </w:rPr>
              <w:t xml:space="preserve"> nazionale e </w:t>
            </w:r>
            <w:r w:rsidR="00C308E7" w:rsidRPr="004300DE">
              <w:rPr>
                <w:lang w:val="it-CH"/>
              </w:rPr>
              <w:t>sono</w:t>
            </w:r>
            <w:r w:rsidRPr="004300DE">
              <w:rPr>
                <w:lang w:val="it-CH"/>
              </w:rPr>
              <w:t xml:space="preserve"> accessibili al pubblico</w:t>
            </w:r>
            <w:r w:rsidR="006D598B" w:rsidRPr="004300DE">
              <w:rPr>
                <w:lang w:val="it-CH"/>
              </w:rPr>
              <w:t>.</w:t>
            </w:r>
            <w:r w:rsidR="325E5E49" w:rsidRPr="00E51727">
              <w:rPr>
                <w:lang w:val="it-CH"/>
              </w:rPr>
              <w:t xml:space="preserve"> </w:t>
            </w:r>
          </w:p>
        </w:tc>
      </w:tr>
      <w:tr w:rsidR="00006F94" w:rsidRPr="002C06C6" w14:paraId="3A838DF8" w14:textId="77777777" w:rsidTr="008A0DDA">
        <w:trPr>
          <w:gridAfter w:val="2"/>
          <w:wAfter w:w="8494" w:type="dxa"/>
        </w:trPr>
        <w:tc>
          <w:tcPr>
            <w:tcW w:w="572" w:type="dxa"/>
            <w:shd w:val="clear" w:color="auto" w:fill="D9D9D9" w:themeFill="background1" w:themeFillShade="D9"/>
          </w:tcPr>
          <w:p w14:paraId="2B9AD7F2" w14:textId="77777777" w:rsidR="00006F94" w:rsidRPr="00E51727" w:rsidRDefault="00006F94" w:rsidP="00006F94">
            <w:pPr>
              <w:pStyle w:val="Listenabsatz"/>
              <w:numPr>
                <w:ilvl w:val="0"/>
                <w:numId w:val="9"/>
              </w:numPr>
              <w:rPr>
                <w:b/>
                <w:lang w:val="it-CH"/>
              </w:rPr>
            </w:pPr>
          </w:p>
        </w:tc>
        <w:tc>
          <w:tcPr>
            <w:tcW w:w="8494" w:type="dxa"/>
            <w:shd w:val="clear" w:color="auto" w:fill="D9D9D9" w:themeFill="background1" w:themeFillShade="D9"/>
          </w:tcPr>
          <w:p w14:paraId="09DA84D0" w14:textId="345C5F35" w:rsidR="00006F94" w:rsidRPr="00AD2BB5" w:rsidRDefault="00AD2BB5" w:rsidP="325E5E49">
            <w:pPr>
              <w:rPr>
                <w:b/>
                <w:bCs/>
                <w:lang w:val="it-CH"/>
              </w:rPr>
            </w:pPr>
            <w:r w:rsidRPr="00AD2BB5">
              <w:rPr>
                <w:b/>
                <w:bCs/>
                <w:lang w:val="it-CH"/>
              </w:rPr>
              <w:t>La Confederazione allestisce e pubblica ogni quattro anni una statistica relativa alle SAC</w:t>
            </w:r>
            <w:r w:rsidR="00755AC8" w:rsidRPr="00AD2BB5">
              <w:rPr>
                <w:b/>
                <w:bCs/>
                <w:lang w:val="it-CH"/>
              </w:rPr>
              <w:t>.</w:t>
            </w:r>
          </w:p>
          <w:p w14:paraId="6E5B2ABD" w14:textId="588F90EE" w:rsidR="00F823BB" w:rsidRPr="00E51727" w:rsidRDefault="00B97A6D" w:rsidP="092AEEA6">
            <w:pPr>
              <w:rPr>
                <w:bCs/>
                <w:lang w:val="it-CH"/>
              </w:rPr>
            </w:pPr>
            <w:r w:rsidRPr="00E51727">
              <w:rPr>
                <w:lang w:val="it-CH"/>
              </w:rPr>
              <w:t xml:space="preserve">La statistica fornisce informazioni sulla grandezza e la </w:t>
            </w:r>
            <w:r w:rsidR="00842271" w:rsidRPr="00E51727">
              <w:rPr>
                <w:lang w:val="it-CH"/>
              </w:rPr>
              <w:t xml:space="preserve">distribuzione geografica </w:t>
            </w:r>
            <w:r w:rsidRPr="00E51727">
              <w:rPr>
                <w:lang w:val="it-CH"/>
              </w:rPr>
              <w:t>delle SA</w:t>
            </w:r>
            <w:r w:rsidR="004E6EA9">
              <w:rPr>
                <w:lang w:val="it-CH"/>
              </w:rPr>
              <w:t>C</w:t>
            </w:r>
            <w:r w:rsidR="00842271" w:rsidRPr="00E51727">
              <w:rPr>
                <w:lang w:val="it-CH"/>
              </w:rPr>
              <w:t xml:space="preserve"> e, in particolare, illustra aumenti e diminuzioni delle SAC </w:t>
            </w:r>
            <w:r w:rsidR="004300DE">
              <w:rPr>
                <w:lang w:val="it-CH"/>
              </w:rPr>
              <w:t>iscritte negli inventari cantonali</w:t>
            </w:r>
            <w:r w:rsidR="325E5E49" w:rsidRPr="00E51727">
              <w:rPr>
                <w:lang w:val="it-CH"/>
              </w:rPr>
              <w:t xml:space="preserve">. </w:t>
            </w:r>
          </w:p>
        </w:tc>
      </w:tr>
      <w:tr w:rsidR="00006F94" w:rsidRPr="002C06C6" w14:paraId="31B5DCA2" w14:textId="77777777" w:rsidTr="008A0DDA">
        <w:trPr>
          <w:gridAfter w:val="2"/>
          <w:wAfter w:w="8494" w:type="dxa"/>
        </w:trPr>
        <w:tc>
          <w:tcPr>
            <w:tcW w:w="9066" w:type="dxa"/>
            <w:gridSpan w:val="2"/>
            <w:shd w:val="clear" w:color="auto" w:fill="AEAAAA" w:themeFill="background2" w:themeFillShade="BF"/>
            <w:vAlign w:val="center"/>
          </w:tcPr>
          <w:p w14:paraId="4FEC278B" w14:textId="202E7D0E" w:rsidR="00006F94" w:rsidRPr="00AD2BB5" w:rsidRDefault="00AD2BB5" w:rsidP="00376C53">
            <w:pPr>
              <w:spacing w:before="120"/>
              <w:jc w:val="center"/>
              <w:rPr>
                <w:b/>
                <w:bCs/>
                <w:lang w:val="it-CH"/>
              </w:rPr>
            </w:pPr>
            <w:bookmarkStart w:id="85" w:name="_Toc531102191"/>
            <w:bookmarkStart w:id="86" w:name="_Toc531103706"/>
            <w:bookmarkStart w:id="87" w:name="_Toc531612513"/>
            <w:r w:rsidRPr="00AD2BB5">
              <w:rPr>
                <w:b/>
                <w:bCs/>
                <w:lang w:val="it-CH"/>
              </w:rPr>
              <w:t>Rendiconto all’ARE e verifica degli inventari SAC</w:t>
            </w:r>
            <w:bookmarkEnd w:id="85"/>
            <w:bookmarkEnd w:id="86"/>
            <w:bookmarkEnd w:id="87"/>
          </w:p>
        </w:tc>
      </w:tr>
      <w:tr w:rsidR="00006F94" w:rsidRPr="002C06C6" w14:paraId="209C7667" w14:textId="77777777" w:rsidTr="008A0DDA">
        <w:trPr>
          <w:gridAfter w:val="2"/>
          <w:wAfter w:w="8494" w:type="dxa"/>
        </w:trPr>
        <w:tc>
          <w:tcPr>
            <w:tcW w:w="572" w:type="dxa"/>
            <w:shd w:val="clear" w:color="auto" w:fill="D9D9D9" w:themeFill="background1" w:themeFillShade="D9"/>
          </w:tcPr>
          <w:p w14:paraId="45435D39" w14:textId="1F09321A" w:rsidR="00006F94" w:rsidRPr="00AD2BB5" w:rsidRDefault="00006F94" w:rsidP="00142196">
            <w:pPr>
              <w:pStyle w:val="Listenabsatz"/>
              <w:numPr>
                <w:ilvl w:val="0"/>
                <w:numId w:val="9"/>
              </w:numPr>
              <w:spacing w:before="120"/>
              <w:rPr>
                <w:b/>
                <w:lang w:val="it-CH"/>
              </w:rPr>
            </w:pPr>
          </w:p>
        </w:tc>
        <w:tc>
          <w:tcPr>
            <w:tcW w:w="8494" w:type="dxa"/>
            <w:shd w:val="clear" w:color="auto" w:fill="D9D9D9" w:themeFill="background1" w:themeFillShade="D9"/>
          </w:tcPr>
          <w:p w14:paraId="27F340F3" w14:textId="104EACFE" w:rsidR="00006F94" w:rsidRPr="00AD2BB5" w:rsidRDefault="00AD2BB5" w:rsidP="325E5E49">
            <w:pPr>
              <w:spacing w:before="120"/>
              <w:rPr>
                <w:b/>
                <w:bCs/>
                <w:lang w:val="it-CH"/>
              </w:rPr>
            </w:pPr>
            <w:r w:rsidRPr="00AD2BB5">
              <w:rPr>
                <w:b/>
                <w:bCs/>
                <w:lang w:val="it-CH"/>
              </w:rPr>
              <w:t>I Cantoni fanno rapporto all’ARE, con scadenza trimestrale, sull’esatta ubicazione, l’estensione e la qualità dei loro inventari SAC. L’ARE verifica i contenuti della documentazione inoltrata nonché il rispetto dei principi del presente piano settoriale</w:t>
            </w:r>
            <w:r w:rsidR="325E5E49" w:rsidRPr="00AD2BB5">
              <w:rPr>
                <w:b/>
                <w:bCs/>
                <w:lang w:val="it-CH"/>
              </w:rPr>
              <w:t>.</w:t>
            </w:r>
          </w:p>
          <w:p w14:paraId="1FE84B33" w14:textId="00EB5E52" w:rsidR="007B066F" w:rsidRPr="00E51727" w:rsidRDefault="00842271" w:rsidP="00CB2D79">
            <w:pPr>
              <w:rPr>
                <w:lang w:val="it-CH"/>
              </w:rPr>
            </w:pPr>
            <w:r w:rsidRPr="00E51727">
              <w:rPr>
                <w:lang w:val="it-CH"/>
              </w:rPr>
              <w:t xml:space="preserve">Il rendiconto è </w:t>
            </w:r>
            <w:r w:rsidR="00E41D7D" w:rsidRPr="00E51727">
              <w:rPr>
                <w:lang w:val="it-CH"/>
              </w:rPr>
              <w:t xml:space="preserve">sancito nell’OPT </w:t>
            </w:r>
            <w:r w:rsidR="325E5E49" w:rsidRPr="00E51727">
              <w:rPr>
                <w:lang w:val="it-CH"/>
              </w:rPr>
              <w:t>(</w:t>
            </w:r>
            <w:r w:rsidR="00E41D7D" w:rsidRPr="00E51727">
              <w:rPr>
                <w:lang w:val="it-CH"/>
              </w:rPr>
              <w:t>art</w:t>
            </w:r>
            <w:r w:rsidR="325E5E49" w:rsidRPr="00E51727">
              <w:rPr>
                <w:lang w:val="it-CH"/>
              </w:rPr>
              <w:t xml:space="preserve">. 30 </w:t>
            </w:r>
            <w:r w:rsidR="00E41D7D" w:rsidRPr="00E51727">
              <w:rPr>
                <w:lang w:val="it-CH"/>
              </w:rPr>
              <w:t>cpv</w:t>
            </w:r>
            <w:r w:rsidR="325E5E49" w:rsidRPr="00E51727">
              <w:rPr>
                <w:lang w:val="it-CH"/>
              </w:rPr>
              <w:t xml:space="preserve">. 4). </w:t>
            </w:r>
            <w:r w:rsidR="00E41D7D" w:rsidRPr="00E51727">
              <w:rPr>
                <w:lang w:val="it-CH"/>
              </w:rPr>
              <w:t>Esso può essere effettuato nell’ambito del rapporto relativo allo stato della pianificazione ai sensi dell’articolo 9 OPT</w:t>
            </w:r>
            <w:r w:rsidR="325E5E49" w:rsidRPr="00E51727">
              <w:rPr>
                <w:lang w:val="it-CH"/>
              </w:rPr>
              <w:t xml:space="preserve">. </w:t>
            </w:r>
            <w:r w:rsidR="00E41D7D" w:rsidRPr="00E51727">
              <w:rPr>
                <w:lang w:val="it-CH"/>
              </w:rPr>
              <w:t xml:space="preserve">Tale rendiconto comprende </w:t>
            </w:r>
            <w:r w:rsidR="004300DE">
              <w:rPr>
                <w:lang w:val="it-CH"/>
              </w:rPr>
              <w:t xml:space="preserve">gli attuali </w:t>
            </w:r>
            <w:proofErr w:type="spellStart"/>
            <w:r w:rsidR="00E41D7D" w:rsidRPr="00E51727">
              <w:rPr>
                <w:lang w:val="it-CH"/>
              </w:rPr>
              <w:t>geodati</w:t>
            </w:r>
            <w:proofErr w:type="spellEnd"/>
            <w:r w:rsidR="00E41D7D" w:rsidRPr="00E51727">
              <w:rPr>
                <w:lang w:val="it-CH"/>
              </w:rPr>
              <w:t xml:space="preserve"> </w:t>
            </w:r>
            <w:r w:rsidR="004300DE">
              <w:rPr>
                <w:lang w:val="it-CH"/>
              </w:rPr>
              <w:t xml:space="preserve">degli inventari </w:t>
            </w:r>
            <w:r w:rsidR="00E41D7D" w:rsidRPr="00E51727">
              <w:rPr>
                <w:lang w:val="it-CH"/>
              </w:rPr>
              <w:t>SAC e un rapporto</w:t>
            </w:r>
            <w:r w:rsidR="00296E9A" w:rsidRPr="00E51727">
              <w:rPr>
                <w:lang w:val="it-CH"/>
              </w:rPr>
              <w:t xml:space="preserve"> </w:t>
            </w:r>
            <w:r w:rsidR="000601BC" w:rsidRPr="00E51727">
              <w:rPr>
                <w:lang w:val="it-CH"/>
              </w:rPr>
              <w:t xml:space="preserve">contenente informazioni sullo sviluppo dell’inventario SAC, sulla gestione delle SAC e sulle misure relative alla garanzia </w:t>
            </w:r>
            <w:r w:rsidR="00531053">
              <w:rPr>
                <w:lang w:val="it-CH"/>
              </w:rPr>
              <w:t>a</w:t>
            </w:r>
            <w:r w:rsidR="000601BC" w:rsidRPr="00E51727">
              <w:rPr>
                <w:lang w:val="it-CH"/>
              </w:rPr>
              <w:t xml:space="preserve"> lungo termine del contingente</w:t>
            </w:r>
            <w:r w:rsidR="325E5E49" w:rsidRPr="00E51727">
              <w:rPr>
                <w:lang w:val="it-CH"/>
              </w:rPr>
              <w:t>.</w:t>
            </w:r>
          </w:p>
          <w:p w14:paraId="445C3650" w14:textId="57BE0049" w:rsidR="000625FF" w:rsidRPr="00E51727" w:rsidRDefault="000601BC" w:rsidP="007B066F">
            <w:pPr>
              <w:rPr>
                <w:lang w:val="it-CH"/>
              </w:rPr>
            </w:pPr>
            <w:r w:rsidRPr="00E51727">
              <w:rPr>
                <w:lang w:val="it-CH"/>
              </w:rPr>
              <w:t>L’</w:t>
            </w:r>
            <w:r w:rsidR="325E5E49" w:rsidRPr="00E51727">
              <w:rPr>
                <w:lang w:val="it-CH"/>
              </w:rPr>
              <w:t xml:space="preserve">ARE </w:t>
            </w:r>
            <w:r w:rsidRPr="00E51727">
              <w:rPr>
                <w:lang w:val="it-CH"/>
              </w:rPr>
              <w:t xml:space="preserve">verifica la documentazione e </w:t>
            </w:r>
            <w:r w:rsidR="00E51669" w:rsidRPr="00E51727">
              <w:rPr>
                <w:lang w:val="it-CH"/>
              </w:rPr>
              <w:t xml:space="preserve">fa pervenire un riscontro ai </w:t>
            </w:r>
            <w:r w:rsidR="006E5123">
              <w:rPr>
                <w:lang w:val="it-CH"/>
              </w:rPr>
              <w:t>C</w:t>
            </w:r>
            <w:r w:rsidR="00E51669" w:rsidRPr="00E51727">
              <w:rPr>
                <w:lang w:val="it-CH"/>
              </w:rPr>
              <w:t>antoni a tal riguardo</w:t>
            </w:r>
            <w:r w:rsidR="325E5E49" w:rsidRPr="00E51727">
              <w:rPr>
                <w:lang w:val="it-CH"/>
              </w:rPr>
              <w:t xml:space="preserve">. </w:t>
            </w:r>
          </w:p>
        </w:tc>
      </w:tr>
      <w:tr w:rsidR="00A876BD" w:rsidRPr="00E51727" w14:paraId="50ECF1BB" w14:textId="77777777" w:rsidTr="008A0DDA">
        <w:trPr>
          <w:gridAfter w:val="2"/>
          <w:wAfter w:w="8494" w:type="dxa"/>
          <w:trHeight w:val="510"/>
        </w:trPr>
        <w:tc>
          <w:tcPr>
            <w:tcW w:w="9066" w:type="dxa"/>
            <w:gridSpan w:val="2"/>
            <w:shd w:val="clear" w:color="auto" w:fill="AEAAAA" w:themeFill="background2" w:themeFillShade="BF"/>
            <w:vAlign w:val="center"/>
          </w:tcPr>
          <w:p w14:paraId="122FDAE3" w14:textId="7CECBC63" w:rsidR="00A876BD" w:rsidRPr="00E51727" w:rsidRDefault="00AD2BB5" w:rsidP="325E5E49">
            <w:pPr>
              <w:spacing w:before="120"/>
              <w:jc w:val="center"/>
              <w:rPr>
                <w:b/>
                <w:bCs/>
                <w:lang w:val="it-CH"/>
              </w:rPr>
            </w:pPr>
            <w:r>
              <w:rPr>
                <w:b/>
                <w:bCs/>
                <w:lang w:val="it-CH"/>
              </w:rPr>
              <w:lastRenderedPageBreak/>
              <w:t>Casi speciali</w:t>
            </w:r>
          </w:p>
        </w:tc>
      </w:tr>
      <w:tr w:rsidR="00A876BD" w:rsidRPr="00155F70" w14:paraId="27AFA0B7" w14:textId="77777777" w:rsidTr="008A0DDA">
        <w:trPr>
          <w:gridAfter w:val="2"/>
          <w:wAfter w:w="8494" w:type="dxa"/>
        </w:trPr>
        <w:tc>
          <w:tcPr>
            <w:tcW w:w="572" w:type="dxa"/>
            <w:shd w:val="clear" w:color="auto" w:fill="D9D9D9" w:themeFill="background1" w:themeFillShade="D9"/>
          </w:tcPr>
          <w:p w14:paraId="2D0286C6" w14:textId="77777777" w:rsidR="00A876BD" w:rsidRPr="00E51727" w:rsidRDefault="00A876BD" w:rsidP="00AE6D5B">
            <w:pPr>
              <w:pStyle w:val="Listenabsatz"/>
              <w:numPr>
                <w:ilvl w:val="0"/>
                <w:numId w:val="9"/>
              </w:numPr>
              <w:spacing w:before="120"/>
              <w:rPr>
                <w:b/>
                <w:lang w:val="it-CH"/>
              </w:rPr>
            </w:pPr>
          </w:p>
        </w:tc>
        <w:tc>
          <w:tcPr>
            <w:tcW w:w="8494" w:type="dxa"/>
            <w:shd w:val="clear" w:color="auto" w:fill="D9D9D9" w:themeFill="background1" w:themeFillShade="D9"/>
          </w:tcPr>
          <w:p w14:paraId="54F92CB9" w14:textId="5B0C826F" w:rsidR="00A876BD" w:rsidRPr="00544F67" w:rsidRDefault="00AD2BB5" w:rsidP="325E5E49">
            <w:pPr>
              <w:spacing w:before="120"/>
              <w:rPr>
                <w:b/>
                <w:bCs/>
                <w:lang w:val="it-CH"/>
              </w:rPr>
            </w:pPr>
            <w:r w:rsidRPr="00AD2BB5">
              <w:rPr>
                <w:b/>
                <w:bCs/>
                <w:lang w:val="it-CH"/>
              </w:rPr>
              <w:t xml:space="preserve">Le superfici destinate a un’utilizzazione speciale possono essere conteggiate nell’inventario cantonale, a condizione che il loro suolo adempia ai criteri di qualità SAC e che la superficie, in caso di grave penuria, sia di nuovo a disposizione della </w:t>
            </w:r>
            <w:proofErr w:type="spellStart"/>
            <w:r w:rsidRPr="00544F67">
              <w:rPr>
                <w:b/>
                <w:bCs/>
                <w:lang w:val="it-CH"/>
              </w:rPr>
              <w:t>campicoltura</w:t>
            </w:r>
            <w:proofErr w:type="spellEnd"/>
            <w:r w:rsidRPr="00544F67">
              <w:rPr>
                <w:b/>
                <w:bCs/>
                <w:lang w:val="it-CH"/>
              </w:rPr>
              <w:t xml:space="preserve"> entro 12 mesi</w:t>
            </w:r>
            <w:r w:rsidR="325E5E49" w:rsidRPr="00544F67">
              <w:rPr>
                <w:b/>
                <w:bCs/>
                <w:lang w:val="it-CH"/>
              </w:rPr>
              <w:t xml:space="preserve">. </w:t>
            </w:r>
          </w:p>
          <w:p w14:paraId="18E730B8" w14:textId="65BC62B3" w:rsidR="00016B6C" w:rsidRPr="00E51727" w:rsidRDefault="00046DC8" w:rsidP="0078738E">
            <w:pPr>
              <w:rPr>
                <w:rStyle w:val="normaltextrun1"/>
                <w:rFonts w:cs="Arial"/>
                <w:lang w:val="it-CH"/>
              </w:rPr>
            </w:pPr>
            <w:r w:rsidRPr="00544F67">
              <w:rPr>
                <w:lang w:val="it-CH"/>
              </w:rPr>
              <w:t>Non appena</w:t>
            </w:r>
            <w:r w:rsidR="00E51669" w:rsidRPr="00544F67">
              <w:rPr>
                <w:lang w:val="it-CH"/>
              </w:rPr>
              <w:t xml:space="preserve"> la struttura</w:t>
            </w:r>
            <w:r w:rsidR="00E51669" w:rsidRPr="00E51727">
              <w:rPr>
                <w:lang w:val="it-CH"/>
              </w:rPr>
              <w:t xml:space="preserve"> del suolo </w:t>
            </w:r>
            <w:r w:rsidR="00A9041C">
              <w:rPr>
                <w:lang w:val="it-CH"/>
              </w:rPr>
              <w:t>subisce</w:t>
            </w:r>
            <w:r w:rsidR="00E51669" w:rsidRPr="00E51727">
              <w:rPr>
                <w:lang w:val="it-CH"/>
              </w:rPr>
              <w:t xml:space="preserve"> pesanti interventi (modellazione del terreno) o il suolo </w:t>
            </w:r>
            <w:r w:rsidR="00531053">
              <w:rPr>
                <w:lang w:val="it-CH"/>
              </w:rPr>
              <w:t>è</w:t>
            </w:r>
            <w:r w:rsidR="00E51669" w:rsidRPr="00E51727">
              <w:rPr>
                <w:lang w:val="it-CH"/>
              </w:rPr>
              <w:t xml:space="preserve"> rimosso, si può supporre che i succitati criteri</w:t>
            </w:r>
            <w:r w:rsidR="00544F67">
              <w:rPr>
                <w:rStyle w:val="Funotenzeichen"/>
                <w:lang w:val="it-CH"/>
              </w:rPr>
              <w:footnoteReference w:id="19"/>
            </w:r>
            <w:r w:rsidR="00E51669" w:rsidRPr="00E51727">
              <w:rPr>
                <w:lang w:val="it-CH"/>
              </w:rPr>
              <w:t xml:space="preserve"> non siano più soddisfatti</w:t>
            </w:r>
            <w:r w:rsidR="0078738E" w:rsidRPr="00E51727">
              <w:rPr>
                <w:rStyle w:val="normaltextrun1"/>
                <w:rFonts w:cs="Arial"/>
                <w:lang w:val="it-CH"/>
              </w:rPr>
              <w:t>.</w:t>
            </w:r>
            <w:r w:rsidR="07C4BBA7" w:rsidRPr="00E51727">
              <w:rPr>
                <w:rStyle w:val="normaltextrun1"/>
                <w:rFonts w:cs="Arial"/>
                <w:lang w:val="it-CH"/>
              </w:rPr>
              <w:t xml:space="preserve"> </w:t>
            </w:r>
            <w:r w:rsidR="00E51669" w:rsidRPr="00E51727">
              <w:rPr>
                <w:lang w:val="it-CH"/>
              </w:rPr>
              <w:t xml:space="preserve">Le relative superfici </w:t>
            </w:r>
            <w:r w:rsidR="008A6457">
              <w:rPr>
                <w:lang w:val="it-CH"/>
              </w:rPr>
              <w:t xml:space="preserve">devono </w:t>
            </w:r>
            <w:r w:rsidR="008A6457" w:rsidRPr="00214F27">
              <w:rPr>
                <w:lang w:val="it-CH"/>
              </w:rPr>
              <w:t>essere eliminate dall’inventario</w:t>
            </w:r>
            <w:r w:rsidR="07C4BBA7" w:rsidRPr="00214F27">
              <w:rPr>
                <w:rStyle w:val="normaltextrun1"/>
                <w:rFonts w:cs="Arial"/>
                <w:lang w:val="it-CH"/>
              </w:rPr>
              <w:t>.</w:t>
            </w:r>
          </w:p>
          <w:p w14:paraId="60D6B376" w14:textId="0B74BF9A" w:rsidR="004561E7" w:rsidRPr="00E51727" w:rsidRDefault="004561E7" w:rsidP="0078738E">
            <w:pPr>
              <w:rPr>
                <w:rFonts w:cs="Arial"/>
                <w:lang w:val="it-CH"/>
              </w:rPr>
            </w:pPr>
          </w:p>
        </w:tc>
      </w:tr>
      <w:tr w:rsidR="00016B6C" w:rsidRPr="002C06C6" w14:paraId="50BB83AC" w14:textId="77777777" w:rsidTr="008A0DDA">
        <w:trPr>
          <w:gridAfter w:val="1"/>
          <w:wAfter w:w="8483" w:type="dxa"/>
        </w:trPr>
        <w:tc>
          <w:tcPr>
            <w:tcW w:w="9077" w:type="dxa"/>
            <w:gridSpan w:val="3"/>
            <w:shd w:val="clear" w:color="auto" w:fill="A6A6A6" w:themeFill="background1" w:themeFillShade="A6"/>
          </w:tcPr>
          <w:p w14:paraId="547968EF" w14:textId="3274016F" w:rsidR="00016B6C" w:rsidRPr="00AD2BB5" w:rsidRDefault="00531053" w:rsidP="006B475F">
            <w:pPr>
              <w:spacing w:before="120"/>
              <w:jc w:val="center"/>
              <w:rPr>
                <w:b/>
                <w:bCs/>
                <w:lang w:val="it-CH"/>
              </w:rPr>
            </w:pPr>
            <w:bookmarkStart w:id="88" w:name="_Toc384212579"/>
            <w:bookmarkStart w:id="89" w:name="_Toc384226439"/>
            <w:bookmarkStart w:id="90" w:name="_Toc384289087"/>
            <w:bookmarkStart w:id="91" w:name="_Toc384289731"/>
            <w:bookmarkStart w:id="92" w:name="_Toc384289780"/>
            <w:bookmarkStart w:id="93" w:name="_Toc384295772"/>
            <w:bookmarkStart w:id="94" w:name="_Toc384643578"/>
            <w:bookmarkStart w:id="95" w:name="_Toc384728533"/>
            <w:bookmarkStart w:id="96" w:name="_Toc384738916"/>
            <w:bookmarkStart w:id="97" w:name="_Toc384742212"/>
            <w:bookmarkStart w:id="98" w:name="_Toc384747016"/>
            <w:bookmarkStart w:id="99" w:name="_Toc384894472"/>
            <w:bookmarkStart w:id="100" w:name="_Toc384895066"/>
            <w:bookmarkStart w:id="101" w:name="_Toc384895115"/>
            <w:bookmarkStart w:id="102" w:name="_Toc384908820"/>
            <w:bookmarkStart w:id="103" w:name="_Toc384914144"/>
            <w:bookmarkStart w:id="104" w:name="_Toc384914500"/>
            <w:bookmarkStart w:id="105" w:name="_Toc531102193"/>
            <w:bookmarkStart w:id="106" w:name="_Toc531103708"/>
            <w:bookmarkStart w:id="107" w:name="_Toc531612515"/>
            <w:bookmarkStart w:id="108" w:name="_Toc526428727"/>
            <w:bookmarkEnd w:id="5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r>
              <w:rPr>
                <w:b/>
                <w:bCs/>
                <w:lang w:val="it-CH"/>
              </w:rPr>
              <w:t>Regolamentazioni</w:t>
            </w:r>
            <w:r w:rsidR="00AD2BB5" w:rsidRPr="00AD2BB5">
              <w:rPr>
                <w:b/>
                <w:bCs/>
                <w:lang w:val="it-CH"/>
              </w:rPr>
              <w:t xml:space="preserve"> in funzione della base di dati dei Cantoni</w:t>
            </w:r>
            <w:bookmarkEnd w:id="105"/>
            <w:bookmarkEnd w:id="106"/>
            <w:bookmarkEnd w:id="107"/>
          </w:p>
        </w:tc>
      </w:tr>
      <w:tr w:rsidR="00016B6C" w:rsidRPr="002C06C6" w14:paraId="0F534827" w14:textId="77777777" w:rsidTr="00296E9A">
        <w:trPr>
          <w:gridAfter w:val="1"/>
          <w:wAfter w:w="8483" w:type="dxa"/>
        </w:trPr>
        <w:tc>
          <w:tcPr>
            <w:tcW w:w="572" w:type="dxa"/>
            <w:shd w:val="clear" w:color="auto" w:fill="D9D9D9" w:themeFill="background1" w:themeFillShade="D9"/>
          </w:tcPr>
          <w:p w14:paraId="44B73813" w14:textId="77777777" w:rsidR="00016B6C" w:rsidRPr="00AD2BB5" w:rsidRDefault="00016B6C" w:rsidP="006B475F">
            <w:pPr>
              <w:pStyle w:val="Listenabsatz"/>
              <w:numPr>
                <w:ilvl w:val="0"/>
                <w:numId w:val="9"/>
              </w:numPr>
              <w:spacing w:before="120"/>
              <w:rPr>
                <w:b/>
                <w:lang w:val="it-CH"/>
              </w:rPr>
            </w:pPr>
            <w:bookmarkStart w:id="109" w:name="_Ref525717274"/>
          </w:p>
        </w:tc>
        <w:bookmarkEnd w:id="109"/>
        <w:tc>
          <w:tcPr>
            <w:tcW w:w="8505" w:type="dxa"/>
            <w:gridSpan w:val="2"/>
            <w:shd w:val="clear" w:color="auto" w:fill="D9D9D9" w:themeFill="background1" w:themeFillShade="D9"/>
          </w:tcPr>
          <w:p w14:paraId="43EEFB88" w14:textId="7B862827" w:rsidR="00016B6C" w:rsidRPr="00AD2BB5" w:rsidRDefault="00AD2BB5" w:rsidP="009213EE">
            <w:pPr>
              <w:spacing w:before="120"/>
              <w:rPr>
                <w:lang w:val="it-CH"/>
              </w:rPr>
            </w:pPr>
            <w:r w:rsidRPr="00AD2BB5">
              <w:rPr>
                <w:b/>
                <w:bCs/>
                <w:lang w:val="it-CH"/>
              </w:rPr>
              <w:t>I Cantoni possono</w:t>
            </w:r>
            <w:r w:rsidR="00A9041C">
              <w:rPr>
                <w:b/>
                <w:bCs/>
                <w:lang w:val="it-CH"/>
              </w:rPr>
              <w:t xml:space="preserve"> negoziare</w:t>
            </w:r>
            <w:r w:rsidRPr="00AD2BB5">
              <w:rPr>
                <w:b/>
                <w:bCs/>
                <w:lang w:val="it-CH"/>
              </w:rPr>
              <w:t xml:space="preserve"> i loro contingenti cantonali delle SAC, se i loro inventari SAC si fondano su una base di dati affidabile</w:t>
            </w:r>
            <w:r w:rsidR="00016B6C" w:rsidRPr="00AD2BB5">
              <w:rPr>
                <w:b/>
                <w:bCs/>
                <w:lang w:val="it-CH"/>
              </w:rPr>
              <w:t>.</w:t>
            </w:r>
          </w:p>
          <w:p w14:paraId="423466F3" w14:textId="1B6191CA" w:rsidR="00016B6C" w:rsidRPr="00E51727" w:rsidRDefault="008A6457" w:rsidP="006B475F">
            <w:pPr>
              <w:spacing w:before="120"/>
              <w:rPr>
                <w:lang w:val="it-CH"/>
              </w:rPr>
            </w:pPr>
            <w:r>
              <w:rPr>
                <w:lang w:val="it-CH"/>
              </w:rPr>
              <w:t xml:space="preserve">Le trattative devono </w:t>
            </w:r>
            <w:r w:rsidR="00E51669" w:rsidRPr="00E51727">
              <w:rPr>
                <w:lang w:val="it-CH"/>
              </w:rPr>
              <w:t>essere regolat</w:t>
            </w:r>
            <w:r>
              <w:rPr>
                <w:lang w:val="it-CH"/>
              </w:rPr>
              <w:t>e</w:t>
            </w:r>
            <w:r w:rsidR="00E51669" w:rsidRPr="00E51727">
              <w:rPr>
                <w:lang w:val="it-CH"/>
              </w:rPr>
              <w:t xml:space="preserve"> </w:t>
            </w:r>
            <w:r w:rsidR="00DB3291" w:rsidRPr="00E51727">
              <w:rPr>
                <w:lang w:val="it-CH"/>
              </w:rPr>
              <w:t>attraverso i piani direttori e approvat</w:t>
            </w:r>
            <w:r w:rsidR="00214F27">
              <w:rPr>
                <w:lang w:val="it-CH"/>
              </w:rPr>
              <w:t>e</w:t>
            </w:r>
            <w:r w:rsidR="00DB3291" w:rsidRPr="00E51727">
              <w:rPr>
                <w:lang w:val="it-CH"/>
              </w:rPr>
              <w:t xml:space="preserve"> dalla Confederazione</w:t>
            </w:r>
            <w:r w:rsidR="00016B6C" w:rsidRPr="00E51727">
              <w:rPr>
                <w:lang w:val="it-CH"/>
              </w:rPr>
              <w:t xml:space="preserve">. </w:t>
            </w:r>
          </w:p>
          <w:p w14:paraId="6F5E4A3F" w14:textId="63E6629D" w:rsidR="00016B6C" w:rsidRPr="00E51727" w:rsidRDefault="00DB3291" w:rsidP="00D47DCC">
            <w:pPr>
              <w:spacing w:before="120" w:after="0"/>
              <w:rPr>
                <w:lang w:val="it-CH"/>
              </w:rPr>
            </w:pPr>
            <w:r w:rsidRPr="00E51727">
              <w:rPr>
                <w:lang w:val="it-CH"/>
              </w:rPr>
              <w:t xml:space="preserve">I Cantoni coinvolti </w:t>
            </w:r>
            <w:r w:rsidR="008A6457">
              <w:rPr>
                <w:lang w:val="it-CH"/>
              </w:rPr>
              <w:t>nelle trattative</w:t>
            </w:r>
            <w:r w:rsidRPr="00E51727">
              <w:rPr>
                <w:lang w:val="it-CH"/>
              </w:rPr>
              <w:t xml:space="preserve"> devono </w:t>
            </w:r>
            <w:r w:rsidR="00152843" w:rsidRPr="00E51727">
              <w:rPr>
                <w:lang w:val="it-CH"/>
              </w:rPr>
              <w:t>addurre</w:t>
            </w:r>
            <w:r w:rsidRPr="00E51727">
              <w:rPr>
                <w:lang w:val="it-CH"/>
              </w:rPr>
              <w:t xml:space="preserve"> l</w:t>
            </w:r>
            <w:r w:rsidR="00152843" w:rsidRPr="00E51727">
              <w:rPr>
                <w:lang w:val="it-CH"/>
              </w:rPr>
              <w:t xml:space="preserve">a prova che, </w:t>
            </w:r>
            <w:r w:rsidR="00296E9A" w:rsidRPr="0034599C">
              <w:rPr>
                <w:lang w:val="it-CH"/>
              </w:rPr>
              <w:t>insieme</w:t>
            </w:r>
            <w:r w:rsidR="00152843" w:rsidRPr="0034599C">
              <w:rPr>
                <w:lang w:val="it-CH"/>
              </w:rPr>
              <w:t xml:space="preserve">, </w:t>
            </w:r>
            <w:r w:rsidR="0034599C" w:rsidRPr="0034599C">
              <w:rPr>
                <w:lang w:val="it-CH"/>
              </w:rPr>
              <w:t xml:space="preserve">raggiungono </w:t>
            </w:r>
            <w:r w:rsidR="00152843" w:rsidRPr="0034599C">
              <w:rPr>
                <w:lang w:val="it-CH"/>
              </w:rPr>
              <w:t>la somma dei loro contingenti cantonali</w:t>
            </w:r>
            <w:r w:rsidR="00016B6C" w:rsidRPr="0034599C">
              <w:rPr>
                <w:lang w:val="it-CH"/>
              </w:rPr>
              <w:t>.</w:t>
            </w:r>
            <w:r w:rsidR="008A6457" w:rsidRPr="0034599C">
              <w:rPr>
                <w:lang w:val="it-CH"/>
              </w:rPr>
              <w:t xml:space="preserve"> </w:t>
            </w:r>
            <w:r w:rsidR="008A6457" w:rsidRPr="0034599C">
              <w:rPr>
                <w:lang w:val="it-IT"/>
              </w:rPr>
              <w:t>Il «</w:t>
            </w:r>
            <w:r w:rsidR="00086E74" w:rsidRPr="0034599C">
              <w:rPr>
                <w:lang w:val="it-IT"/>
              </w:rPr>
              <w:t xml:space="preserve">Cantone </w:t>
            </w:r>
            <w:r w:rsidR="008A6457" w:rsidRPr="0034599C">
              <w:rPr>
                <w:lang w:val="it-IT"/>
              </w:rPr>
              <w:t xml:space="preserve">che cede» </w:t>
            </w:r>
            <w:r w:rsidR="00086E74" w:rsidRPr="0034599C">
              <w:rPr>
                <w:lang w:val="it-IT"/>
              </w:rPr>
              <w:t xml:space="preserve">le SAC </w:t>
            </w:r>
            <w:r w:rsidR="008A6457" w:rsidRPr="0034599C">
              <w:rPr>
                <w:lang w:val="it-IT"/>
              </w:rPr>
              <w:t xml:space="preserve">non può </w:t>
            </w:r>
            <w:r w:rsidR="00086E74" w:rsidRPr="0034599C">
              <w:rPr>
                <w:lang w:val="it-IT"/>
              </w:rPr>
              <w:t>completare</w:t>
            </w:r>
            <w:r w:rsidR="008A6457" w:rsidRPr="0034599C">
              <w:rPr>
                <w:lang w:val="it-IT"/>
              </w:rPr>
              <w:t xml:space="preserve"> il contingente con SAC </w:t>
            </w:r>
            <w:r w:rsidR="00086E74" w:rsidRPr="0034599C">
              <w:rPr>
                <w:lang w:val="it-IT"/>
              </w:rPr>
              <w:t>di qualità decisamente inferiore</w:t>
            </w:r>
            <w:r w:rsidR="008A6457" w:rsidRPr="0034599C">
              <w:rPr>
                <w:lang w:val="it-IT"/>
              </w:rPr>
              <w:t xml:space="preserve">. </w:t>
            </w:r>
            <w:r w:rsidR="00640C0E" w:rsidRPr="0034599C">
              <w:rPr>
                <w:lang w:val="it-IT"/>
              </w:rPr>
              <w:t>Ad impegnarsi</w:t>
            </w:r>
            <w:r w:rsidR="00640C0E" w:rsidRPr="00214F27">
              <w:rPr>
                <w:lang w:val="it-IT"/>
              </w:rPr>
              <w:t xml:space="preserve"> affinché le SAC sul proprio territorio vengano garantite in modo sostenibile è il </w:t>
            </w:r>
            <w:r w:rsidR="008A6457" w:rsidRPr="00214F27">
              <w:rPr>
                <w:lang w:val="it-IT"/>
              </w:rPr>
              <w:t>«</w:t>
            </w:r>
            <w:r w:rsidR="00086E74" w:rsidRPr="00214F27">
              <w:rPr>
                <w:lang w:val="it-IT"/>
              </w:rPr>
              <w:t xml:space="preserve">Cantone </w:t>
            </w:r>
            <w:r w:rsidR="008A6457" w:rsidRPr="00214F27">
              <w:rPr>
                <w:lang w:val="it-IT"/>
              </w:rPr>
              <w:t>che cede»</w:t>
            </w:r>
            <w:r w:rsidR="00D47DCC">
              <w:rPr>
                <w:lang w:val="it-IT"/>
              </w:rPr>
              <w:t>.</w:t>
            </w:r>
            <w:r w:rsidR="00640C0E" w:rsidRPr="00214F27">
              <w:rPr>
                <w:lang w:val="it-IT"/>
              </w:rPr>
              <w:t xml:space="preserve"> le SAC</w:t>
            </w:r>
            <w:r w:rsidR="008A6457" w:rsidRPr="00214F27">
              <w:rPr>
                <w:lang w:val="it-IT"/>
              </w:rPr>
              <w:t>.</w:t>
            </w:r>
          </w:p>
        </w:tc>
      </w:tr>
      <w:tr w:rsidR="00016B6C" w:rsidRPr="002C06C6" w14:paraId="7BBAE1E0" w14:textId="77777777" w:rsidTr="00296E9A">
        <w:trPr>
          <w:gridAfter w:val="1"/>
          <w:wAfter w:w="8483" w:type="dxa"/>
        </w:trPr>
        <w:tc>
          <w:tcPr>
            <w:tcW w:w="572" w:type="dxa"/>
            <w:shd w:val="clear" w:color="auto" w:fill="D9D9D9" w:themeFill="background1" w:themeFillShade="D9"/>
          </w:tcPr>
          <w:p w14:paraId="0903BDFD" w14:textId="77777777" w:rsidR="00016B6C" w:rsidRPr="00E51727" w:rsidRDefault="00016B6C" w:rsidP="006B475F">
            <w:pPr>
              <w:pStyle w:val="Listenabsatz"/>
              <w:numPr>
                <w:ilvl w:val="0"/>
                <w:numId w:val="9"/>
              </w:numPr>
              <w:spacing w:before="120"/>
              <w:rPr>
                <w:b/>
                <w:lang w:val="it-CH"/>
              </w:rPr>
            </w:pPr>
            <w:bookmarkStart w:id="110" w:name="_Ref525717286"/>
          </w:p>
        </w:tc>
        <w:bookmarkEnd w:id="110"/>
        <w:tc>
          <w:tcPr>
            <w:tcW w:w="8505" w:type="dxa"/>
            <w:gridSpan w:val="2"/>
            <w:shd w:val="clear" w:color="auto" w:fill="D9D9D9" w:themeFill="background1" w:themeFillShade="D9"/>
          </w:tcPr>
          <w:p w14:paraId="6F9C40C4" w14:textId="18621C25" w:rsidR="00016B6C" w:rsidRPr="00AD2BB5" w:rsidRDefault="00AD2BB5" w:rsidP="006B475F">
            <w:pPr>
              <w:spacing w:before="120"/>
              <w:rPr>
                <w:b/>
                <w:bCs/>
                <w:lang w:val="it-CH"/>
              </w:rPr>
            </w:pPr>
            <w:r w:rsidRPr="00AD2BB5">
              <w:rPr>
                <w:b/>
                <w:bCs/>
                <w:lang w:val="it-CH"/>
              </w:rPr>
              <w:t xml:space="preserve">I Cantoni i cui inventari si fondano su una base di dati imprecisa, hanno l’obbligo di introdurre una </w:t>
            </w:r>
            <w:r w:rsidR="00531053">
              <w:rPr>
                <w:b/>
                <w:bCs/>
                <w:lang w:val="it-CH"/>
              </w:rPr>
              <w:t>regolamentazione</w:t>
            </w:r>
            <w:r w:rsidRPr="00AD2BB5">
              <w:rPr>
                <w:b/>
                <w:bCs/>
                <w:lang w:val="it-CH"/>
              </w:rPr>
              <w:t xml:space="preserve"> sulla compensazione per SAC iscritte nell’inventario</w:t>
            </w:r>
            <w:r w:rsidR="00016B6C" w:rsidRPr="00AD2BB5">
              <w:rPr>
                <w:b/>
                <w:bCs/>
                <w:lang w:val="it-CH"/>
              </w:rPr>
              <w:t>.</w:t>
            </w:r>
          </w:p>
          <w:p w14:paraId="586D7F56" w14:textId="3927B840" w:rsidR="00016B6C" w:rsidRPr="00E51727" w:rsidRDefault="00152843" w:rsidP="006B475F">
            <w:pPr>
              <w:spacing w:before="120"/>
              <w:rPr>
                <w:lang w:val="it-CH"/>
              </w:rPr>
            </w:pPr>
            <w:r w:rsidRPr="00E51727">
              <w:rPr>
                <w:lang w:val="it-CH"/>
              </w:rPr>
              <w:t xml:space="preserve">Questo deve avvenire nei tre anni successivi all’approvazione del piano settoriale; la normativa dev’essere quindi </w:t>
            </w:r>
            <w:r w:rsidR="00407AA1" w:rsidRPr="00E51727">
              <w:rPr>
                <w:lang w:val="it-CH"/>
              </w:rPr>
              <w:t>sottoposta alla verifica dell’ARE</w:t>
            </w:r>
            <w:r w:rsidR="00016B6C" w:rsidRPr="00E51727">
              <w:rPr>
                <w:lang w:val="it-CH"/>
              </w:rPr>
              <w:t>.</w:t>
            </w:r>
          </w:p>
        </w:tc>
      </w:tr>
    </w:tbl>
    <w:p w14:paraId="35CF7724" w14:textId="77777777" w:rsidR="00016B6C" w:rsidRPr="00E51727" w:rsidRDefault="00016B6C" w:rsidP="006C6A69">
      <w:pPr>
        <w:rPr>
          <w:lang w:val="it-CH"/>
        </w:rPr>
      </w:pPr>
    </w:p>
    <w:p w14:paraId="0A7CD3D2" w14:textId="77777777" w:rsidR="00016B6C" w:rsidRPr="00E51727" w:rsidRDefault="00016B6C">
      <w:pPr>
        <w:spacing w:after="160" w:line="259" w:lineRule="auto"/>
        <w:rPr>
          <w:rFonts w:cs="Arial"/>
          <w:b/>
          <w:bCs/>
          <w:kern w:val="32"/>
          <w:sz w:val="32"/>
          <w:szCs w:val="32"/>
          <w:lang w:val="it-CH"/>
        </w:rPr>
      </w:pPr>
      <w:r w:rsidRPr="00E51727">
        <w:rPr>
          <w:lang w:val="it-CH"/>
        </w:rPr>
        <w:br w:type="page"/>
      </w:r>
    </w:p>
    <w:p w14:paraId="7A6B0935" w14:textId="44D39583" w:rsidR="007B6805" w:rsidRPr="00E51727" w:rsidRDefault="00155F70" w:rsidP="325E5E49">
      <w:pPr>
        <w:pStyle w:val="berschrift1"/>
        <w:rPr>
          <w:rStyle w:val="berschrift1Zchn"/>
          <w:b/>
          <w:bCs/>
          <w:lang w:val="it-CH"/>
        </w:rPr>
      </w:pPr>
      <w:bookmarkStart w:id="111" w:name="_Hlk529528413"/>
      <w:bookmarkStart w:id="112" w:name="_Toc533053018"/>
      <w:bookmarkEnd w:id="108"/>
      <w:r>
        <w:rPr>
          <w:lang w:val="it-CH"/>
        </w:rPr>
        <w:lastRenderedPageBreak/>
        <w:t>Applicazione</w:t>
      </w:r>
      <w:r w:rsidR="00E7779B" w:rsidRPr="00E51727">
        <w:rPr>
          <w:lang w:val="it-CH"/>
        </w:rPr>
        <w:t xml:space="preserve"> e attuazione del </w:t>
      </w:r>
      <w:r w:rsidR="009304B4" w:rsidRPr="00E51727">
        <w:rPr>
          <w:lang w:val="it-CH"/>
        </w:rPr>
        <w:t>p</w:t>
      </w:r>
      <w:r w:rsidR="00E7779B" w:rsidRPr="00E51727">
        <w:rPr>
          <w:lang w:val="it-CH"/>
        </w:rPr>
        <w:t>iano settoriale</w:t>
      </w:r>
      <w:bookmarkEnd w:id="112"/>
    </w:p>
    <w:p w14:paraId="3C0C5C65" w14:textId="6D67DDA1" w:rsidR="00682FDF" w:rsidRPr="00E51727" w:rsidRDefault="00E7779B" w:rsidP="00682FDF">
      <w:pPr>
        <w:pStyle w:val="berschrift2"/>
        <w:rPr>
          <w:lang w:val="it-CH"/>
        </w:rPr>
      </w:pPr>
      <w:bookmarkStart w:id="113" w:name="_Toc384747020"/>
      <w:bookmarkStart w:id="114" w:name="_Toc384894476"/>
      <w:bookmarkStart w:id="115" w:name="_Toc384895070"/>
      <w:bookmarkStart w:id="116" w:name="_Toc384895119"/>
      <w:bookmarkStart w:id="117" w:name="_Toc384908824"/>
      <w:bookmarkStart w:id="118" w:name="_Toc384914148"/>
      <w:bookmarkStart w:id="119" w:name="_Toc384914504"/>
      <w:bookmarkStart w:id="120" w:name="_Toc384289748"/>
      <w:bookmarkStart w:id="121" w:name="_Toc384289796"/>
      <w:bookmarkStart w:id="122" w:name="_Toc384295788"/>
      <w:bookmarkStart w:id="123" w:name="_Toc384643594"/>
      <w:bookmarkStart w:id="124" w:name="_Toc384728549"/>
      <w:bookmarkStart w:id="125" w:name="_Toc384738932"/>
      <w:bookmarkStart w:id="126" w:name="_Toc384742225"/>
      <w:bookmarkStart w:id="127" w:name="_Toc384747030"/>
      <w:bookmarkStart w:id="128" w:name="_Toc384815666"/>
      <w:bookmarkStart w:id="129" w:name="_Toc384820114"/>
      <w:bookmarkStart w:id="130" w:name="_Toc384894486"/>
      <w:bookmarkStart w:id="131" w:name="_Toc384895080"/>
      <w:bookmarkStart w:id="132" w:name="_Toc384895129"/>
      <w:bookmarkStart w:id="133" w:name="_Toc384908834"/>
      <w:bookmarkStart w:id="134" w:name="_Toc384914158"/>
      <w:bookmarkStart w:id="135" w:name="_Toc384914514"/>
      <w:bookmarkStart w:id="136" w:name="_Toc526428728"/>
      <w:bookmarkStart w:id="137" w:name="_Toc384134964"/>
      <w:bookmarkStart w:id="138" w:name="_Toc384135104"/>
      <w:bookmarkStart w:id="139" w:name="_Toc384200098"/>
      <w:bookmarkStart w:id="140" w:name="_Toc384200358"/>
      <w:bookmarkStart w:id="141" w:name="_Toc384205221"/>
      <w:bookmarkStart w:id="142" w:name="_Toc384205495"/>
      <w:bookmarkStart w:id="143" w:name="_Toc384212583"/>
      <w:bookmarkStart w:id="144" w:name="_Toc384226443"/>
      <w:bookmarkStart w:id="145" w:name="_Toc384289091"/>
      <w:bookmarkStart w:id="146" w:name="_Toc384820115"/>
      <w:bookmarkStart w:id="147" w:name="_Toc533053019"/>
      <w:bookmarkEnd w:id="28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E51727">
        <w:rPr>
          <w:lang w:val="it-CH"/>
        </w:rPr>
        <w:t>SAC e ponderazione degli interessi</w:t>
      </w:r>
      <w:bookmarkEnd w:id="136"/>
      <w:bookmarkEnd w:id="147"/>
    </w:p>
    <w:p w14:paraId="085028AE" w14:textId="06DE7BA1" w:rsidR="00E7779B" w:rsidRPr="00E51727" w:rsidRDefault="00E7779B" w:rsidP="00E7779B">
      <w:pPr>
        <w:rPr>
          <w:lang w:val="it-CH"/>
        </w:rPr>
      </w:pPr>
      <w:bookmarkStart w:id="148" w:name="_Toc526428729"/>
      <w:r w:rsidRPr="00E51727">
        <w:rPr>
          <w:lang w:val="it-CH"/>
        </w:rPr>
        <w:t xml:space="preserve">La legislazione, </w:t>
      </w:r>
      <w:r w:rsidR="00195E03" w:rsidRPr="00E51727">
        <w:rPr>
          <w:lang w:val="it-CH"/>
        </w:rPr>
        <w:t>sostanzialmente</w:t>
      </w:r>
      <w:r w:rsidRPr="00E51727">
        <w:rPr>
          <w:lang w:val="it-CH"/>
        </w:rPr>
        <w:t xml:space="preserve">, accorda alla protezione delle SAC un’importanza maggiore rispetto a quella </w:t>
      </w:r>
      <w:r w:rsidR="00642DB0" w:rsidRPr="00E51727">
        <w:rPr>
          <w:lang w:val="it-CH"/>
        </w:rPr>
        <w:t xml:space="preserve">accordata alla tutela </w:t>
      </w:r>
      <w:r w:rsidRPr="00E51727">
        <w:rPr>
          <w:lang w:val="it-CH"/>
        </w:rPr>
        <w:t>di altr</w:t>
      </w:r>
      <w:r w:rsidR="00531053">
        <w:rPr>
          <w:lang w:val="it-CH"/>
        </w:rPr>
        <w:t>e superfici coltive</w:t>
      </w:r>
      <w:r w:rsidRPr="00E51727">
        <w:rPr>
          <w:lang w:val="it-CH"/>
        </w:rPr>
        <w:t>. Le SAC, tuttavia, non sono protette in modo assoluto: sussistono</w:t>
      </w:r>
      <w:r w:rsidR="00503C92" w:rsidRPr="00E51727">
        <w:rPr>
          <w:lang w:val="it-CH"/>
        </w:rPr>
        <w:t xml:space="preserve"> infatti </w:t>
      </w:r>
      <w:r w:rsidRPr="00E51727">
        <w:rPr>
          <w:lang w:val="it-CH"/>
        </w:rPr>
        <w:t xml:space="preserve">margini </w:t>
      </w:r>
      <w:r w:rsidR="00D04F1F" w:rsidRPr="00E51727">
        <w:rPr>
          <w:lang w:val="it-CH"/>
        </w:rPr>
        <w:t>d’azione</w:t>
      </w:r>
      <w:r w:rsidRPr="00E51727">
        <w:rPr>
          <w:lang w:val="it-CH"/>
        </w:rPr>
        <w:t xml:space="preserve"> che devono essere </w:t>
      </w:r>
      <w:r w:rsidR="00CE6A69" w:rsidRPr="00E51727">
        <w:rPr>
          <w:lang w:val="it-CH"/>
        </w:rPr>
        <w:t>esaminati</w:t>
      </w:r>
      <w:r w:rsidRPr="00E51727">
        <w:rPr>
          <w:lang w:val="it-CH"/>
        </w:rPr>
        <w:t xml:space="preserve"> nel </w:t>
      </w:r>
      <w:r w:rsidR="00CE6A69" w:rsidRPr="00E51727">
        <w:rPr>
          <w:lang w:val="it-CH"/>
        </w:rPr>
        <w:t>quadro</w:t>
      </w:r>
      <w:r w:rsidRPr="00E51727">
        <w:rPr>
          <w:lang w:val="it-CH"/>
        </w:rPr>
        <w:t xml:space="preserve"> di una ponderazione degli interessi</w:t>
      </w:r>
      <w:r w:rsidR="00E74D31" w:rsidRPr="00214F27">
        <w:rPr>
          <w:lang w:val="it-CH"/>
        </w:rPr>
        <w:t>,</w:t>
      </w:r>
      <w:r w:rsidR="00E74D31" w:rsidRPr="00214F27">
        <w:rPr>
          <w:rFonts w:eastAsia="Arial" w:cs="Arial"/>
          <w:lang w:val="it-CH"/>
        </w:rPr>
        <w:t xml:space="preserve"> sia per i progetti cantonali che per quelli federali</w:t>
      </w:r>
      <w:r w:rsidRPr="00214F27">
        <w:rPr>
          <w:lang w:val="it-CH"/>
        </w:rPr>
        <w:t xml:space="preserve">. </w:t>
      </w:r>
      <w:r w:rsidR="00CE6A69" w:rsidRPr="00214F27">
        <w:rPr>
          <w:lang w:val="it-CH"/>
        </w:rPr>
        <w:t>La realizzazione</w:t>
      </w:r>
      <w:r w:rsidR="00CE6A69" w:rsidRPr="00E51727">
        <w:rPr>
          <w:lang w:val="it-CH"/>
        </w:rPr>
        <w:t xml:space="preserve"> di </w:t>
      </w:r>
      <w:r w:rsidR="00EC0C70" w:rsidRPr="00E51727">
        <w:rPr>
          <w:lang w:val="it-CH"/>
        </w:rPr>
        <w:t xml:space="preserve">una </w:t>
      </w:r>
      <w:r w:rsidR="00CE6A69" w:rsidRPr="00E51727">
        <w:rPr>
          <w:lang w:val="it-CH"/>
        </w:rPr>
        <w:t>ponderazion</w:t>
      </w:r>
      <w:r w:rsidR="00EC0C70" w:rsidRPr="00E51727">
        <w:rPr>
          <w:lang w:val="it-CH"/>
        </w:rPr>
        <w:t>e</w:t>
      </w:r>
      <w:r w:rsidR="00CE6A69" w:rsidRPr="00E51727">
        <w:rPr>
          <w:lang w:val="it-CH"/>
        </w:rPr>
        <w:t xml:space="preserve"> degli interessi esaustiv</w:t>
      </w:r>
      <w:r w:rsidR="00EC0C70" w:rsidRPr="00E51727">
        <w:rPr>
          <w:lang w:val="it-CH"/>
        </w:rPr>
        <w:t>a</w:t>
      </w:r>
      <w:r w:rsidR="00CE6A69" w:rsidRPr="00E51727">
        <w:rPr>
          <w:lang w:val="it-CH"/>
        </w:rPr>
        <w:t xml:space="preserve"> e trasparent</w:t>
      </w:r>
      <w:r w:rsidR="00EC0C70" w:rsidRPr="00E51727">
        <w:rPr>
          <w:lang w:val="it-CH"/>
        </w:rPr>
        <w:t>e</w:t>
      </w:r>
      <w:r w:rsidR="00CE6A69" w:rsidRPr="00E51727">
        <w:rPr>
          <w:lang w:val="it-CH"/>
        </w:rPr>
        <w:t xml:space="preserve"> ai sensi dell’art</w:t>
      </w:r>
      <w:r w:rsidR="00A631A1" w:rsidRPr="00E51727">
        <w:rPr>
          <w:lang w:val="it-CH"/>
        </w:rPr>
        <w:t>icolo</w:t>
      </w:r>
      <w:r w:rsidR="00CE6A69" w:rsidRPr="00E51727">
        <w:rPr>
          <w:lang w:val="it-CH"/>
        </w:rPr>
        <w:t xml:space="preserve"> 3 OPT, pertanto, è essenziale per la </w:t>
      </w:r>
      <w:r w:rsidRPr="00E51727">
        <w:rPr>
          <w:lang w:val="it-CH"/>
        </w:rPr>
        <w:t xml:space="preserve">garanzia delle SAC. Essa va </w:t>
      </w:r>
      <w:r w:rsidR="00590705" w:rsidRPr="00E51727">
        <w:rPr>
          <w:lang w:val="it-CH"/>
        </w:rPr>
        <w:t>eseguita</w:t>
      </w:r>
      <w:r w:rsidRPr="00E51727">
        <w:rPr>
          <w:lang w:val="it-CH"/>
        </w:rPr>
        <w:t xml:space="preserve"> per </w:t>
      </w:r>
      <w:r w:rsidR="00590705" w:rsidRPr="00E51727">
        <w:rPr>
          <w:lang w:val="it-CH"/>
        </w:rPr>
        <w:t xml:space="preserve">elaborare </w:t>
      </w:r>
      <w:r w:rsidR="00EC0C70" w:rsidRPr="00E51727">
        <w:rPr>
          <w:lang w:val="it-CH"/>
        </w:rPr>
        <w:t>delle decisioni a</w:t>
      </w:r>
      <w:r w:rsidRPr="00E51727">
        <w:rPr>
          <w:lang w:val="it-CH"/>
        </w:rPr>
        <w:t xml:space="preserve"> tutt</w:t>
      </w:r>
      <w:r w:rsidR="00A6565F" w:rsidRPr="00E51727">
        <w:rPr>
          <w:lang w:val="it-CH"/>
        </w:rPr>
        <w:t xml:space="preserve">e le fasi e a tutti i livelli di </w:t>
      </w:r>
      <w:r w:rsidRPr="00E51727">
        <w:rPr>
          <w:lang w:val="it-CH"/>
        </w:rPr>
        <w:t xml:space="preserve">pianificazione. L’interesse della Confederazione </w:t>
      </w:r>
      <w:r w:rsidR="00A6565F" w:rsidRPr="00E51727">
        <w:rPr>
          <w:lang w:val="it-CH"/>
        </w:rPr>
        <w:t>riguardo alla</w:t>
      </w:r>
      <w:r w:rsidRPr="00E51727">
        <w:rPr>
          <w:lang w:val="it-CH"/>
        </w:rPr>
        <w:t xml:space="preserve"> garanzia delle SAC si esprime </w:t>
      </w:r>
      <w:r w:rsidR="00A6565F" w:rsidRPr="00E51727">
        <w:rPr>
          <w:lang w:val="it-CH"/>
        </w:rPr>
        <w:t>in particolare</w:t>
      </w:r>
      <w:r w:rsidRPr="00E51727">
        <w:rPr>
          <w:lang w:val="it-CH"/>
        </w:rPr>
        <w:t xml:space="preserve"> nell’art</w:t>
      </w:r>
      <w:r w:rsidR="00A631A1" w:rsidRPr="00E51727">
        <w:rPr>
          <w:lang w:val="it-CH"/>
        </w:rPr>
        <w:t>icolo</w:t>
      </w:r>
      <w:r w:rsidRPr="00E51727">
        <w:rPr>
          <w:lang w:val="it-CH"/>
        </w:rPr>
        <w:t xml:space="preserve"> 3 </w:t>
      </w:r>
      <w:r w:rsidR="00590705" w:rsidRPr="00E51727">
        <w:rPr>
          <w:lang w:val="it-CH"/>
        </w:rPr>
        <w:t>capoverso</w:t>
      </w:r>
      <w:r w:rsidRPr="00E51727">
        <w:rPr>
          <w:lang w:val="it-CH"/>
        </w:rPr>
        <w:t xml:space="preserve"> 2 lett</w:t>
      </w:r>
      <w:r w:rsidR="00590705" w:rsidRPr="00E51727">
        <w:rPr>
          <w:lang w:val="it-CH"/>
        </w:rPr>
        <w:t>era</w:t>
      </w:r>
      <w:r w:rsidRPr="00E51727">
        <w:rPr>
          <w:lang w:val="it-CH"/>
        </w:rPr>
        <w:t xml:space="preserve"> a LPT, negli art</w:t>
      </w:r>
      <w:r w:rsidR="00A631A1" w:rsidRPr="00E51727">
        <w:rPr>
          <w:lang w:val="it-CH"/>
        </w:rPr>
        <w:t>icoli</w:t>
      </w:r>
      <w:r w:rsidRPr="00E51727">
        <w:rPr>
          <w:lang w:val="it-CH"/>
        </w:rPr>
        <w:t xml:space="preserve"> 26 </w:t>
      </w:r>
      <w:r w:rsidR="00590705" w:rsidRPr="00E51727">
        <w:rPr>
          <w:lang w:val="it-CH"/>
        </w:rPr>
        <w:t xml:space="preserve">e </w:t>
      </w:r>
      <w:r w:rsidRPr="00E51727">
        <w:rPr>
          <w:lang w:val="it-CH"/>
        </w:rPr>
        <w:t>segg. OPT e nell’art</w:t>
      </w:r>
      <w:r w:rsidR="00A631A1" w:rsidRPr="00E51727">
        <w:rPr>
          <w:lang w:val="it-CH"/>
        </w:rPr>
        <w:t xml:space="preserve">icolo </w:t>
      </w:r>
      <w:r w:rsidRPr="00E51727">
        <w:rPr>
          <w:lang w:val="it-CH"/>
        </w:rPr>
        <w:t xml:space="preserve">30 </w:t>
      </w:r>
      <w:r w:rsidR="00214F27">
        <w:rPr>
          <w:lang w:val="it-CH"/>
        </w:rPr>
        <w:t>LAP</w:t>
      </w:r>
      <w:r w:rsidRPr="00E51727">
        <w:rPr>
          <w:lang w:val="it-CH"/>
        </w:rPr>
        <w:t xml:space="preserve">. </w:t>
      </w:r>
    </w:p>
    <w:p w14:paraId="06355D60" w14:textId="5759D027" w:rsidR="00E7779B" w:rsidRPr="00E51727" w:rsidRDefault="00A6565F" w:rsidP="00E7779B">
      <w:pPr>
        <w:rPr>
          <w:rFonts w:eastAsiaTheme="minorEastAsia"/>
          <w:u w:val="single"/>
          <w:lang w:val="it-CH" w:eastAsia="en-US"/>
        </w:rPr>
      </w:pPr>
      <w:r w:rsidRPr="00E51727">
        <w:rPr>
          <w:rFonts w:eastAsiaTheme="minorEastAsia"/>
          <w:lang w:val="it-CH" w:eastAsia="en-US"/>
        </w:rPr>
        <w:t>Innanzitutto,</w:t>
      </w:r>
      <w:r w:rsidR="00EE6B8C" w:rsidRPr="00E51727">
        <w:rPr>
          <w:rFonts w:eastAsiaTheme="minorEastAsia"/>
          <w:lang w:val="it-CH" w:eastAsia="en-US"/>
        </w:rPr>
        <w:t xml:space="preserve"> in ambito di </w:t>
      </w:r>
      <w:r w:rsidR="00E74D31">
        <w:rPr>
          <w:rFonts w:eastAsiaTheme="minorEastAsia"/>
          <w:lang w:val="it-CH" w:eastAsia="en-US"/>
        </w:rPr>
        <w:t>azzonamento</w:t>
      </w:r>
      <w:r w:rsidR="00EE6B8C" w:rsidRPr="00E51727">
        <w:rPr>
          <w:rFonts w:eastAsiaTheme="minorEastAsia"/>
          <w:lang w:val="it-CH" w:eastAsia="en-US"/>
        </w:rPr>
        <w:t xml:space="preserve"> di SAC </w:t>
      </w:r>
      <w:r w:rsidR="00CF386F">
        <w:rPr>
          <w:rFonts w:eastAsiaTheme="minorEastAsia"/>
          <w:lang w:val="it-CH" w:eastAsia="en-US"/>
        </w:rPr>
        <w:t>vi sono</w:t>
      </w:r>
      <w:r w:rsidR="00EE6B8C" w:rsidRPr="00E51727">
        <w:rPr>
          <w:rFonts w:eastAsiaTheme="minorEastAsia"/>
          <w:lang w:val="it-CH" w:eastAsia="en-US"/>
        </w:rPr>
        <w:t xml:space="preserve"> </w:t>
      </w:r>
      <w:r w:rsidRPr="00E51727">
        <w:rPr>
          <w:rFonts w:eastAsiaTheme="minorEastAsia"/>
          <w:lang w:val="it-CH" w:eastAsia="en-US"/>
        </w:rPr>
        <w:t xml:space="preserve">esigenze di diritto positivo </w:t>
      </w:r>
      <w:r w:rsidR="00EE6B8C" w:rsidRPr="00E51727">
        <w:rPr>
          <w:rFonts w:eastAsiaTheme="minorEastAsia"/>
          <w:lang w:val="it-CH" w:eastAsia="en-US"/>
        </w:rPr>
        <w:t xml:space="preserve">che hanno un impatto sia diretto </w:t>
      </w:r>
      <w:r w:rsidR="00E7779B" w:rsidRPr="00E51727">
        <w:rPr>
          <w:rFonts w:eastAsiaTheme="minorEastAsia"/>
          <w:lang w:val="it-CH" w:eastAsia="en-US"/>
        </w:rPr>
        <w:t>(art. 30 cpv. 1</w:t>
      </w:r>
      <w:r w:rsidR="00E7779B" w:rsidRPr="00E51727">
        <w:rPr>
          <w:rFonts w:eastAsiaTheme="minorEastAsia"/>
          <w:vertAlign w:val="superscript"/>
          <w:lang w:val="it-CH" w:eastAsia="en-US"/>
        </w:rPr>
        <w:t>bis</w:t>
      </w:r>
      <w:r w:rsidR="00E7779B" w:rsidRPr="00E51727">
        <w:rPr>
          <w:rFonts w:eastAsiaTheme="minorEastAsia"/>
          <w:sz w:val="14"/>
          <w:szCs w:val="14"/>
          <w:lang w:val="it-CH" w:eastAsia="en-US"/>
        </w:rPr>
        <w:t xml:space="preserve"> </w:t>
      </w:r>
      <w:r w:rsidR="00E7779B" w:rsidRPr="00E51727">
        <w:rPr>
          <w:rFonts w:eastAsiaTheme="minorEastAsia"/>
          <w:lang w:val="it-CH" w:eastAsia="en-US"/>
        </w:rPr>
        <w:t>OPT)</w:t>
      </w:r>
      <w:r w:rsidR="00CF386F">
        <w:rPr>
          <w:rFonts w:eastAsiaTheme="minorEastAsia"/>
          <w:lang w:val="it-CH" w:eastAsia="en-US"/>
        </w:rPr>
        <w:t xml:space="preserve"> che</w:t>
      </w:r>
      <w:r w:rsidR="00E7779B" w:rsidRPr="00E51727">
        <w:rPr>
          <w:rFonts w:eastAsiaTheme="minorEastAsia"/>
          <w:lang w:val="it-CH" w:eastAsia="en-US"/>
        </w:rPr>
        <w:t xml:space="preserve"> indirett</w:t>
      </w:r>
      <w:r w:rsidR="00EE6B8C" w:rsidRPr="00E51727">
        <w:rPr>
          <w:rFonts w:eastAsiaTheme="minorEastAsia"/>
          <w:lang w:val="it-CH" w:eastAsia="en-US"/>
        </w:rPr>
        <w:t xml:space="preserve">o </w:t>
      </w:r>
      <w:r w:rsidR="00E7779B" w:rsidRPr="00E51727">
        <w:rPr>
          <w:rFonts w:eastAsiaTheme="minorEastAsia"/>
          <w:lang w:val="it-CH" w:eastAsia="en-US"/>
        </w:rPr>
        <w:t xml:space="preserve">(art. 15 cpv. 4 LPT). </w:t>
      </w:r>
      <w:r w:rsidR="00E74D31">
        <w:rPr>
          <w:rFonts w:eastAsiaTheme="minorEastAsia"/>
          <w:lang w:val="it-CH" w:eastAsia="en-US"/>
        </w:rPr>
        <w:t xml:space="preserve">Un’altra esigenza di diritto positivo, che non vale solo per gli azzonamenti, è </w:t>
      </w:r>
      <w:r w:rsidR="00E7779B" w:rsidRPr="00E51727">
        <w:rPr>
          <w:rFonts w:eastAsiaTheme="minorEastAsia"/>
          <w:lang w:val="it-CH" w:eastAsia="en-US"/>
        </w:rPr>
        <w:t xml:space="preserve">la garanzia del contingente cantonale (art. 30 cpv. 2 OPT). Se </w:t>
      </w:r>
      <w:r w:rsidR="00E74D31">
        <w:rPr>
          <w:rFonts w:eastAsiaTheme="minorEastAsia"/>
          <w:lang w:val="it-CH" w:eastAsia="en-US"/>
        </w:rPr>
        <w:t>le</w:t>
      </w:r>
      <w:r w:rsidR="00E7779B" w:rsidRPr="00E51727">
        <w:rPr>
          <w:rFonts w:eastAsiaTheme="minorEastAsia"/>
          <w:lang w:val="it-CH" w:eastAsia="en-US"/>
        </w:rPr>
        <w:t xml:space="preserve"> </w:t>
      </w:r>
      <w:r w:rsidR="00EE6B8C" w:rsidRPr="00E51727">
        <w:rPr>
          <w:rFonts w:eastAsiaTheme="minorEastAsia"/>
          <w:lang w:val="it-CH" w:eastAsia="en-US"/>
        </w:rPr>
        <w:t xml:space="preserve">esigenze </w:t>
      </w:r>
      <w:r w:rsidR="00E74D31">
        <w:rPr>
          <w:rFonts w:eastAsiaTheme="minorEastAsia"/>
          <w:lang w:val="it-CH" w:eastAsia="en-US"/>
        </w:rPr>
        <w:t xml:space="preserve">di diritto positivo </w:t>
      </w:r>
      <w:r w:rsidR="00E7779B" w:rsidRPr="00E51727">
        <w:rPr>
          <w:rFonts w:eastAsiaTheme="minorEastAsia"/>
          <w:lang w:val="it-CH" w:eastAsia="en-US"/>
        </w:rPr>
        <w:t>non vengono soddisfatt</w:t>
      </w:r>
      <w:r w:rsidR="00EE6B8C" w:rsidRPr="00E51727">
        <w:rPr>
          <w:rFonts w:eastAsiaTheme="minorEastAsia"/>
          <w:lang w:val="it-CH" w:eastAsia="en-US"/>
        </w:rPr>
        <w:t>e</w:t>
      </w:r>
      <w:r w:rsidR="00E7779B" w:rsidRPr="00E51727">
        <w:rPr>
          <w:rFonts w:eastAsiaTheme="minorEastAsia"/>
          <w:lang w:val="it-CH" w:eastAsia="en-US"/>
        </w:rPr>
        <w:t xml:space="preserve">, </w:t>
      </w:r>
      <w:r w:rsidR="00EE6B8C" w:rsidRPr="00E51727">
        <w:rPr>
          <w:rFonts w:eastAsiaTheme="minorEastAsia"/>
          <w:lang w:val="it-CH"/>
        </w:rPr>
        <w:t xml:space="preserve">il </w:t>
      </w:r>
      <w:r w:rsidR="00EE6B8C" w:rsidRPr="002860AE">
        <w:rPr>
          <w:rFonts w:eastAsiaTheme="minorEastAsia"/>
          <w:lang w:val="it-CH"/>
        </w:rPr>
        <w:t>consumo di SAC non è ammesso</w:t>
      </w:r>
      <w:r w:rsidR="00E7779B" w:rsidRPr="002860AE">
        <w:rPr>
          <w:rFonts w:eastAsiaTheme="minorEastAsia"/>
          <w:lang w:val="it-CH" w:eastAsia="en-US"/>
        </w:rPr>
        <w:t xml:space="preserve">; </w:t>
      </w:r>
      <w:r w:rsidR="00A97EB0" w:rsidRPr="002860AE">
        <w:rPr>
          <w:rFonts w:eastAsiaTheme="minorEastAsia"/>
          <w:lang w:val="it-CH" w:eastAsia="en-US"/>
        </w:rPr>
        <w:t xml:space="preserve">in questo caso </w:t>
      </w:r>
      <w:r w:rsidR="0095755E" w:rsidRPr="002860AE">
        <w:rPr>
          <w:rFonts w:eastAsiaTheme="minorEastAsia"/>
          <w:lang w:val="it-CH"/>
        </w:rPr>
        <w:t>non si giunge a una ponderazione degli interessi</w:t>
      </w:r>
      <w:r w:rsidR="00214F27" w:rsidRPr="002860AE">
        <w:rPr>
          <w:rFonts w:eastAsiaTheme="minorEastAsia"/>
          <w:lang w:val="it-CH"/>
        </w:rPr>
        <w:t xml:space="preserve">, ma a </w:t>
      </w:r>
      <w:r w:rsidR="00E74D31" w:rsidRPr="002860AE">
        <w:rPr>
          <w:rFonts w:eastAsiaTheme="minorEastAsia"/>
          <w:lang w:val="it-CH"/>
        </w:rPr>
        <w:t xml:space="preserve">un consumo </w:t>
      </w:r>
      <w:r w:rsidR="00214F27" w:rsidRPr="002860AE">
        <w:rPr>
          <w:rFonts w:eastAsiaTheme="minorEastAsia"/>
          <w:lang w:val="it-CH"/>
        </w:rPr>
        <w:t xml:space="preserve">che condurrebbe </w:t>
      </w:r>
      <w:r w:rsidR="00A97EB0" w:rsidRPr="002860AE">
        <w:rPr>
          <w:rFonts w:eastAsiaTheme="minorEastAsia"/>
          <w:lang w:val="it-CH"/>
        </w:rPr>
        <w:t xml:space="preserve">il </w:t>
      </w:r>
      <w:r w:rsidR="0036460C" w:rsidRPr="002860AE">
        <w:rPr>
          <w:rFonts w:eastAsiaTheme="minorEastAsia"/>
          <w:lang w:val="it-CH"/>
        </w:rPr>
        <w:t>C</w:t>
      </w:r>
      <w:r w:rsidR="00A97EB0" w:rsidRPr="002860AE">
        <w:rPr>
          <w:rFonts w:eastAsiaTheme="minorEastAsia"/>
          <w:lang w:val="it-CH"/>
        </w:rPr>
        <w:t xml:space="preserve">antone </w:t>
      </w:r>
      <w:r w:rsidR="00214F27" w:rsidRPr="002860AE">
        <w:rPr>
          <w:rFonts w:eastAsiaTheme="minorEastAsia"/>
          <w:lang w:val="it-CH"/>
        </w:rPr>
        <w:t xml:space="preserve">a scendere </w:t>
      </w:r>
      <w:r w:rsidR="00A97EB0" w:rsidRPr="002860AE">
        <w:rPr>
          <w:rFonts w:eastAsiaTheme="minorEastAsia"/>
          <w:lang w:val="it-CH"/>
        </w:rPr>
        <w:t>al di sotto del proprio contingente,</w:t>
      </w:r>
      <w:r w:rsidR="0036460C" w:rsidRPr="002860AE">
        <w:rPr>
          <w:rFonts w:eastAsiaTheme="minorEastAsia"/>
          <w:lang w:val="it-CH"/>
        </w:rPr>
        <w:t xml:space="preserve"> e</w:t>
      </w:r>
      <w:r w:rsidR="00A97EB0" w:rsidRPr="002860AE">
        <w:rPr>
          <w:rFonts w:eastAsiaTheme="minorEastAsia"/>
          <w:lang w:val="it-CH"/>
        </w:rPr>
        <w:t xml:space="preserve"> </w:t>
      </w:r>
      <w:r w:rsidR="002860AE" w:rsidRPr="002860AE">
        <w:rPr>
          <w:rFonts w:eastAsiaTheme="minorEastAsia"/>
          <w:lang w:val="it-CH"/>
        </w:rPr>
        <w:t xml:space="preserve">che dovrebbe essere </w:t>
      </w:r>
      <w:r w:rsidR="00A97EB0" w:rsidRPr="002860AE">
        <w:rPr>
          <w:rFonts w:eastAsiaTheme="minorEastAsia"/>
          <w:lang w:val="it-CH"/>
        </w:rPr>
        <w:t xml:space="preserve">obbligatoriamente </w:t>
      </w:r>
      <w:r w:rsidR="002860AE" w:rsidRPr="002860AE">
        <w:rPr>
          <w:rFonts w:eastAsiaTheme="minorEastAsia"/>
          <w:lang w:val="it-CH"/>
        </w:rPr>
        <w:t xml:space="preserve">compensato </w:t>
      </w:r>
      <w:r w:rsidR="00A97EB0" w:rsidRPr="002860AE">
        <w:rPr>
          <w:rFonts w:eastAsiaTheme="minorEastAsia"/>
          <w:lang w:val="it-CH"/>
        </w:rPr>
        <w:t>(cfr.</w:t>
      </w:r>
      <w:r w:rsidR="00381CBA">
        <w:rPr>
          <w:rFonts w:eastAsiaTheme="minorEastAsia"/>
          <w:lang w:val="it-CH"/>
        </w:rPr>
        <w:t xml:space="preserve"> </w:t>
      </w:r>
      <w:r w:rsidR="00381CBA">
        <w:rPr>
          <w:rFonts w:eastAsiaTheme="minorEastAsia"/>
        </w:rPr>
        <w:fldChar w:fldCharType="begin"/>
      </w:r>
      <w:r w:rsidR="00381CBA">
        <w:rPr>
          <w:rFonts w:eastAsiaTheme="minorEastAsia"/>
          <w:lang w:val="it-CH"/>
        </w:rPr>
        <w:instrText xml:space="preserve"> REF _Ref532981555 \r \h </w:instrText>
      </w:r>
      <w:r w:rsidR="00381CBA">
        <w:rPr>
          <w:rFonts w:eastAsiaTheme="minorEastAsia"/>
        </w:rPr>
      </w:r>
      <w:r w:rsidR="00381CBA">
        <w:rPr>
          <w:rFonts w:eastAsiaTheme="minorEastAsia"/>
        </w:rPr>
        <w:fldChar w:fldCharType="separate"/>
      </w:r>
      <w:r w:rsidR="00BD32B4">
        <w:rPr>
          <w:rFonts w:eastAsiaTheme="minorEastAsia"/>
          <w:lang w:val="it-CH"/>
        </w:rPr>
        <w:t>P2</w:t>
      </w:r>
      <w:r w:rsidR="00381CBA">
        <w:rPr>
          <w:rFonts w:eastAsiaTheme="minorEastAsia"/>
        </w:rPr>
        <w:fldChar w:fldCharType="end"/>
      </w:r>
      <w:r w:rsidR="00A97EB0" w:rsidRPr="002860AE">
        <w:rPr>
          <w:rFonts w:eastAsiaTheme="minorEastAsia"/>
          <w:lang w:val="it-CH"/>
        </w:rPr>
        <w:t>)</w:t>
      </w:r>
      <w:r w:rsidR="0095755E" w:rsidRPr="002860AE">
        <w:rPr>
          <w:rFonts w:eastAsiaTheme="minorEastAsia"/>
          <w:lang w:val="it-CH"/>
        </w:rPr>
        <w:t xml:space="preserve">. </w:t>
      </w:r>
      <w:r w:rsidR="0095755E" w:rsidRPr="002860AE">
        <w:rPr>
          <w:rFonts w:eastAsiaTheme="minorEastAsia"/>
          <w:lang w:val="it-CH" w:eastAsia="en-US"/>
        </w:rPr>
        <w:t xml:space="preserve">Se </w:t>
      </w:r>
      <w:r w:rsidR="002860AE" w:rsidRPr="002860AE">
        <w:rPr>
          <w:rFonts w:eastAsiaTheme="minorEastAsia"/>
          <w:lang w:val="it-CH" w:eastAsia="en-US"/>
        </w:rPr>
        <w:t>tali esigenze</w:t>
      </w:r>
      <w:r w:rsidR="002860AE">
        <w:rPr>
          <w:rFonts w:eastAsiaTheme="minorEastAsia"/>
          <w:lang w:val="it-CH" w:eastAsia="en-US"/>
        </w:rPr>
        <w:t xml:space="preserve"> di diritto positivo</w:t>
      </w:r>
      <w:r w:rsidR="002860AE" w:rsidRPr="002860AE">
        <w:rPr>
          <w:rFonts w:eastAsiaTheme="minorEastAsia"/>
          <w:lang w:val="it-CH" w:eastAsia="en-US"/>
        </w:rPr>
        <w:t xml:space="preserve"> </w:t>
      </w:r>
      <w:r w:rsidR="0095755E" w:rsidRPr="002860AE">
        <w:rPr>
          <w:rFonts w:eastAsiaTheme="minorEastAsia"/>
          <w:lang w:val="it-CH" w:eastAsia="en-US"/>
        </w:rPr>
        <w:t xml:space="preserve">vengono </w:t>
      </w:r>
      <w:r w:rsidR="002860AE" w:rsidRPr="002860AE">
        <w:rPr>
          <w:rFonts w:eastAsiaTheme="minorEastAsia"/>
          <w:lang w:val="it-CH" w:eastAsia="en-US"/>
        </w:rPr>
        <w:t xml:space="preserve">invece </w:t>
      </w:r>
      <w:r w:rsidR="0095755E" w:rsidRPr="002860AE">
        <w:rPr>
          <w:rFonts w:eastAsiaTheme="minorEastAsia"/>
          <w:lang w:val="it-CH" w:eastAsia="en-US"/>
        </w:rPr>
        <w:t xml:space="preserve">soddisfatte, si giunge a </w:t>
      </w:r>
      <w:r w:rsidR="00E7779B" w:rsidRPr="002860AE">
        <w:rPr>
          <w:rFonts w:eastAsiaTheme="minorEastAsia"/>
          <w:lang w:val="it-CH" w:eastAsia="en-US"/>
        </w:rPr>
        <w:t>una ponderazione</w:t>
      </w:r>
      <w:r w:rsidR="00E7779B" w:rsidRPr="00E51727">
        <w:rPr>
          <w:rFonts w:eastAsiaTheme="minorEastAsia"/>
          <w:lang w:val="it-CH" w:eastAsia="en-US"/>
        </w:rPr>
        <w:t xml:space="preserve"> degli interessi </w:t>
      </w:r>
      <w:r w:rsidR="00342F85" w:rsidRPr="00E51727">
        <w:rPr>
          <w:rFonts w:eastAsiaTheme="minorEastAsia"/>
          <w:lang w:val="it-CH" w:eastAsia="en-US"/>
        </w:rPr>
        <w:t>con</w:t>
      </w:r>
      <w:r w:rsidR="00E7779B" w:rsidRPr="00E51727">
        <w:rPr>
          <w:rFonts w:eastAsiaTheme="minorEastAsia"/>
          <w:lang w:val="it-CH" w:eastAsia="en-US"/>
        </w:rPr>
        <w:t xml:space="preserve"> </w:t>
      </w:r>
      <w:r w:rsidR="00342F85" w:rsidRPr="00E51727">
        <w:rPr>
          <w:rFonts w:eastAsiaTheme="minorEastAsia"/>
          <w:lang w:val="it-CH" w:eastAsia="en-US"/>
        </w:rPr>
        <w:t xml:space="preserve">l’esplicita richiesta di garantire </w:t>
      </w:r>
      <w:r w:rsidR="00E7779B" w:rsidRPr="00E51727">
        <w:rPr>
          <w:rFonts w:eastAsiaTheme="minorEastAsia"/>
          <w:lang w:val="it-CH" w:eastAsia="en-US"/>
        </w:rPr>
        <w:t xml:space="preserve">le SAC. Le SAC </w:t>
      </w:r>
      <w:r w:rsidR="00E7779B" w:rsidRPr="00E51727">
        <w:rPr>
          <w:lang w:val="it-CH"/>
        </w:rPr>
        <w:t xml:space="preserve">possono essere utilizzate </w:t>
      </w:r>
      <w:r w:rsidR="00342F85" w:rsidRPr="00E51727">
        <w:rPr>
          <w:lang w:val="it-CH"/>
        </w:rPr>
        <w:t>soltanto</w:t>
      </w:r>
      <w:r w:rsidR="00E7779B" w:rsidRPr="00E51727">
        <w:rPr>
          <w:lang w:val="it-CH"/>
        </w:rPr>
        <w:t xml:space="preserve"> se ciò è giustificato da interessi</w:t>
      </w:r>
      <w:r w:rsidR="00CF386F">
        <w:rPr>
          <w:lang w:val="it-CH"/>
        </w:rPr>
        <w:t xml:space="preserve"> uguali o superiori</w:t>
      </w:r>
      <w:r w:rsidR="00E7779B" w:rsidRPr="00E51727">
        <w:rPr>
          <w:lang w:val="it-CH"/>
        </w:rPr>
        <w:t xml:space="preserve">. </w:t>
      </w:r>
    </w:p>
    <w:p w14:paraId="484BEE43" w14:textId="1594CBA4" w:rsidR="00E7779B" w:rsidRPr="00E51727" w:rsidRDefault="00E7779B" w:rsidP="00E7779B">
      <w:pPr>
        <w:rPr>
          <w:lang w:val="it-CH"/>
        </w:rPr>
      </w:pPr>
      <w:r w:rsidRPr="002860AE">
        <w:rPr>
          <w:lang w:val="it-CH"/>
        </w:rPr>
        <w:t>L’art</w:t>
      </w:r>
      <w:r w:rsidR="00A631A1" w:rsidRPr="002860AE">
        <w:rPr>
          <w:lang w:val="it-CH"/>
        </w:rPr>
        <w:t>icolo</w:t>
      </w:r>
      <w:r w:rsidRPr="002860AE">
        <w:rPr>
          <w:lang w:val="it-CH"/>
        </w:rPr>
        <w:t xml:space="preserve"> 2 OPT </w:t>
      </w:r>
      <w:r w:rsidR="0036460C" w:rsidRPr="002860AE">
        <w:rPr>
          <w:lang w:val="it-CH"/>
        </w:rPr>
        <w:t xml:space="preserve">precisa ciò che occorre tenere in considerazione </w:t>
      </w:r>
      <w:r w:rsidRPr="002860AE">
        <w:rPr>
          <w:lang w:val="it-CH"/>
        </w:rPr>
        <w:t>nell’ambito di una ponderazione degli interessi; l’art</w:t>
      </w:r>
      <w:r w:rsidR="00A631A1" w:rsidRPr="002860AE">
        <w:rPr>
          <w:lang w:val="it-CH"/>
        </w:rPr>
        <w:t>icolo</w:t>
      </w:r>
      <w:r w:rsidRPr="002860AE">
        <w:rPr>
          <w:lang w:val="it-CH"/>
        </w:rPr>
        <w:t xml:space="preserve"> 3 OPT</w:t>
      </w:r>
      <w:r w:rsidRPr="00E51727">
        <w:rPr>
          <w:lang w:val="it-CH"/>
        </w:rPr>
        <w:t xml:space="preserve"> stabilisce, in tale contesto, </w:t>
      </w:r>
      <w:r w:rsidR="00A9715E" w:rsidRPr="00E51727">
        <w:rPr>
          <w:lang w:val="it-CH"/>
        </w:rPr>
        <w:t>il modo di procedere generale</w:t>
      </w:r>
      <w:r w:rsidRPr="00E51727">
        <w:rPr>
          <w:lang w:val="it-CH"/>
        </w:rPr>
        <w:t xml:space="preserve">. </w:t>
      </w:r>
      <w:r w:rsidR="00A9715E" w:rsidRPr="00E51727">
        <w:rPr>
          <w:lang w:val="it-CH"/>
        </w:rPr>
        <w:t xml:space="preserve">In linea di massima, </w:t>
      </w:r>
      <w:r w:rsidRPr="00E51727">
        <w:rPr>
          <w:lang w:val="it-CH"/>
        </w:rPr>
        <w:t xml:space="preserve">una ponderazione degli interessi va avviata </w:t>
      </w:r>
      <w:r w:rsidR="00A9715E" w:rsidRPr="00E51727">
        <w:rPr>
          <w:lang w:val="it-CH"/>
        </w:rPr>
        <w:t xml:space="preserve">quanto prima </w:t>
      </w:r>
      <w:r w:rsidRPr="00E51727">
        <w:rPr>
          <w:lang w:val="it-CH"/>
        </w:rPr>
        <w:t>e dotata di un ampio orizzonte</w:t>
      </w:r>
      <w:r w:rsidR="00CF386F">
        <w:rPr>
          <w:lang w:val="it-CH"/>
        </w:rPr>
        <w:t xml:space="preserve"> temporale</w:t>
      </w:r>
      <w:r w:rsidRPr="00E51727">
        <w:rPr>
          <w:lang w:val="it-CH"/>
        </w:rPr>
        <w:t xml:space="preserve">. Nell’ambito di una ponderazione degli interessi vanno considerati tutti </w:t>
      </w:r>
      <w:r w:rsidR="00A9715E" w:rsidRPr="00E51727">
        <w:rPr>
          <w:lang w:val="it-CH"/>
        </w:rPr>
        <w:t xml:space="preserve">gli interessi giuridicamente riconosciuti </w:t>
      </w:r>
      <w:r w:rsidRPr="00E51727">
        <w:rPr>
          <w:rFonts w:eastAsia="Arial"/>
          <w:lang w:val="it-CH"/>
        </w:rPr>
        <w:t xml:space="preserve">e </w:t>
      </w:r>
      <w:r w:rsidR="00F80F42" w:rsidRPr="00E51727">
        <w:rPr>
          <w:rFonts w:eastAsia="Arial"/>
          <w:lang w:val="it-CH"/>
        </w:rPr>
        <w:t xml:space="preserve">gli interessi rilevanti tenendo conto della situazione, </w:t>
      </w:r>
      <w:r w:rsidRPr="00E51727">
        <w:rPr>
          <w:rFonts w:eastAsia="Arial"/>
          <w:lang w:val="it-CH"/>
        </w:rPr>
        <w:t xml:space="preserve">in particolare le </w:t>
      </w:r>
      <w:r w:rsidR="00F80F42" w:rsidRPr="00E51727">
        <w:rPr>
          <w:rFonts w:eastAsia="Arial"/>
          <w:lang w:val="it-CH"/>
        </w:rPr>
        <w:t xml:space="preserve">prescrizioni del diritto </w:t>
      </w:r>
      <w:proofErr w:type="spellStart"/>
      <w:r w:rsidR="00F80F42" w:rsidRPr="00E51727">
        <w:rPr>
          <w:rFonts w:eastAsia="Arial"/>
          <w:lang w:val="it-CH"/>
        </w:rPr>
        <w:t>pianificatorio</w:t>
      </w:r>
      <w:proofErr w:type="spellEnd"/>
      <w:r w:rsidR="00F80F42" w:rsidRPr="00E51727">
        <w:rPr>
          <w:rFonts w:eastAsia="Arial"/>
          <w:lang w:val="it-CH"/>
        </w:rPr>
        <w:t xml:space="preserve"> e le </w:t>
      </w:r>
      <w:r w:rsidRPr="00E51727">
        <w:rPr>
          <w:rFonts w:eastAsia="Arial"/>
          <w:lang w:val="it-CH"/>
        </w:rPr>
        <w:t xml:space="preserve">rispettive leggi speciali. La ponderazione degli interessi </w:t>
      </w:r>
      <w:r w:rsidR="005A110C" w:rsidRPr="00E51727">
        <w:rPr>
          <w:rFonts w:eastAsia="Arial"/>
          <w:lang w:val="it-CH"/>
        </w:rPr>
        <w:t xml:space="preserve">eseguita </w:t>
      </w:r>
      <w:r w:rsidRPr="00E51727">
        <w:rPr>
          <w:rFonts w:eastAsia="Arial"/>
          <w:lang w:val="it-CH"/>
        </w:rPr>
        <w:t xml:space="preserve">deve essere documentata </w:t>
      </w:r>
      <w:r w:rsidR="00F80F42" w:rsidRPr="00E51727">
        <w:rPr>
          <w:rFonts w:eastAsia="Arial"/>
          <w:lang w:val="it-CH"/>
        </w:rPr>
        <w:t xml:space="preserve">adeguatamente </w:t>
      </w:r>
      <w:proofErr w:type="gramStart"/>
      <w:r w:rsidRPr="00E51727">
        <w:rPr>
          <w:rFonts w:eastAsia="Arial"/>
          <w:lang w:val="it-CH"/>
        </w:rPr>
        <w:t>e</w:t>
      </w:r>
      <w:proofErr w:type="gramEnd"/>
      <w:r w:rsidRPr="00E51727">
        <w:rPr>
          <w:rFonts w:eastAsia="Arial"/>
          <w:lang w:val="it-CH"/>
        </w:rPr>
        <w:t xml:space="preserve"> in </w:t>
      </w:r>
      <w:r w:rsidR="00787C01" w:rsidRPr="00E51727">
        <w:rPr>
          <w:rFonts w:eastAsia="Arial"/>
          <w:lang w:val="it-CH"/>
        </w:rPr>
        <w:t xml:space="preserve">maniera comprensibile, mentre </w:t>
      </w:r>
      <w:r w:rsidR="005A110C" w:rsidRPr="00E51727">
        <w:rPr>
          <w:rFonts w:eastAsia="Arial"/>
          <w:lang w:val="it-CH"/>
        </w:rPr>
        <w:t xml:space="preserve">i </w:t>
      </w:r>
      <w:r w:rsidR="00787C01" w:rsidRPr="00E51727">
        <w:rPr>
          <w:rFonts w:eastAsia="Arial"/>
          <w:lang w:val="it-CH"/>
        </w:rPr>
        <w:t xml:space="preserve">passi compiuti vanno </w:t>
      </w:r>
      <w:r w:rsidRPr="00E51727">
        <w:rPr>
          <w:rFonts w:eastAsia="Arial"/>
          <w:lang w:val="it-CH"/>
        </w:rPr>
        <w:t>illustrat</w:t>
      </w:r>
      <w:r w:rsidR="005A110C" w:rsidRPr="00E51727">
        <w:rPr>
          <w:rFonts w:eastAsia="Arial"/>
          <w:lang w:val="it-CH"/>
        </w:rPr>
        <w:t>i</w:t>
      </w:r>
      <w:r w:rsidRPr="00E51727">
        <w:rPr>
          <w:rFonts w:eastAsia="Arial"/>
          <w:lang w:val="it-CH"/>
        </w:rPr>
        <w:t xml:space="preserve"> in modo trasparente</w:t>
      </w:r>
      <w:r w:rsidRPr="00E51727">
        <w:rPr>
          <w:lang w:val="it-CH"/>
        </w:rPr>
        <w:t>. La riduzione del consumo di SAC</w:t>
      </w:r>
      <w:r w:rsidR="00787C01" w:rsidRPr="00E51727">
        <w:rPr>
          <w:lang w:val="it-CH"/>
        </w:rPr>
        <w:t>,</w:t>
      </w:r>
      <w:r w:rsidRPr="00E51727">
        <w:rPr>
          <w:lang w:val="it-CH"/>
        </w:rPr>
        <w:t xml:space="preserve"> in ogni caso</w:t>
      </w:r>
      <w:r w:rsidR="00787C01" w:rsidRPr="00E51727">
        <w:rPr>
          <w:lang w:val="it-CH"/>
        </w:rPr>
        <w:t>,</w:t>
      </w:r>
      <w:r w:rsidRPr="00E51727">
        <w:rPr>
          <w:lang w:val="it-CH"/>
        </w:rPr>
        <w:t xml:space="preserve"> </w:t>
      </w:r>
      <w:r w:rsidR="00787C01" w:rsidRPr="00E51727">
        <w:rPr>
          <w:lang w:val="it-CH"/>
        </w:rPr>
        <w:t xml:space="preserve">deve </w:t>
      </w:r>
      <w:r w:rsidRPr="00E51727">
        <w:rPr>
          <w:lang w:val="it-CH"/>
        </w:rPr>
        <w:t xml:space="preserve">essere oggetto di una </w:t>
      </w:r>
      <w:r w:rsidR="00AF6515" w:rsidRPr="00E51727">
        <w:rPr>
          <w:lang w:val="it-CH"/>
        </w:rPr>
        <w:t xml:space="preserve">valutazione </w:t>
      </w:r>
      <w:proofErr w:type="spellStart"/>
      <w:r w:rsidRPr="00E51727">
        <w:rPr>
          <w:lang w:val="it-CH"/>
        </w:rPr>
        <w:t>pianificatoria</w:t>
      </w:r>
      <w:proofErr w:type="spellEnd"/>
      <w:r w:rsidRPr="00E51727">
        <w:rPr>
          <w:lang w:val="it-CH"/>
        </w:rPr>
        <w:t xml:space="preserve">. </w:t>
      </w:r>
      <w:r w:rsidR="00787C01" w:rsidRPr="00E51727">
        <w:rPr>
          <w:lang w:val="it-CH"/>
        </w:rPr>
        <w:t xml:space="preserve">In particolare, se </w:t>
      </w:r>
      <w:r w:rsidR="00AF6515" w:rsidRPr="00E51727">
        <w:rPr>
          <w:lang w:val="it-CH"/>
        </w:rPr>
        <w:t xml:space="preserve">sulla base di </w:t>
      </w:r>
      <w:r w:rsidRPr="00E51727">
        <w:rPr>
          <w:lang w:val="it-CH"/>
        </w:rPr>
        <w:t>una ponderazione degli interessi</w:t>
      </w:r>
      <w:r w:rsidR="00AF6515" w:rsidRPr="00E51727">
        <w:rPr>
          <w:lang w:val="it-CH"/>
        </w:rPr>
        <w:t xml:space="preserve"> esaustiva e oggettiva </w:t>
      </w:r>
      <w:r w:rsidR="005A110C" w:rsidRPr="00E51727">
        <w:rPr>
          <w:lang w:val="it-CH"/>
        </w:rPr>
        <w:t xml:space="preserve">l’utilizzo di SAC </w:t>
      </w:r>
      <w:r w:rsidR="005A110C" w:rsidRPr="002860AE">
        <w:rPr>
          <w:lang w:val="it-CH"/>
        </w:rPr>
        <w:t>si rivela obbligatorio</w:t>
      </w:r>
      <w:r w:rsidR="005A110C" w:rsidRPr="00E51727">
        <w:rPr>
          <w:lang w:val="it-CH"/>
        </w:rPr>
        <w:t>,</w:t>
      </w:r>
      <w:r w:rsidR="00AF6515" w:rsidRPr="00E51727">
        <w:rPr>
          <w:lang w:val="it-CH"/>
        </w:rPr>
        <w:t xml:space="preserve"> </w:t>
      </w:r>
      <w:r w:rsidRPr="00E51727">
        <w:rPr>
          <w:lang w:val="it-CH"/>
        </w:rPr>
        <w:t xml:space="preserve">occorre garantire che le superfici richieste vengano utilizzate </w:t>
      </w:r>
      <w:r w:rsidR="00AF6515" w:rsidRPr="00E51727">
        <w:rPr>
          <w:lang w:val="it-CH"/>
        </w:rPr>
        <w:t>in modo ottimale</w:t>
      </w:r>
      <w:r w:rsidRPr="00E51727">
        <w:rPr>
          <w:lang w:val="it-CH"/>
        </w:rPr>
        <w:t xml:space="preserve"> </w:t>
      </w:r>
      <w:r w:rsidR="00AF6515" w:rsidRPr="00E51727">
        <w:rPr>
          <w:lang w:val="it-CH"/>
        </w:rPr>
        <w:t>secondo lo stato</w:t>
      </w:r>
      <w:r w:rsidRPr="00E51727">
        <w:rPr>
          <w:lang w:val="it-CH"/>
        </w:rPr>
        <w:t xml:space="preserve"> delle conoscenze o</w:t>
      </w:r>
      <w:r w:rsidR="009202DF">
        <w:rPr>
          <w:lang w:val="it-CH"/>
        </w:rPr>
        <w:t>,</w:t>
      </w:r>
      <w:r w:rsidRPr="00E51727">
        <w:rPr>
          <w:lang w:val="it-CH"/>
        </w:rPr>
        <w:t xml:space="preserve"> </w:t>
      </w:r>
      <w:r w:rsidR="00AF6515" w:rsidRPr="00E51727">
        <w:rPr>
          <w:lang w:val="it-CH"/>
        </w:rPr>
        <w:t>addirittura</w:t>
      </w:r>
      <w:r w:rsidR="009202DF">
        <w:rPr>
          <w:lang w:val="it-CH"/>
        </w:rPr>
        <w:t>,</w:t>
      </w:r>
      <w:r w:rsidRPr="00E51727">
        <w:rPr>
          <w:lang w:val="it-CH"/>
        </w:rPr>
        <w:t xml:space="preserve"> compensate.</w:t>
      </w:r>
    </w:p>
    <w:p w14:paraId="4E3D0703" w14:textId="3B5B6C34" w:rsidR="00B83F65" w:rsidRPr="00E51727" w:rsidRDefault="004A5B45" w:rsidP="00E7779B">
      <w:pPr>
        <w:rPr>
          <w:lang w:val="it-CH"/>
        </w:rPr>
      </w:pPr>
      <w:r w:rsidRPr="00544F67">
        <w:rPr>
          <w:lang w:val="it-CH"/>
        </w:rPr>
        <w:t>L</w:t>
      </w:r>
      <w:r w:rsidR="00E7779B" w:rsidRPr="00544F67">
        <w:rPr>
          <w:lang w:val="it-CH"/>
        </w:rPr>
        <w:t>a legislazione</w:t>
      </w:r>
      <w:r w:rsidR="00642DB0" w:rsidRPr="00544F67">
        <w:rPr>
          <w:lang w:val="it-CH"/>
        </w:rPr>
        <w:t xml:space="preserve"> accorda un’importanza maggiore </w:t>
      </w:r>
      <w:r w:rsidR="00D903D4" w:rsidRPr="00544F67">
        <w:rPr>
          <w:lang w:val="it-CH"/>
        </w:rPr>
        <w:t xml:space="preserve">alla protezione delle SAC </w:t>
      </w:r>
      <w:r w:rsidR="00642DB0" w:rsidRPr="00544F67">
        <w:rPr>
          <w:lang w:val="it-CH"/>
        </w:rPr>
        <w:t>rispetto alla tutela d</w:t>
      </w:r>
      <w:r w:rsidR="00D903D4" w:rsidRPr="00544F67">
        <w:rPr>
          <w:lang w:val="it-CH"/>
        </w:rPr>
        <w:t>elle altre</w:t>
      </w:r>
      <w:r w:rsidR="00CF386F" w:rsidRPr="00544F67">
        <w:rPr>
          <w:lang w:val="it-CH"/>
        </w:rPr>
        <w:t xml:space="preserve"> superfici coltive</w:t>
      </w:r>
      <w:r w:rsidR="00642DB0" w:rsidRPr="00544F67">
        <w:rPr>
          <w:lang w:val="it-CH"/>
        </w:rPr>
        <w:t>,</w:t>
      </w:r>
      <w:r w:rsidR="00E7779B" w:rsidRPr="00544F67">
        <w:rPr>
          <w:lang w:val="it-CH"/>
        </w:rPr>
        <w:t xml:space="preserve"> </w:t>
      </w:r>
      <w:r w:rsidRPr="00544F67">
        <w:rPr>
          <w:lang w:val="it-CH"/>
        </w:rPr>
        <w:t xml:space="preserve">tuttavia la protezione globale delle superfici coltive </w:t>
      </w:r>
      <w:r w:rsidR="00642DB0" w:rsidRPr="00544F67">
        <w:rPr>
          <w:lang w:val="it-CH"/>
        </w:rPr>
        <w:t>costituisce una priorità per</w:t>
      </w:r>
      <w:r w:rsidR="00E7779B" w:rsidRPr="00544F67">
        <w:rPr>
          <w:lang w:val="it-CH"/>
        </w:rPr>
        <w:t xml:space="preserve"> la Confederazione. Ciò significa che, prima </w:t>
      </w:r>
      <w:r w:rsidR="00525300" w:rsidRPr="00544F67">
        <w:rPr>
          <w:lang w:val="it-CH"/>
        </w:rPr>
        <w:t xml:space="preserve">ancora </w:t>
      </w:r>
      <w:r w:rsidR="005A110C" w:rsidRPr="00544F67">
        <w:rPr>
          <w:lang w:val="it-CH"/>
        </w:rPr>
        <w:t>dell’attuazione</w:t>
      </w:r>
      <w:r w:rsidR="00525300" w:rsidRPr="00544F67">
        <w:rPr>
          <w:lang w:val="it-CH"/>
        </w:rPr>
        <w:t xml:space="preserve"> </w:t>
      </w:r>
      <w:r w:rsidR="005A110C" w:rsidRPr="00544F67">
        <w:rPr>
          <w:lang w:val="it-CH"/>
        </w:rPr>
        <w:t>del</w:t>
      </w:r>
      <w:r w:rsidR="00525300" w:rsidRPr="00544F67">
        <w:rPr>
          <w:lang w:val="it-CH"/>
        </w:rPr>
        <w:t xml:space="preserve">le prescrizioni </w:t>
      </w:r>
      <w:r w:rsidR="00E7779B" w:rsidRPr="00544F67">
        <w:rPr>
          <w:lang w:val="it-CH"/>
        </w:rPr>
        <w:t>per il consumo delle SAC e</w:t>
      </w:r>
      <w:r w:rsidR="00525300" w:rsidRPr="00544F67">
        <w:rPr>
          <w:lang w:val="it-CH"/>
        </w:rPr>
        <w:t xml:space="preserve"> prima </w:t>
      </w:r>
      <w:r w:rsidR="005A110C" w:rsidRPr="00544F67">
        <w:rPr>
          <w:lang w:val="it-CH"/>
        </w:rPr>
        <w:t>dello svolgimento di</w:t>
      </w:r>
      <w:r w:rsidR="00525300" w:rsidRPr="00544F67">
        <w:rPr>
          <w:lang w:val="it-CH"/>
        </w:rPr>
        <w:t xml:space="preserve"> una ponderazione degli interessi relativa al</w:t>
      </w:r>
      <w:r w:rsidR="00E7779B" w:rsidRPr="00544F67">
        <w:rPr>
          <w:lang w:val="it-CH"/>
        </w:rPr>
        <w:t xml:space="preserve"> consumo di SAC, occorre </w:t>
      </w:r>
      <w:r w:rsidR="00525300" w:rsidRPr="00544F67">
        <w:rPr>
          <w:lang w:val="it-CH"/>
        </w:rPr>
        <w:t>esaminare se davvero un progetto debba essere realizzato su</w:t>
      </w:r>
      <w:r w:rsidR="00DC14B2" w:rsidRPr="00544F67">
        <w:rPr>
          <w:lang w:val="it-CH"/>
        </w:rPr>
        <w:t xml:space="preserve"> superfici coltive</w:t>
      </w:r>
      <w:r w:rsidR="00E7779B" w:rsidRPr="00544F67">
        <w:rPr>
          <w:lang w:val="it-CH"/>
        </w:rPr>
        <w:t xml:space="preserve"> o se v</w:t>
      </w:r>
      <w:r w:rsidR="00525300" w:rsidRPr="00544F67">
        <w:rPr>
          <w:lang w:val="it-CH"/>
        </w:rPr>
        <w:t xml:space="preserve">i sia anche </w:t>
      </w:r>
      <w:r w:rsidR="00E7779B" w:rsidRPr="00544F67">
        <w:rPr>
          <w:lang w:val="it-CH"/>
        </w:rPr>
        <w:t>la possibilità di attuarlo in</w:t>
      </w:r>
      <w:r w:rsidR="00E7779B" w:rsidRPr="00E51727">
        <w:rPr>
          <w:lang w:val="it-CH"/>
        </w:rPr>
        <w:t xml:space="preserve"> zone edificabili</w:t>
      </w:r>
      <w:r w:rsidR="00B83F65" w:rsidRPr="00E51727">
        <w:rPr>
          <w:lang w:val="it-CH"/>
        </w:rPr>
        <w:t>.</w:t>
      </w:r>
    </w:p>
    <w:p w14:paraId="0C144637" w14:textId="2245B17D" w:rsidR="00F0749C" w:rsidRPr="00E51727" w:rsidRDefault="00E7779B" w:rsidP="00366085">
      <w:pPr>
        <w:pStyle w:val="berschrift2"/>
        <w:rPr>
          <w:lang w:val="it-CH"/>
        </w:rPr>
      </w:pPr>
      <w:bookmarkStart w:id="149" w:name="_Toc533053020"/>
      <w:bookmarkEnd w:id="148"/>
      <w:r w:rsidRPr="00E51727">
        <w:rPr>
          <w:lang w:val="it-CH"/>
        </w:rPr>
        <w:t>Obblighi delle singole autorità</w:t>
      </w:r>
      <w:bookmarkEnd w:id="149"/>
    </w:p>
    <w:p w14:paraId="121D4BBC" w14:textId="77777777" w:rsidR="00E7779B" w:rsidRPr="00E51727" w:rsidRDefault="00E7779B" w:rsidP="00E7779B">
      <w:pPr>
        <w:spacing w:before="240"/>
        <w:rPr>
          <w:i/>
          <w:iCs/>
          <w:lang w:val="it-CH"/>
        </w:rPr>
      </w:pPr>
      <w:r w:rsidRPr="00E51727">
        <w:rPr>
          <w:i/>
          <w:iCs/>
          <w:lang w:val="it-CH"/>
        </w:rPr>
        <w:t>Confederazione</w:t>
      </w:r>
    </w:p>
    <w:p w14:paraId="08EF23B9" w14:textId="2B5FBA47" w:rsidR="00E7779B" w:rsidRPr="00E51727" w:rsidRDefault="00C45066" w:rsidP="00E7779B">
      <w:pPr>
        <w:rPr>
          <w:lang w:val="it-CH"/>
        </w:rPr>
      </w:pPr>
      <w:r w:rsidRPr="00E51727">
        <w:rPr>
          <w:lang w:val="it-CH"/>
        </w:rPr>
        <w:t>La Confederazione esercita l’alta vigilanza in</w:t>
      </w:r>
      <w:r w:rsidR="00E7779B" w:rsidRPr="00E51727">
        <w:rPr>
          <w:lang w:val="it-CH"/>
        </w:rPr>
        <w:t xml:space="preserve"> ambito di attuazione </w:t>
      </w:r>
      <w:r w:rsidRPr="00E51727">
        <w:rPr>
          <w:lang w:val="it-CH"/>
        </w:rPr>
        <w:t>del piano settoriale</w:t>
      </w:r>
      <w:r w:rsidR="00E7779B" w:rsidRPr="00E51727">
        <w:rPr>
          <w:lang w:val="it-CH"/>
        </w:rPr>
        <w:t xml:space="preserve">. A livello di Confederazione, </w:t>
      </w:r>
      <w:r w:rsidRPr="00E51727">
        <w:rPr>
          <w:lang w:val="it-CH"/>
        </w:rPr>
        <w:t>il piano settoriale dev’essere preso in considerazione in primo luogo da quegli Uffici, nell’ambito delle cui attività sono coinvolte delle SAC</w:t>
      </w:r>
      <w:r w:rsidR="00E7779B" w:rsidRPr="00E51727">
        <w:rPr>
          <w:lang w:val="it-CH"/>
        </w:rPr>
        <w:t>.</w:t>
      </w:r>
    </w:p>
    <w:p w14:paraId="593A1B11" w14:textId="7C912D00" w:rsidR="00E7779B" w:rsidRPr="00E51727" w:rsidRDefault="00E7779B" w:rsidP="00E7779B">
      <w:pPr>
        <w:spacing w:before="120"/>
        <w:rPr>
          <w:lang w:val="it-CH"/>
        </w:rPr>
      </w:pPr>
      <w:r w:rsidRPr="00E51727">
        <w:rPr>
          <w:lang w:val="it-CH"/>
        </w:rPr>
        <w:t xml:space="preserve">Il Gruppo di lavoro interdipartimentale Piano settoriale </w:t>
      </w:r>
      <w:r w:rsidRPr="00CA6AC3">
        <w:rPr>
          <w:lang w:val="it-CH"/>
        </w:rPr>
        <w:t>SAC (</w:t>
      </w:r>
      <w:r w:rsidR="007009B6" w:rsidRPr="00CA6AC3">
        <w:rPr>
          <w:lang w:val="it-CH"/>
        </w:rPr>
        <w:t>GLID PS</w:t>
      </w:r>
      <w:r w:rsidRPr="00CA6AC3">
        <w:rPr>
          <w:lang w:val="it-CH"/>
        </w:rPr>
        <w:t xml:space="preserve"> </w:t>
      </w:r>
      <w:r w:rsidR="007009B6" w:rsidRPr="00CA6AC3">
        <w:rPr>
          <w:lang w:val="it-CH"/>
        </w:rPr>
        <w:t>SAC</w:t>
      </w:r>
      <w:r w:rsidRPr="00CA6AC3">
        <w:rPr>
          <w:lang w:val="it-CH"/>
        </w:rPr>
        <w:t xml:space="preserve">) </w:t>
      </w:r>
      <w:r w:rsidR="00A6519F" w:rsidRPr="00CA6AC3">
        <w:rPr>
          <w:lang w:val="it-CH"/>
        </w:rPr>
        <w:t>fa considerazioni</w:t>
      </w:r>
      <w:r w:rsidR="00A6519F" w:rsidRPr="00E51727">
        <w:rPr>
          <w:lang w:val="it-CH"/>
        </w:rPr>
        <w:t xml:space="preserve"> </w:t>
      </w:r>
      <w:r w:rsidR="00D913C5" w:rsidRPr="00E51727">
        <w:rPr>
          <w:lang w:val="it-CH"/>
        </w:rPr>
        <w:t xml:space="preserve">preminenti </w:t>
      </w:r>
      <w:r w:rsidRPr="00E51727">
        <w:rPr>
          <w:lang w:val="it-CH"/>
        </w:rPr>
        <w:t xml:space="preserve">in merito </w:t>
      </w:r>
      <w:r w:rsidR="00D913C5" w:rsidRPr="00E51727">
        <w:rPr>
          <w:lang w:val="it-CH"/>
        </w:rPr>
        <w:t>a</w:t>
      </w:r>
      <w:r w:rsidRPr="00E51727">
        <w:rPr>
          <w:lang w:val="it-CH"/>
        </w:rPr>
        <w:t xml:space="preserve"> questioni relative all’esecuzione del </w:t>
      </w:r>
      <w:r w:rsidR="00D913C5" w:rsidRPr="00E51727">
        <w:rPr>
          <w:lang w:val="it-CH"/>
        </w:rPr>
        <w:t>p</w:t>
      </w:r>
      <w:r w:rsidRPr="00E51727">
        <w:rPr>
          <w:lang w:val="it-CH"/>
        </w:rPr>
        <w:t xml:space="preserve">iano settoriale e </w:t>
      </w:r>
      <w:r w:rsidR="00D913C5" w:rsidRPr="00E51727">
        <w:rPr>
          <w:lang w:val="it-CH"/>
        </w:rPr>
        <w:t>assume</w:t>
      </w:r>
      <w:r w:rsidRPr="00E51727">
        <w:rPr>
          <w:lang w:val="it-CH"/>
        </w:rPr>
        <w:t xml:space="preserve"> a tal riguardo un’importante funzione di coordinamento tra i diversi Uffici federali </w:t>
      </w:r>
      <w:r w:rsidR="00E62FDA">
        <w:rPr>
          <w:lang w:val="it-CH"/>
        </w:rPr>
        <w:t xml:space="preserve">in esso </w:t>
      </w:r>
      <w:r w:rsidRPr="00E51727">
        <w:rPr>
          <w:lang w:val="it-CH"/>
        </w:rPr>
        <w:t xml:space="preserve">rappresentati. </w:t>
      </w:r>
      <w:r w:rsidR="00CA6AC3">
        <w:rPr>
          <w:lang w:val="it-CH"/>
        </w:rPr>
        <w:t>Il gruppo di lavoro</w:t>
      </w:r>
      <w:r w:rsidRPr="00E51727">
        <w:rPr>
          <w:lang w:val="it-CH"/>
        </w:rPr>
        <w:t xml:space="preserve"> collabora anche con i rappresentanti degli Uffici federali dello sviluppo territoriale </w:t>
      </w:r>
      <w:r w:rsidR="00D913C5" w:rsidRPr="00E51727">
        <w:rPr>
          <w:lang w:val="it-CH"/>
        </w:rPr>
        <w:t>(</w:t>
      </w:r>
      <w:r w:rsidRPr="00E51727">
        <w:rPr>
          <w:lang w:val="it-CH"/>
        </w:rPr>
        <w:t>ARE</w:t>
      </w:r>
      <w:r w:rsidR="00D913C5" w:rsidRPr="00E51727">
        <w:rPr>
          <w:lang w:val="it-CH"/>
        </w:rPr>
        <w:t>; di</w:t>
      </w:r>
      <w:r w:rsidRPr="00E51727">
        <w:rPr>
          <w:lang w:val="it-CH"/>
        </w:rPr>
        <w:t xml:space="preserve">rezione), dell’agricoltura </w:t>
      </w:r>
      <w:r w:rsidR="00D913C5" w:rsidRPr="00E51727">
        <w:rPr>
          <w:lang w:val="it-CH"/>
        </w:rPr>
        <w:t>(</w:t>
      </w:r>
      <w:r w:rsidRPr="00E51727">
        <w:rPr>
          <w:lang w:val="it-CH"/>
        </w:rPr>
        <w:t>UFAG</w:t>
      </w:r>
      <w:r w:rsidR="00D913C5" w:rsidRPr="00E51727">
        <w:rPr>
          <w:lang w:val="it-CH"/>
        </w:rPr>
        <w:t>)</w:t>
      </w:r>
      <w:r w:rsidRPr="00E51727">
        <w:rPr>
          <w:lang w:val="it-CH"/>
        </w:rPr>
        <w:t xml:space="preserve">, </w:t>
      </w:r>
      <w:r w:rsidRPr="00E51727">
        <w:rPr>
          <w:lang w:val="it-CH"/>
        </w:rPr>
        <w:lastRenderedPageBreak/>
        <w:t xml:space="preserve">per l’approvvigionamento economico (UFAE) e dell’ambiente </w:t>
      </w:r>
      <w:r w:rsidR="00D913C5" w:rsidRPr="00E51727">
        <w:rPr>
          <w:lang w:val="it-CH"/>
        </w:rPr>
        <w:t>(</w:t>
      </w:r>
      <w:r w:rsidRPr="00E51727">
        <w:rPr>
          <w:lang w:val="it-CH"/>
        </w:rPr>
        <w:t>UFAM</w:t>
      </w:r>
      <w:r w:rsidR="00D913C5" w:rsidRPr="00E51727">
        <w:rPr>
          <w:lang w:val="it-CH"/>
        </w:rPr>
        <w:t xml:space="preserve">), e cura sistematicamente </w:t>
      </w:r>
      <w:r w:rsidRPr="00E51727">
        <w:rPr>
          <w:lang w:val="it-CH"/>
        </w:rPr>
        <w:t xml:space="preserve">lo scambio </w:t>
      </w:r>
      <w:r w:rsidR="00D913C5" w:rsidRPr="00E51727">
        <w:rPr>
          <w:lang w:val="it-CH"/>
        </w:rPr>
        <w:t>con</w:t>
      </w:r>
      <w:r w:rsidRPr="00E51727">
        <w:rPr>
          <w:lang w:val="it-CH"/>
        </w:rPr>
        <w:t xml:space="preserve"> i Cantoni.</w:t>
      </w:r>
    </w:p>
    <w:p w14:paraId="252D311F" w14:textId="268527F5" w:rsidR="00E7779B" w:rsidRPr="00E51727" w:rsidRDefault="00E7779B" w:rsidP="00E7779B">
      <w:pPr>
        <w:rPr>
          <w:lang w:val="it-CH"/>
        </w:rPr>
      </w:pPr>
      <w:r w:rsidRPr="00E51727">
        <w:rPr>
          <w:lang w:val="it-CH"/>
        </w:rPr>
        <w:t>La Confederazione</w:t>
      </w:r>
      <w:r w:rsidR="00D913C5" w:rsidRPr="00E51727">
        <w:rPr>
          <w:lang w:val="it-CH"/>
        </w:rPr>
        <w:t xml:space="preserve">, per informare l’opinione pubblica e per </w:t>
      </w:r>
      <w:r w:rsidR="008027DB">
        <w:rPr>
          <w:lang w:val="it-CH"/>
        </w:rPr>
        <w:t xml:space="preserve">rendere più trasparenti </w:t>
      </w:r>
      <w:r w:rsidR="00D913C5" w:rsidRPr="00E51727">
        <w:rPr>
          <w:lang w:val="it-CH"/>
        </w:rPr>
        <w:t xml:space="preserve">le pratiche cantonali relative alla gestione delle SAC, </w:t>
      </w:r>
      <w:r w:rsidR="008F24A5">
        <w:rPr>
          <w:lang w:val="it-CH"/>
        </w:rPr>
        <w:t>elabora</w:t>
      </w:r>
      <w:r w:rsidRPr="00E51727">
        <w:rPr>
          <w:lang w:val="it-CH"/>
        </w:rPr>
        <w:t xml:space="preserve"> un «Foglio cantonale» </w:t>
      </w:r>
      <w:r w:rsidR="008F24A5">
        <w:rPr>
          <w:lang w:val="it-CH"/>
        </w:rPr>
        <w:t>per</w:t>
      </w:r>
      <w:r w:rsidR="00D913C5" w:rsidRPr="00E51727">
        <w:rPr>
          <w:lang w:val="it-CH"/>
        </w:rPr>
        <w:t xml:space="preserve"> ogni Cantone</w:t>
      </w:r>
      <w:r w:rsidRPr="00E51727">
        <w:rPr>
          <w:lang w:val="it-CH"/>
        </w:rPr>
        <w:t xml:space="preserve">. I fogli cantonali contengono le principali </w:t>
      </w:r>
      <w:r w:rsidR="006640FB" w:rsidRPr="00E51727">
        <w:rPr>
          <w:lang w:val="it-CH"/>
        </w:rPr>
        <w:t>indicazioni</w:t>
      </w:r>
      <w:r w:rsidRPr="00E51727">
        <w:rPr>
          <w:lang w:val="it-CH"/>
        </w:rPr>
        <w:t xml:space="preserve"> sulle SAC </w:t>
      </w:r>
      <w:r w:rsidR="008F24A5">
        <w:rPr>
          <w:lang w:val="it-CH"/>
        </w:rPr>
        <w:t>cantonali</w:t>
      </w:r>
      <w:r w:rsidRPr="00E51727">
        <w:rPr>
          <w:lang w:val="it-CH"/>
        </w:rPr>
        <w:t xml:space="preserve"> e </w:t>
      </w:r>
      <w:r w:rsidR="006640FB" w:rsidRPr="00E51727">
        <w:rPr>
          <w:lang w:val="it-CH"/>
        </w:rPr>
        <w:t>rappresentano</w:t>
      </w:r>
      <w:r w:rsidRPr="00E51727">
        <w:rPr>
          <w:lang w:val="it-CH"/>
        </w:rPr>
        <w:t xml:space="preserve"> una sorta di scheda informativa. </w:t>
      </w:r>
      <w:r w:rsidR="008027DB">
        <w:rPr>
          <w:lang w:val="it-CH"/>
        </w:rPr>
        <w:t>Le</w:t>
      </w:r>
      <w:r w:rsidRPr="00E51727">
        <w:rPr>
          <w:lang w:val="it-CH"/>
        </w:rPr>
        <w:t xml:space="preserve"> informazioni sulle SAC </w:t>
      </w:r>
      <w:r w:rsidR="006640FB" w:rsidRPr="00E51727">
        <w:rPr>
          <w:lang w:val="it-CH"/>
        </w:rPr>
        <w:t xml:space="preserve">saranno </w:t>
      </w:r>
      <w:r w:rsidR="008027DB">
        <w:rPr>
          <w:lang w:val="it-CH"/>
        </w:rPr>
        <w:t xml:space="preserve">così </w:t>
      </w:r>
      <w:r w:rsidR="006640FB" w:rsidRPr="00E51727">
        <w:rPr>
          <w:lang w:val="it-CH"/>
        </w:rPr>
        <w:t>accessibili in modo semplice a un vasto pubblico</w:t>
      </w:r>
      <w:r w:rsidRPr="00E51727">
        <w:rPr>
          <w:lang w:val="it-CH"/>
        </w:rPr>
        <w:t>. I fogli cantonali sono consultabili on-line</w:t>
      </w:r>
      <w:r w:rsidR="006640FB" w:rsidRPr="00E51727">
        <w:rPr>
          <w:lang w:val="it-CH"/>
        </w:rPr>
        <w:t xml:space="preserve"> e, se necessario, la C</w:t>
      </w:r>
      <w:r w:rsidRPr="00E51727">
        <w:rPr>
          <w:lang w:val="it-CH"/>
        </w:rPr>
        <w:t>onfederazione</w:t>
      </w:r>
      <w:r w:rsidR="006640FB" w:rsidRPr="00E51727">
        <w:rPr>
          <w:lang w:val="it-CH"/>
        </w:rPr>
        <w:t xml:space="preserve"> ne </w:t>
      </w:r>
      <w:r w:rsidRPr="00E51727">
        <w:rPr>
          <w:lang w:val="it-CH"/>
        </w:rPr>
        <w:t xml:space="preserve">aggiorna i contenuti. A causa della natura non vincolante dei contenuti, l’aggiornamento dei fogli cantonali non </w:t>
      </w:r>
      <w:r w:rsidR="00A47BB9" w:rsidRPr="00E51727">
        <w:rPr>
          <w:lang w:val="it-CH"/>
        </w:rPr>
        <w:t>richiede</w:t>
      </w:r>
      <w:r w:rsidRPr="00E51727">
        <w:rPr>
          <w:lang w:val="it-CH"/>
        </w:rPr>
        <w:t xml:space="preserve"> una procedura</w:t>
      </w:r>
      <w:r w:rsidR="00A47BB9" w:rsidRPr="00E51727">
        <w:rPr>
          <w:lang w:val="it-CH"/>
        </w:rPr>
        <w:t xml:space="preserve"> speciale</w:t>
      </w:r>
      <w:r w:rsidRPr="00E51727">
        <w:rPr>
          <w:lang w:val="it-CH"/>
        </w:rPr>
        <w:t>.</w:t>
      </w:r>
    </w:p>
    <w:p w14:paraId="51C232D9" w14:textId="77777777" w:rsidR="00E7779B" w:rsidRPr="00E51727" w:rsidRDefault="00E7779B" w:rsidP="00E7779B">
      <w:pPr>
        <w:spacing w:before="240"/>
        <w:rPr>
          <w:lang w:val="it-CH"/>
        </w:rPr>
      </w:pPr>
      <w:r w:rsidRPr="00E51727">
        <w:rPr>
          <w:i/>
          <w:iCs/>
          <w:lang w:val="it-CH"/>
        </w:rPr>
        <w:t>Cantoni</w:t>
      </w:r>
    </w:p>
    <w:p w14:paraId="22259EB4" w14:textId="42896A1A" w:rsidR="00E7779B" w:rsidRPr="00E51727" w:rsidRDefault="00E62FDA" w:rsidP="00E7779B">
      <w:pPr>
        <w:rPr>
          <w:lang w:val="it-CH"/>
        </w:rPr>
      </w:pPr>
      <w:r>
        <w:rPr>
          <w:lang w:val="it-CH"/>
        </w:rPr>
        <w:t xml:space="preserve">La responsabilità dell’attuazione del piano settoriale spetta al Cantone. </w:t>
      </w:r>
      <w:r w:rsidR="00E7779B" w:rsidRPr="00E51727">
        <w:rPr>
          <w:lang w:val="it-CH"/>
        </w:rPr>
        <w:t xml:space="preserve">Il </w:t>
      </w:r>
      <w:r>
        <w:rPr>
          <w:lang w:val="it-CH"/>
        </w:rPr>
        <w:t>p</w:t>
      </w:r>
      <w:r w:rsidR="00E7779B" w:rsidRPr="00E51727">
        <w:rPr>
          <w:lang w:val="it-CH"/>
        </w:rPr>
        <w:t xml:space="preserve">iano settoriale </w:t>
      </w:r>
      <w:r w:rsidR="00A47BB9" w:rsidRPr="00E51727">
        <w:rPr>
          <w:lang w:val="it-CH"/>
        </w:rPr>
        <w:t xml:space="preserve">costituisce la base per la </w:t>
      </w:r>
      <w:r w:rsidR="00E7779B" w:rsidRPr="00E51727">
        <w:rPr>
          <w:lang w:val="it-CH"/>
        </w:rPr>
        <w:t>valutazione e l</w:t>
      </w:r>
      <w:r w:rsidR="00A47BB9" w:rsidRPr="00E51727">
        <w:rPr>
          <w:lang w:val="it-CH"/>
        </w:rPr>
        <w:t>’esame</w:t>
      </w:r>
      <w:r w:rsidR="00E7779B" w:rsidRPr="00E51727">
        <w:rPr>
          <w:lang w:val="it-CH"/>
        </w:rPr>
        <w:t xml:space="preserve"> dei Piani direttori cantonali </w:t>
      </w:r>
      <w:r w:rsidR="00A47BB9" w:rsidRPr="00E51727">
        <w:rPr>
          <w:lang w:val="it-CH"/>
        </w:rPr>
        <w:t xml:space="preserve">per quanto riguarda il tema </w:t>
      </w:r>
      <w:r w:rsidR="00E7779B" w:rsidRPr="00E51727">
        <w:rPr>
          <w:lang w:val="it-CH"/>
        </w:rPr>
        <w:t xml:space="preserve">delle SAC. I Cantoni </w:t>
      </w:r>
      <w:r w:rsidR="00A47BB9" w:rsidRPr="00E51727">
        <w:rPr>
          <w:lang w:val="it-CH"/>
        </w:rPr>
        <w:t>ne tengono conto nell’ambito della</w:t>
      </w:r>
      <w:r w:rsidR="00E7779B" w:rsidRPr="00E51727">
        <w:rPr>
          <w:lang w:val="it-CH"/>
        </w:rPr>
        <w:t xml:space="preserve"> rielaborazione dei loro Piani direttori e fanno in modo che </w:t>
      </w:r>
      <w:r w:rsidR="00A47BB9" w:rsidRPr="00E51727">
        <w:rPr>
          <w:lang w:val="it-CH"/>
        </w:rPr>
        <w:t>questi ultimi rispettino le</w:t>
      </w:r>
      <w:r w:rsidR="00E7779B" w:rsidRPr="00E51727">
        <w:rPr>
          <w:lang w:val="it-CH"/>
        </w:rPr>
        <w:t xml:space="preserve"> indicazioni </w:t>
      </w:r>
      <w:r w:rsidR="00A47BB9" w:rsidRPr="00E51727">
        <w:rPr>
          <w:lang w:val="it-CH"/>
        </w:rPr>
        <w:t>contenute sia nel p</w:t>
      </w:r>
      <w:r w:rsidR="00E7779B" w:rsidRPr="00E51727">
        <w:rPr>
          <w:lang w:val="it-CH"/>
        </w:rPr>
        <w:t xml:space="preserve">iano settoriale </w:t>
      </w:r>
      <w:r w:rsidR="00A47BB9" w:rsidRPr="00E51727">
        <w:rPr>
          <w:lang w:val="it-CH"/>
        </w:rPr>
        <w:t>sia n</w:t>
      </w:r>
      <w:r w:rsidR="00E7779B" w:rsidRPr="00E51727">
        <w:rPr>
          <w:lang w:val="it-CH"/>
        </w:rPr>
        <w:t xml:space="preserve">ei fondamenti giuridici. </w:t>
      </w:r>
      <w:r w:rsidR="00A47BB9" w:rsidRPr="00E51727">
        <w:rPr>
          <w:lang w:val="it-CH"/>
        </w:rPr>
        <w:t>Nel quadro della</w:t>
      </w:r>
      <w:r w:rsidR="00E7779B" w:rsidRPr="00E51727">
        <w:rPr>
          <w:lang w:val="it-CH"/>
        </w:rPr>
        <w:t xml:space="preserve"> compensazione delle SAC per i progetti federali, </w:t>
      </w:r>
      <w:r w:rsidR="00A47BB9" w:rsidRPr="00E51727">
        <w:rPr>
          <w:lang w:val="it-CH"/>
        </w:rPr>
        <w:t>i</w:t>
      </w:r>
      <w:r w:rsidR="00E7779B" w:rsidRPr="00E51727">
        <w:rPr>
          <w:lang w:val="it-CH"/>
        </w:rPr>
        <w:t xml:space="preserve"> Cantoni sono tenuti a sostenere la Confederazione.</w:t>
      </w:r>
    </w:p>
    <w:p w14:paraId="18461A23" w14:textId="2953BBBE" w:rsidR="00E7779B" w:rsidRPr="00E51727" w:rsidRDefault="00E7779B" w:rsidP="00E7779B">
      <w:pPr>
        <w:rPr>
          <w:lang w:val="it-CH"/>
        </w:rPr>
      </w:pPr>
      <w:r w:rsidRPr="00E51727">
        <w:rPr>
          <w:lang w:val="it-CH"/>
        </w:rPr>
        <w:t xml:space="preserve">I Cantoni </w:t>
      </w:r>
      <w:r w:rsidR="00A47BB9" w:rsidRPr="00E51727">
        <w:rPr>
          <w:lang w:val="it-CH"/>
        </w:rPr>
        <w:t>notificano all’</w:t>
      </w:r>
      <w:r w:rsidRPr="00E51727">
        <w:rPr>
          <w:lang w:val="it-CH"/>
        </w:rPr>
        <w:t xml:space="preserve">ARE e all’UFAG </w:t>
      </w:r>
      <w:r w:rsidR="00A47BB9" w:rsidRPr="00E51727">
        <w:rPr>
          <w:lang w:val="it-CH"/>
        </w:rPr>
        <w:t xml:space="preserve">le decisioni </w:t>
      </w:r>
      <w:r w:rsidR="00F2329B" w:rsidRPr="00E51727">
        <w:rPr>
          <w:lang w:val="it-CH"/>
        </w:rPr>
        <w:t xml:space="preserve">concernenti </w:t>
      </w:r>
      <w:r w:rsidRPr="00E51727">
        <w:rPr>
          <w:lang w:val="it-CH"/>
        </w:rPr>
        <w:t xml:space="preserve">l’approvazione dei piani d’utilizzazione, </w:t>
      </w:r>
      <w:r w:rsidR="00F2329B" w:rsidRPr="00E51727">
        <w:rPr>
          <w:lang w:val="it-CH"/>
        </w:rPr>
        <w:t xml:space="preserve">se nell’ambito della modifica di questi ultimi le superfici per l’avvicendamento delle colture vengono ridotte in misura superiore a tre ettari </w:t>
      </w:r>
      <w:r w:rsidRPr="00E51727">
        <w:rPr>
          <w:lang w:val="it-CH"/>
        </w:rPr>
        <w:t xml:space="preserve">(art. 46 OPT). In </w:t>
      </w:r>
      <w:r w:rsidR="00F2329B" w:rsidRPr="00E51727">
        <w:rPr>
          <w:lang w:val="it-CH"/>
        </w:rPr>
        <w:t>talune circostanze</w:t>
      </w:r>
      <w:r w:rsidRPr="00E51727">
        <w:rPr>
          <w:lang w:val="it-CH"/>
        </w:rPr>
        <w:t xml:space="preserve"> può essere </w:t>
      </w:r>
      <w:r w:rsidR="00F2329B" w:rsidRPr="00E51727">
        <w:rPr>
          <w:lang w:val="it-CH"/>
        </w:rPr>
        <w:t>opportuno</w:t>
      </w:r>
      <w:r w:rsidRPr="00E51727">
        <w:rPr>
          <w:lang w:val="it-CH"/>
        </w:rPr>
        <w:t xml:space="preserve"> coinvolgere o informare l</w:t>
      </w:r>
      <w:r w:rsidR="00A47BB9" w:rsidRPr="00E51727">
        <w:rPr>
          <w:lang w:val="it-CH"/>
        </w:rPr>
        <w:t>’</w:t>
      </w:r>
      <w:r w:rsidRPr="00E51727">
        <w:rPr>
          <w:lang w:val="it-CH"/>
        </w:rPr>
        <w:t xml:space="preserve">ARE </w:t>
      </w:r>
      <w:r w:rsidR="00F2329B" w:rsidRPr="00E51727">
        <w:rPr>
          <w:lang w:val="it-CH"/>
        </w:rPr>
        <w:t>preventivamente</w:t>
      </w:r>
      <w:r w:rsidRPr="00E51727">
        <w:rPr>
          <w:lang w:val="it-CH"/>
        </w:rPr>
        <w:t xml:space="preserve">. </w:t>
      </w:r>
    </w:p>
    <w:p w14:paraId="546573C6" w14:textId="77777777" w:rsidR="00E7779B" w:rsidRPr="00E51727" w:rsidRDefault="00E7779B" w:rsidP="00E7779B">
      <w:pPr>
        <w:rPr>
          <w:i/>
          <w:iCs/>
          <w:lang w:val="it-CH"/>
        </w:rPr>
      </w:pPr>
      <w:r w:rsidRPr="00E51727">
        <w:rPr>
          <w:i/>
          <w:iCs/>
          <w:lang w:val="it-CH"/>
        </w:rPr>
        <w:t>Comuni</w:t>
      </w:r>
    </w:p>
    <w:p w14:paraId="122E9797" w14:textId="5D5AB1F3" w:rsidR="00A83E23" w:rsidRPr="00E51727" w:rsidRDefault="00E7779B" w:rsidP="00E7779B">
      <w:pPr>
        <w:rPr>
          <w:lang w:val="it-CH"/>
        </w:rPr>
      </w:pPr>
      <w:r w:rsidRPr="00E51727">
        <w:rPr>
          <w:lang w:val="it-CH"/>
        </w:rPr>
        <w:t xml:space="preserve">I Comuni devono </w:t>
      </w:r>
      <w:r w:rsidR="0021428D" w:rsidRPr="00E51727">
        <w:rPr>
          <w:lang w:val="it-CH"/>
        </w:rPr>
        <w:t>applicare</w:t>
      </w:r>
      <w:r w:rsidRPr="00E51727">
        <w:rPr>
          <w:lang w:val="it-CH"/>
        </w:rPr>
        <w:t xml:space="preserve"> il Piano settoriale SAC nell’ambito dell’elaborazione o </w:t>
      </w:r>
      <w:r w:rsidR="0021428D" w:rsidRPr="00E51727">
        <w:rPr>
          <w:lang w:val="it-CH"/>
        </w:rPr>
        <w:t>della modifica</w:t>
      </w:r>
      <w:r w:rsidRPr="00E51727">
        <w:rPr>
          <w:lang w:val="it-CH"/>
        </w:rPr>
        <w:t xml:space="preserve"> dei loro piani d’utilizzazione </w:t>
      </w:r>
      <w:r w:rsidR="0021428D" w:rsidRPr="00E51727">
        <w:rPr>
          <w:lang w:val="it-CH"/>
        </w:rPr>
        <w:t>e nel quadro dell’esecuzione</w:t>
      </w:r>
      <w:r w:rsidRPr="00E51727">
        <w:rPr>
          <w:lang w:val="it-CH"/>
        </w:rPr>
        <w:t xml:space="preserve"> di altre attività </w:t>
      </w:r>
      <w:r w:rsidR="00F2329B" w:rsidRPr="00E51727">
        <w:rPr>
          <w:lang w:val="it-CH"/>
        </w:rPr>
        <w:t>d’incidenza territoriale</w:t>
      </w:r>
      <w:r w:rsidR="3120AD34" w:rsidRPr="00E51727">
        <w:rPr>
          <w:lang w:val="it-CH"/>
        </w:rPr>
        <w:t xml:space="preserve">. 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bookmarkEnd w:id="111"/>
    <w:p w14:paraId="3C09AC16" w14:textId="77777777" w:rsidR="00A83E23" w:rsidRPr="00E51727" w:rsidRDefault="00A83E23">
      <w:pPr>
        <w:spacing w:after="160" w:line="259" w:lineRule="auto"/>
        <w:rPr>
          <w:rFonts w:cs="Arial"/>
          <w:b/>
          <w:bCs/>
          <w:kern w:val="32"/>
          <w:sz w:val="32"/>
          <w:szCs w:val="32"/>
          <w:lang w:val="it-CH"/>
        </w:rPr>
      </w:pPr>
      <w:r w:rsidRPr="00E51727">
        <w:rPr>
          <w:lang w:val="it-CH"/>
        </w:rPr>
        <w:br w:type="page"/>
      </w:r>
    </w:p>
    <w:p w14:paraId="7E185446" w14:textId="083135A5" w:rsidR="00EC71A9" w:rsidRDefault="00E71583" w:rsidP="00EC71A9">
      <w:pPr>
        <w:pStyle w:val="berschrift1"/>
        <w:keepLines/>
        <w:spacing w:before="300" w:after="120" w:line="288" w:lineRule="auto"/>
        <w:ind w:left="432" w:hanging="432"/>
        <w:contextualSpacing/>
        <w:rPr>
          <w:lang w:val="it-CH"/>
        </w:rPr>
      </w:pPr>
      <w:bookmarkStart w:id="150" w:name="_Toc533053021"/>
      <w:r w:rsidRPr="00E51727">
        <w:rPr>
          <w:lang w:val="it-CH"/>
        </w:rPr>
        <w:lastRenderedPageBreak/>
        <w:t>Allegat</w:t>
      </w:r>
      <w:r w:rsidR="00E62FDA">
        <w:rPr>
          <w:lang w:val="it-CH"/>
        </w:rPr>
        <w:t>o</w:t>
      </w:r>
      <w:bookmarkEnd w:id="150"/>
    </w:p>
    <w:p w14:paraId="47ED90F0" w14:textId="63E17A22" w:rsidR="00E62FDA" w:rsidRPr="005F06FA" w:rsidRDefault="000F4684" w:rsidP="00826401">
      <w:pPr>
        <w:pStyle w:val="berschrift2"/>
        <w:rPr>
          <w:lang w:val="it-IT"/>
        </w:rPr>
      </w:pPr>
      <w:bookmarkStart w:id="151" w:name="_Ref531024525"/>
      <w:bookmarkStart w:id="152" w:name="_Toc531173100"/>
      <w:bookmarkStart w:id="153" w:name="_Toc533053022"/>
      <w:r w:rsidRPr="005F06FA">
        <w:rPr>
          <w:lang w:val="it-IT"/>
        </w:rPr>
        <w:t xml:space="preserve">Utilizzo </w:t>
      </w:r>
      <w:r w:rsidR="005F06FA" w:rsidRPr="005F06FA">
        <w:rPr>
          <w:lang w:val="it-IT"/>
        </w:rPr>
        <w:t xml:space="preserve">dei diversi </w:t>
      </w:r>
      <w:r w:rsidR="00E62FDA" w:rsidRPr="005F06FA">
        <w:rPr>
          <w:lang w:val="it-IT"/>
        </w:rPr>
        <w:t>«</w:t>
      </w:r>
      <w:r w:rsidR="00C364DF">
        <w:rPr>
          <w:lang w:val="it-IT"/>
        </w:rPr>
        <w:t>t</w:t>
      </w:r>
      <w:r w:rsidR="005F06FA" w:rsidRPr="005F06FA">
        <w:rPr>
          <w:lang w:val="it-IT"/>
        </w:rPr>
        <w:t>ermini SAC</w:t>
      </w:r>
      <w:r w:rsidR="00E62FDA" w:rsidRPr="005F06FA">
        <w:rPr>
          <w:lang w:val="it-IT"/>
        </w:rPr>
        <w:t>»</w:t>
      </w:r>
      <w:bookmarkEnd w:id="151"/>
      <w:bookmarkEnd w:id="152"/>
      <w:bookmarkEnd w:id="153"/>
    </w:p>
    <w:p w14:paraId="7FDE219F" w14:textId="6186BC66" w:rsidR="00E62FDA" w:rsidRDefault="00E62FDA" w:rsidP="00E62FDA">
      <w:pPr>
        <w:rPr>
          <w:lang w:val="it-IT"/>
        </w:rPr>
      </w:pPr>
    </w:p>
    <w:p w14:paraId="08F672DE" w14:textId="72C6B36F" w:rsidR="00A039B8" w:rsidRPr="005F06FA" w:rsidRDefault="00A039B8" w:rsidP="00E62FDA">
      <w:pPr>
        <w:rPr>
          <w:lang w:val="it-IT"/>
        </w:rPr>
      </w:pPr>
      <w:r>
        <w:rPr>
          <w:noProof/>
        </w:rPr>
        <w:drawing>
          <wp:inline distT="0" distB="0" distL="0" distR="0" wp14:anchorId="48974F21" wp14:editId="1C49D5BD">
            <wp:extent cx="5662930" cy="358324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75" cy="359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BCDA2F" w14:textId="368AC1E2" w:rsidR="00E62FDA" w:rsidRDefault="00E62FDA" w:rsidP="00E62FDA"/>
    <w:p w14:paraId="114FEA4D" w14:textId="602CBFC7" w:rsidR="008804E3" w:rsidRPr="00A039B8" w:rsidRDefault="00E62FDA" w:rsidP="00A039B8">
      <w:pPr>
        <w:pStyle w:val="Beschriftung"/>
        <w:rPr>
          <w:lang w:val="it-IT"/>
        </w:rPr>
      </w:pPr>
      <w:bookmarkStart w:id="154" w:name="_Ref531079546"/>
      <w:r w:rsidRPr="00620D4B">
        <w:rPr>
          <w:lang w:val="it-IT"/>
        </w:rPr>
        <w:t xml:space="preserve">Figura </w:t>
      </w:r>
      <w:r>
        <w:fldChar w:fldCharType="begin"/>
      </w:r>
      <w:r w:rsidRPr="00620D4B">
        <w:rPr>
          <w:lang w:val="it-IT"/>
        </w:rPr>
        <w:instrText xml:space="preserve"> SEQ Abbildung \* ARABIC </w:instrText>
      </w:r>
      <w:r>
        <w:fldChar w:fldCharType="separate"/>
      </w:r>
      <w:r w:rsidR="00BD32B4">
        <w:rPr>
          <w:noProof/>
          <w:lang w:val="it-IT"/>
        </w:rPr>
        <w:t>1</w:t>
      </w:r>
      <w:r>
        <w:fldChar w:fldCharType="end"/>
      </w:r>
      <w:bookmarkEnd w:id="154"/>
      <w:r w:rsidRPr="00620D4B">
        <w:rPr>
          <w:lang w:val="it-IT"/>
        </w:rPr>
        <w:t xml:space="preserve">: </w:t>
      </w:r>
      <w:r w:rsidR="005F06FA">
        <w:rPr>
          <w:lang w:val="it-IT"/>
        </w:rPr>
        <w:t>S</w:t>
      </w:r>
      <w:r w:rsidRPr="00620D4B">
        <w:rPr>
          <w:lang w:val="it-IT"/>
        </w:rPr>
        <w:t xml:space="preserve">chema relativo ai </w:t>
      </w:r>
      <w:r w:rsidRPr="00524CF9">
        <w:rPr>
          <w:lang w:val="it-IT"/>
        </w:rPr>
        <w:t xml:space="preserve">termini e </w:t>
      </w:r>
      <w:r w:rsidR="005F06FA" w:rsidRPr="00524CF9">
        <w:rPr>
          <w:lang w:val="it-IT"/>
        </w:rPr>
        <w:t>ambito di validità</w:t>
      </w:r>
      <w:r w:rsidRPr="00524CF9">
        <w:rPr>
          <w:lang w:val="it-IT"/>
        </w:rPr>
        <w:t xml:space="preserve"> dei principi (</w:t>
      </w:r>
      <w:r w:rsidRPr="00620D4B">
        <w:rPr>
          <w:lang w:val="it-IT"/>
        </w:rPr>
        <w:t xml:space="preserve">fonte: </w:t>
      </w:r>
      <w:r w:rsidR="005F06FA">
        <w:rPr>
          <w:lang w:val="it-IT"/>
        </w:rPr>
        <w:t>figura elaborata dagli autori</w:t>
      </w:r>
      <w:r w:rsidRPr="00620D4B">
        <w:rPr>
          <w:lang w:val="it-IT"/>
        </w:rPr>
        <w:t>)</w:t>
      </w:r>
      <w:r w:rsidR="00AD2BB5">
        <w:rPr>
          <w:lang w:val="it-IT"/>
        </w:rPr>
        <w:t>.</w:t>
      </w:r>
    </w:p>
    <w:p w14:paraId="067E9A1B" w14:textId="02B586FF" w:rsidR="00E62FDA" w:rsidRPr="00CF0687" w:rsidRDefault="00E62FDA" w:rsidP="00E62FDA">
      <w:pPr>
        <w:rPr>
          <w:b/>
          <w:lang w:val="it-IT"/>
        </w:rPr>
      </w:pPr>
      <w:r w:rsidRPr="00CF0687">
        <w:rPr>
          <w:b/>
          <w:lang w:val="it-IT"/>
        </w:rPr>
        <w:t>Spiegazion</w:t>
      </w:r>
      <w:r w:rsidR="00C364DF" w:rsidRPr="00CF0687">
        <w:rPr>
          <w:b/>
          <w:lang w:val="it-IT"/>
        </w:rPr>
        <w:t>i</w:t>
      </w:r>
      <w:r w:rsidRPr="00CF0687">
        <w:rPr>
          <w:b/>
          <w:lang w:val="it-IT"/>
        </w:rPr>
        <w:t xml:space="preserve"> </w:t>
      </w:r>
      <w:r w:rsidR="008804E3" w:rsidRPr="00CF0687">
        <w:rPr>
          <w:b/>
          <w:lang w:val="it-IT"/>
        </w:rPr>
        <w:t>sulla</w:t>
      </w:r>
      <w:r w:rsidRPr="00CF0687">
        <w:rPr>
          <w:b/>
          <w:lang w:val="it-IT"/>
        </w:rPr>
        <w:t xml:space="preserve"> figura</w:t>
      </w:r>
    </w:p>
    <w:p w14:paraId="41EAA54C" w14:textId="2EC06F2A" w:rsidR="00E62FDA" w:rsidRPr="00620D4B" w:rsidRDefault="00E62FDA" w:rsidP="00E62FDA">
      <w:pPr>
        <w:rPr>
          <w:lang w:val="it-IT"/>
        </w:rPr>
      </w:pPr>
      <w:r w:rsidRPr="00CF0687">
        <w:rPr>
          <w:lang w:val="it-IT"/>
        </w:rPr>
        <w:t xml:space="preserve">La figura illustra la situazione descritta nel capitolo </w:t>
      </w:r>
      <w:r w:rsidRPr="00CF0687">
        <w:fldChar w:fldCharType="begin"/>
      </w:r>
      <w:r w:rsidRPr="00CF0687">
        <w:rPr>
          <w:lang w:val="it-IT"/>
        </w:rPr>
        <w:instrText xml:space="preserve"> REF _Ref525282763 \r \h </w:instrText>
      </w:r>
      <w:r w:rsidR="008804E3" w:rsidRPr="00CF0687">
        <w:rPr>
          <w:lang w:val="it-IT"/>
        </w:rPr>
        <w:instrText xml:space="preserve"> \* MERGEFORMAT </w:instrText>
      </w:r>
      <w:r w:rsidRPr="00CF0687">
        <w:fldChar w:fldCharType="separate"/>
      </w:r>
      <w:r w:rsidR="00BD32B4">
        <w:rPr>
          <w:lang w:val="it-IT"/>
        </w:rPr>
        <w:t>1.3</w:t>
      </w:r>
      <w:r w:rsidRPr="00CF0687">
        <w:fldChar w:fldCharType="end"/>
      </w:r>
      <w:r w:rsidRPr="00CF0687">
        <w:rPr>
          <w:lang w:val="it-IT"/>
        </w:rPr>
        <w:t xml:space="preserve"> </w:t>
      </w:r>
      <w:r w:rsidR="008804E3" w:rsidRPr="00CF0687">
        <w:rPr>
          <w:lang w:val="it-IT"/>
        </w:rPr>
        <w:t xml:space="preserve">nell’ambito della quale non sono ancora disponibili </w:t>
      </w:r>
      <w:r w:rsidR="008804E3" w:rsidRPr="00CF0687">
        <w:rPr>
          <w:lang w:val="it-CH"/>
        </w:rPr>
        <w:t xml:space="preserve">carte complete e aggiornate </w:t>
      </w:r>
      <w:r w:rsidR="00DA7241" w:rsidRPr="00CF0687">
        <w:rPr>
          <w:lang w:val="it-CH"/>
        </w:rPr>
        <w:t>de</w:t>
      </w:r>
      <w:r w:rsidR="00DF31A2">
        <w:rPr>
          <w:lang w:val="it-CH"/>
        </w:rPr>
        <w:t>i suoli</w:t>
      </w:r>
      <w:r w:rsidR="008804E3" w:rsidRPr="00CF0687">
        <w:rPr>
          <w:lang w:val="it-CH"/>
        </w:rPr>
        <w:t xml:space="preserve">, </w:t>
      </w:r>
      <w:r w:rsidRPr="00CF0687">
        <w:rPr>
          <w:lang w:val="it-IT"/>
        </w:rPr>
        <w:t xml:space="preserve">e gli inventari cantonali (la somma di tutte le superfici </w:t>
      </w:r>
      <w:r w:rsidR="00D32A0B" w:rsidRPr="00CF0687">
        <w:rPr>
          <w:lang w:val="it-IT"/>
        </w:rPr>
        <w:t>rilevate come SAC in un Cantone</w:t>
      </w:r>
      <w:r w:rsidRPr="00CF0687">
        <w:rPr>
          <w:lang w:val="it-IT"/>
        </w:rPr>
        <w:t xml:space="preserve">) non sono aggiornati. </w:t>
      </w:r>
      <w:r w:rsidR="00D32A0B" w:rsidRPr="00CF0687">
        <w:rPr>
          <w:lang w:val="it-IT"/>
        </w:rPr>
        <w:t>Oltre</w:t>
      </w:r>
      <w:r w:rsidR="00D32A0B">
        <w:rPr>
          <w:lang w:val="it-IT"/>
        </w:rPr>
        <w:t xml:space="preserve"> all’</w:t>
      </w:r>
      <w:r w:rsidRPr="00620D4B">
        <w:rPr>
          <w:lang w:val="it-IT"/>
        </w:rPr>
        <w:t>inventario SAC (blu scuro)</w:t>
      </w:r>
      <w:r w:rsidR="00CF0687">
        <w:rPr>
          <w:lang w:val="it-IT"/>
        </w:rPr>
        <w:t>,</w:t>
      </w:r>
      <w:r w:rsidRPr="00620D4B">
        <w:rPr>
          <w:lang w:val="it-IT"/>
        </w:rPr>
        <w:t xml:space="preserve"> </w:t>
      </w:r>
      <w:r w:rsidR="00D32A0B">
        <w:rPr>
          <w:lang w:val="it-IT"/>
        </w:rPr>
        <w:t>sono verosimilmente disponibili altr</w:t>
      </w:r>
      <w:r w:rsidR="00571CDD">
        <w:rPr>
          <w:lang w:val="it-IT"/>
        </w:rPr>
        <w:t>i suoli</w:t>
      </w:r>
      <w:r w:rsidR="00D32A0B">
        <w:rPr>
          <w:lang w:val="it-IT"/>
        </w:rPr>
        <w:t xml:space="preserve"> con qualità SAC </w:t>
      </w:r>
      <w:r w:rsidRPr="00620D4B">
        <w:rPr>
          <w:lang w:val="it-IT"/>
        </w:rPr>
        <w:t>(blu chiaro). Quest</w:t>
      </w:r>
      <w:r w:rsidR="00DF31A2">
        <w:rPr>
          <w:lang w:val="it-IT"/>
        </w:rPr>
        <w:t>i</w:t>
      </w:r>
      <w:r w:rsidRPr="00620D4B">
        <w:rPr>
          <w:lang w:val="it-IT"/>
        </w:rPr>
        <w:t xml:space="preserve"> devono essere </w:t>
      </w:r>
      <w:r w:rsidR="00D32A0B">
        <w:rPr>
          <w:lang w:val="it-IT"/>
        </w:rPr>
        <w:t xml:space="preserve">costantemente </w:t>
      </w:r>
      <w:r w:rsidR="00CF0687">
        <w:rPr>
          <w:lang w:val="it-IT"/>
        </w:rPr>
        <w:t>inclus</w:t>
      </w:r>
      <w:r w:rsidR="00DF31A2">
        <w:rPr>
          <w:lang w:val="it-IT"/>
        </w:rPr>
        <w:t>i</w:t>
      </w:r>
      <w:r w:rsidRPr="00620D4B">
        <w:rPr>
          <w:lang w:val="it-IT"/>
        </w:rPr>
        <w:t xml:space="preserve"> dai Cantoni nei loro inventari SAC (</w:t>
      </w:r>
      <w:r>
        <w:fldChar w:fldCharType="begin"/>
      </w:r>
      <w:r w:rsidRPr="00620D4B">
        <w:rPr>
          <w:lang w:val="it-IT"/>
        </w:rPr>
        <w:instrText xml:space="preserve"> REF _Ref525227301 \r \h </w:instrText>
      </w:r>
      <w:r>
        <w:fldChar w:fldCharType="separate"/>
      </w:r>
      <w:r w:rsidR="00BD32B4">
        <w:rPr>
          <w:lang w:val="it-IT"/>
        </w:rPr>
        <w:t>P4</w:t>
      </w:r>
      <w:r>
        <w:fldChar w:fldCharType="end"/>
      </w:r>
      <w:r w:rsidRPr="00620D4B">
        <w:rPr>
          <w:lang w:val="it-IT"/>
        </w:rPr>
        <w:t xml:space="preserve">). È altresì possibile che negli attuali inventari SAC </w:t>
      </w:r>
      <w:r w:rsidR="00345F01">
        <w:rPr>
          <w:lang w:val="it-IT"/>
        </w:rPr>
        <w:t>siano contenut</w:t>
      </w:r>
      <w:r w:rsidR="00571CDD">
        <w:rPr>
          <w:lang w:val="it-IT"/>
        </w:rPr>
        <w:t>i</w:t>
      </w:r>
      <w:r w:rsidR="00345F01">
        <w:rPr>
          <w:lang w:val="it-IT"/>
        </w:rPr>
        <w:t xml:space="preserve"> su</w:t>
      </w:r>
      <w:r w:rsidR="00571CDD">
        <w:rPr>
          <w:lang w:val="it-IT"/>
        </w:rPr>
        <w:t>oli</w:t>
      </w:r>
      <w:r w:rsidRPr="00620D4B">
        <w:rPr>
          <w:lang w:val="it-IT"/>
        </w:rPr>
        <w:t xml:space="preserve"> che non presentano (più) qualità SAC</w:t>
      </w:r>
      <w:r w:rsidR="00345F01">
        <w:rPr>
          <w:lang w:val="it-IT"/>
        </w:rPr>
        <w:t xml:space="preserve"> ai sensi del principio </w:t>
      </w:r>
      <w:r w:rsidR="00345F01" w:rsidRPr="00345F01">
        <w:fldChar w:fldCharType="begin"/>
      </w:r>
      <w:r w:rsidR="00345F01" w:rsidRPr="00345F01">
        <w:rPr>
          <w:lang w:val="it-IT"/>
        </w:rPr>
        <w:instrText xml:space="preserve"> REF _Ref520123456 \r \h </w:instrText>
      </w:r>
      <w:r w:rsidR="00345F01" w:rsidRPr="00345F01">
        <w:fldChar w:fldCharType="separate"/>
      </w:r>
      <w:r w:rsidR="00BD32B4">
        <w:rPr>
          <w:lang w:val="it-IT"/>
        </w:rPr>
        <w:t>P6</w:t>
      </w:r>
      <w:r w:rsidR="00345F01" w:rsidRPr="00345F01">
        <w:rPr>
          <w:lang w:val="it-IT"/>
        </w:rPr>
        <w:fldChar w:fldCharType="end"/>
      </w:r>
      <w:r w:rsidRPr="00620D4B">
        <w:rPr>
          <w:lang w:val="it-IT"/>
        </w:rPr>
        <w:t xml:space="preserve">. </w:t>
      </w:r>
    </w:p>
    <w:p w14:paraId="61D423E2" w14:textId="5C164017" w:rsidR="00E62FDA" w:rsidRPr="00620D4B" w:rsidRDefault="00E62FDA" w:rsidP="00E62FDA">
      <w:pPr>
        <w:rPr>
          <w:lang w:val="it-IT"/>
        </w:rPr>
      </w:pPr>
      <w:r w:rsidRPr="00620D4B">
        <w:rPr>
          <w:lang w:val="it-IT"/>
        </w:rPr>
        <w:t xml:space="preserve">Il contingente cantonale delle </w:t>
      </w:r>
      <w:r w:rsidRPr="00CF0687">
        <w:rPr>
          <w:lang w:val="it-IT"/>
        </w:rPr>
        <w:t xml:space="preserve">SAC </w:t>
      </w:r>
      <w:r w:rsidR="00345F01" w:rsidRPr="00CF0687">
        <w:rPr>
          <w:lang w:val="it-IT"/>
        </w:rPr>
        <w:t xml:space="preserve">ha una dimensione </w:t>
      </w:r>
      <w:r w:rsidRPr="00CF0687">
        <w:rPr>
          <w:lang w:val="it-IT"/>
        </w:rPr>
        <w:t>fissa (linea rossa)</w:t>
      </w:r>
      <w:r w:rsidR="00345F01" w:rsidRPr="00CF0687">
        <w:rPr>
          <w:lang w:val="it-IT"/>
        </w:rPr>
        <w:t>, e</w:t>
      </w:r>
      <w:r w:rsidR="00345F01">
        <w:rPr>
          <w:lang w:val="it-IT"/>
        </w:rPr>
        <w:t xml:space="preserve"> </w:t>
      </w:r>
      <w:r w:rsidRPr="00620D4B">
        <w:rPr>
          <w:lang w:val="it-IT"/>
        </w:rPr>
        <w:t>definisce l</w:t>
      </w:r>
      <w:r w:rsidR="00345F01">
        <w:rPr>
          <w:lang w:val="it-IT"/>
        </w:rPr>
        <w:t>a superficie SAC in ha che il Cantone deve garantire</w:t>
      </w:r>
      <w:r w:rsidRPr="00620D4B">
        <w:rPr>
          <w:lang w:val="it-IT"/>
        </w:rPr>
        <w:t xml:space="preserve"> a lungo termine (</w:t>
      </w:r>
      <w:r>
        <w:fldChar w:fldCharType="begin"/>
      </w:r>
      <w:r w:rsidRPr="00620D4B">
        <w:rPr>
          <w:lang w:val="it-IT"/>
        </w:rPr>
        <w:instrText xml:space="preserve"> REF _Ref519167584 \r \h </w:instrText>
      </w:r>
      <w:r>
        <w:fldChar w:fldCharType="separate"/>
      </w:r>
      <w:r w:rsidR="00BD32B4">
        <w:rPr>
          <w:lang w:val="it-IT"/>
        </w:rPr>
        <w:t>I2</w:t>
      </w:r>
      <w:r>
        <w:fldChar w:fldCharType="end"/>
      </w:r>
      <w:r w:rsidRPr="00620D4B">
        <w:rPr>
          <w:lang w:val="it-IT"/>
        </w:rPr>
        <w:t xml:space="preserve"> e</w:t>
      </w:r>
      <w:r w:rsidR="00381CBA">
        <w:rPr>
          <w:lang w:val="it-IT"/>
        </w:rPr>
        <w:t xml:space="preserve"> </w:t>
      </w:r>
      <w:r w:rsidR="00381CBA">
        <w:rPr>
          <w:lang w:val="it-IT"/>
        </w:rPr>
        <w:fldChar w:fldCharType="begin"/>
      </w:r>
      <w:r w:rsidR="00381CBA">
        <w:rPr>
          <w:lang w:val="it-IT"/>
        </w:rPr>
        <w:instrText xml:space="preserve"> REF _Ref532981555 \r \h </w:instrText>
      </w:r>
      <w:r w:rsidR="00381CBA">
        <w:rPr>
          <w:lang w:val="it-IT"/>
        </w:rPr>
      </w:r>
      <w:r w:rsidR="00381CBA">
        <w:rPr>
          <w:lang w:val="it-IT"/>
        </w:rPr>
        <w:fldChar w:fldCharType="separate"/>
      </w:r>
      <w:r w:rsidR="00BD32B4">
        <w:rPr>
          <w:lang w:val="it-IT"/>
        </w:rPr>
        <w:t>P2</w:t>
      </w:r>
      <w:r w:rsidR="00381CBA">
        <w:rPr>
          <w:lang w:val="it-IT"/>
        </w:rPr>
        <w:fldChar w:fldCharType="end"/>
      </w:r>
      <w:r w:rsidRPr="00620D4B">
        <w:rPr>
          <w:lang w:val="it-IT"/>
        </w:rPr>
        <w:t xml:space="preserve">). Il margine di manovra SAC </w:t>
      </w:r>
      <w:r w:rsidR="00345F01">
        <w:rPr>
          <w:lang w:val="it-IT"/>
        </w:rPr>
        <w:t xml:space="preserve">è </w:t>
      </w:r>
      <w:r w:rsidRPr="00620D4B">
        <w:rPr>
          <w:lang w:val="it-IT"/>
        </w:rPr>
        <w:t xml:space="preserve">la differenza </w:t>
      </w:r>
      <w:r w:rsidR="00345F01">
        <w:rPr>
          <w:lang w:val="it-IT"/>
        </w:rPr>
        <w:t>in</w:t>
      </w:r>
      <w:r w:rsidRPr="00620D4B">
        <w:rPr>
          <w:lang w:val="it-IT"/>
        </w:rPr>
        <w:t xml:space="preserve"> ha tra inventario e contingente</w:t>
      </w:r>
      <w:r w:rsidR="00345F01" w:rsidRPr="00345F01">
        <w:rPr>
          <w:lang w:val="it-IT"/>
        </w:rPr>
        <w:t xml:space="preserve"> </w:t>
      </w:r>
      <w:r w:rsidR="00345F01" w:rsidRPr="00620D4B">
        <w:rPr>
          <w:lang w:val="it-IT"/>
        </w:rPr>
        <w:t>cantonale</w:t>
      </w:r>
      <w:r w:rsidRPr="00620D4B">
        <w:rPr>
          <w:lang w:val="it-IT"/>
        </w:rPr>
        <w:t xml:space="preserve">. </w:t>
      </w:r>
      <w:r w:rsidR="00345F01">
        <w:rPr>
          <w:lang w:val="it-IT"/>
        </w:rPr>
        <w:t xml:space="preserve">La totalità dei contingenti cantonali corrisponde </w:t>
      </w:r>
      <w:r w:rsidR="005952C4">
        <w:rPr>
          <w:lang w:val="it-IT"/>
        </w:rPr>
        <w:t>all’estensione</w:t>
      </w:r>
      <w:r w:rsidRPr="00620D4B">
        <w:rPr>
          <w:lang w:val="it-IT"/>
        </w:rPr>
        <w:t xml:space="preserve"> minima da garantire a livello nazionale di 436</w:t>
      </w:r>
      <w:r w:rsidR="00345F01">
        <w:rPr>
          <w:lang w:val="it-IT"/>
        </w:rPr>
        <w:t xml:space="preserve"> </w:t>
      </w:r>
      <w:r w:rsidRPr="00620D4B">
        <w:rPr>
          <w:lang w:val="it-IT"/>
        </w:rPr>
        <w:t>460 ha (</w:t>
      </w:r>
      <w:r w:rsidR="00381CBA">
        <w:fldChar w:fldCharType="begin"/>
      </w:r>
      <w:r w:rsidR="00381CBA">
        <w:rPr>
          <w:lang w:val="it-IT"/>
        </w:rPr>
        <w:instrText xml:space="preserve"> REF _Ref532981609 \r \h </w:instrText>
      </w:r>
      <w:r w:rsidR="00381CBA">
        <w:fldChar w:fldCharType="separate"/>
      </w:r>
      <w:r w:rsidR="00BD32B4">
        <w:rPr>
          <w:lang w:val="it-IT"/>
        </w:rPr>
        <w:t>I1</w:t>
      </w:r>
      <w:r w:rsidR="00381CBA">
        <w:fldChar w:fldCharType="end"/>
      </w:r>
      <w:r w:rsidRPr="00620D4B">
        <w:rPr>
          <w:lang w:val="it-IT"/>
        </w:rPr>
        <w:t>).</w:t>
      </w:r>
    </w:p>
    <w:p w14:paraId="227175B0" w14:textId="577B9AC4" w:rsidR="00E62FDA" w:rsidRPr="00620D4B" w:rsidRDefault="00E62FDA" w:rsidP="00E62FDA">
      <w:pPr>
        <w:rPr>
          <w:lang w:val="it-IT"/>
        </w:rPr>
      </w:pPr>
      <w:r w:rsidRPr="00620D4B">
        <w:rPr>
          <w:lang w:val="it-IT"/>
        </w:rPr>
        <w:t xml:space="preserve">Tutte le SAC contenute nell’inventario sono definite dal punto di vista territoriale e </w:t>
      </w:r>
      <w:r w:rsidR="000D406B" w:rsidRPr="00620D4B">
        <w:rPr>
          <w:lang w:val="it-IT"/>
        </w:rPr>
        <w:t>(a partire dal 2021)</w:t>
      </w:r>
      <w:r w:rsidR="000D406B">
        <w:rPr>
          <w:lang w:val="it-IT"/>
        </w:rPr>
        <w:t xml:space="preserve"> </w:t>
      </w:r>
      <w:r w:rsidRPr="00620D4B">
        <w:rPr>
          <w:lang w:val="it-IT"/>
        </w:rPr>
        <w:t xml:space="preserve">vengono illustrate </w:t>
      </w:r>
      <w:r w:rsidR="00DF31A2">
        <w:rPr>
          <w:lang w:val="it-IT"/>
        </w:rPr>
        <w:t>sul</w:t>
      </w:r>
      <w:r w:rsidRPr="00620D4B">
        <w:rPr>
          <w:lang w:val="it-IT"/>
        </w:rPr>
        <w:t xml:space="preserve"> </w:t>
      </w:r>
      <w:proofErr w:type="spellStart"/>
      <w:r w:rsidRPr="00620D4B">
        <w:rPr>
          <w:lang w:val="it-IT"/>
        </w:rPr>
        <w:t>geoportale</w:t>
      </w:r>
      <w:proofErr w:type="spellEnd"/>
      <w:r w:rsidRPr="00620D4B">
        <w:rPr>
          <w:lang w:val="it-IT"/>
        </w:rPr>
        <w:t xml:space="preserve"> nazionale (</w:t>
      </w:r>
      <w:r w:rsidR="00381CBA">
        <w:fldChar w:fldCharType="begin"/>
      </w:r>
      <w:r w:rsidR="00381CBA">
        <w:rPr>
          <w:lang w:val="it-IT"/>
        </w:rPr>
        <w:instrText xml:space="preserve"> REF _Ref532981622 \r \h </w:instrText>
      </w:r>
      <w:r w:rsidR="00381CBA">
        <w:fldChar w:fldCharType="separate"/>
      </w:r>
      <w:r w:rsidR="00BD32B4">
        <w:rPr>
          <w:lang w:val="it-IT"/>
        </w:rPr>
        <w:t>P13</w:t>
      </w:r>
      <w:r w:rsidR="00381CBA">
        <w:fldChar w:fldCharType="end"/>
      </w:r>
      <w:r w:rsidRPr="00620D4B">
        <w:rPr>
          <w:lang w:val="it-IT"/>
        </w:rPr>
        <w:t xml:space="preserve">). </w:t>
      </w:r>
      <w:r w:rsidR="000D406B">
        <w:rPr>
          <w:lang w:val="it-IT"/>
        </w:rPr>
        <w:t xml:space="preserve">Non viene fatta alcuna distinzione </w:t>
      </w:r>
      <w:r w:rsidRPr="00620D4B">
        <w:rPr>
          <w:lang w:val="it-IT"/>
        </w:rPr>
        <w:t xml:space="preserve">tra </w:t>
      </w:r>
      <w:r w:rsidR="000D406B">
        <w:rPr>
          <w:lang w:val="it-IT"/>
        </w:rPr>
        <w:t xml:space="preserve">le </w:t>
      </w:r>
      <w:r w:rsidRPr="00620D4B">
        <w:rPr>
          <w:lang w:val="it-IT"/>
        </w:rPr>
        <w:t xml:space="preserve">superfici che appartengono al contingente e quelle che </w:t>
      </w:r>
      <w:r w:rsidR="000D406B">
        <w:rPr>
          <w:lang w:val="it-IT"/>
        </w:rPr>
        <w:t xml:space="preserve">rappresentano </w:t>
      </w:r>
      <w:r w:rsidRPr="00620D4B">
        <w:rPr>
          <w:lang w:val="it-IT"/>
        </w:rPr>
        <w:t xml:space="preserve">il margine di manovra cantonale. </w:t>
      </w:r>
    </w:p>
    <w:p w14:paraId="75BC9995" w14:textId="0649F6F3" w:rsidR="00E62FDA" w:rsidRPr="00620D4B" w:rsidRDefault="00E62FDA" w:rsidP="00E62FDA">
      <w:pPr>
        <w:rPr>
          <w:lang w:val="it-IT"/>
        </w:rPr>
      </w:pPr>
      <w:r w:rsidRPr="00620D4B">
        <w:rPr>
          <w:lang w:val="it-IT"/>
        </w:rPr>
        <w:t>I principi del Piano settoriale per la gestione delle SAC valgono per le SAC</w:t>
      </w:r>
      <w:r w:rsidR="000D406B">
        <w:rPr>
          <w:lang w:val="it-IT"/>
        </w:rPr>
        <w:t xml:space="preserve"> attualmente</w:t>
      </w:r>
      <w:r w:rsidRPr="00620D4B">
        <w:rPr>
          <w:lang w:val="it-IT"/>
        </w:rPr>
        <w:t xml:space="preserve"> riunite</w:t>
      </w:r>
      <w:r w:rsidR="000D406B">
        <w:rPr>
          <w:lang w:val="it-IT"/>
        </w:rPr>
        <w:t xml:space="preserve"> negli inventari SAC dei Cantoni e (</w:t>
      </w:r>
      <w:r w:rsidRPr="00620D4B">
        <w:rPr>
          <w:lang w:val="it-IT"/>
        </w:rPr>
        <w:t xml:space="preserve">dal 2021) </w:t>
      </w:r>
      <w:r w:rsidR="000D406B">
        <w:rPr>
          <w:lang w:val="it-IT"/>
        </w:rPr>
        <w:t xml:space="preserve">pubblicate </w:t>
      </w:r>
      <w:r w:rsidR="00DF31A2">
        <w:rPr>
          <w:lang w:val="it-IT"/>
        </w:rPr>
        <w:t>sul</w:t>
      </w:r>
      <w:r w:rsidRPr="00620D4B">
        <w:rPr>
          <w:lang w:val="it-IT"/>
        </w:rPr>
        <w:t xml:space="preserve"> </w:t>
      </w:r>
      <w:proofErr w:type="spellStart"/>
      <w:r w:rsidRPr="00620D4B">
        <w:rPr>
          <w:lang w:val="it-IT"/>
        </w:rPr>
        <w:t>geoportale</w:t>
      </w:r>
      <w:proofErr w:type="spellEnd"/>
      <w:r w:rsidRPr="00620D4B">
        <w:rPr>
          <w:lang w:val="it-IT"/>
        </w:rPr>
        <w:t xml:space="preserve"> </w:t>
      </w:r>
      <w:r w:rsidRPr="00CF0687">
        <w:rPr>
          <w:lang w:val="it-IT"/>
        </w:rPr>
        <w:t xml:space="preserve">nazionale. </w:t>
      </w:r>
      <w:r w:rsidR="000D406B" w:rsidRPr="00CF0687">
        <w:rPr>
          <w:lang w:val="it-IT"/>
        </w:rPr>
        <w:t>Fanno eccezione i</w:t>
      </w:r>
      <w:r w:rsidR="00CF0687" w:rsidRPr="00CF0687">
        <w:rPr>
          <w:lang w:val="it-IT"/>
        </w:rPr>
        <w:t>l</w:t>
      </w:r>
      <w:r w:rsidR="000D406B" w:rsidRPr="00CF0687">
        <w:rPr>
          <w:lang w:val="it-IT"/>
        </w:rPr>
        <w:t xml:space="preserve"> principi</w:t>
      </w:r>
      <w:r w:rsidR="00CF0687" w:rsidRPr="00CF0687">
        <w:rPr>
          <w:lang w:val="it-IT"/>
        </w:rPr>
        <w:t>o</w:t>
      </w:r>
      <w:r w:rsidR="000D406B" w:rsidRPr="00CF0687">
        <w:rPr>
          <w:lang w:val="it-IT"/>
        </w:rPr>
        <w:t xml:space="preserve"> relativ</w:t>
      </w:r>
      <w:r w:rsidR="00CF0687" w:rsidRPr="00CF0687">
        <w:rPr>
          <w:lang w:val="it-IT"/>
        </w:rPr>
        <w:t>o</w:t>
      </w:r>
      <w:r w:rsidR="000D406B" w:rsidRPr="00CF0687">
        <w:rPr>
          <w:lang w:val="it-IT"/>
        </w:rPr>
        <w:t xml:space="preserve"> alla gestione di altr</w:t>
      </w:r>
      <w:r w:rsidR="00EF3CE7">
        <w:rPr>
          <w:lang w:val="it-IT"/>
        </w:rPr>
        <w:t>i suoli</w:t>
      </w:r>
      <w:r w:rsidR="000D406B" w:rsidRPr="00CF0687">
        <w:rPr>
          <w:lang w:val="it-IT"/>
        </w:rPr>
        <w:t xml:space="preserve"> con qualità SAC </w:t>
      </w:r>
      <w:r w:rsidRPr="00CF0687">
        <w:rPr>
          <w:lang w:val="it-IT"/>
        </w:rPr>
        <w:t>(</w:t>
      </w:r>
      <w:r w:rsidRPr="00CF0687">
        <w:fldChar w:fldCharType="begin"/>
      </w:r>
      <w:r w:rsidRPr="00CF0687">
        <w:rPr>
          <w:lang w:val="it-IT"/>
        </w:rPr>
        <w:instrText xml:space="preserve"> REF _Ref525227301 \r \h </w:instrText>
      </w:r>
      <w:r w:rsidR="000D406B" w:rsidRPr="00CF0687">
        <w:rPr>
          <w:lang w:val="it-IT"/>
        </w:rPr>
        <w:instrText xml:space="preserve"> \* MERGEFORMAT </w:instrText>
      </w:r>
      <w:r w:rsidRPr="00CF0687">
        <w:fldChar w:fldCharType="separate"/>
      </w:r>
      <w:r w:rsidR="00BD32B4">
        <w:rPr>
          <w:lang w:val="it-IT"/>
        </w:rPr>
        <w:t>P4</w:t>
      </w:r>
      <w:r w:rsidRPr="00CF0687">
        <w:fldChar w:fldCharType="end"/>
      </w:r>
      <w:r w:rsidRPr="00CF0687">
        <w:rPr>
          <w:lang w:val="it-IT"/>
        </w:rPr>
        <w:t xml:space="preserve">) e </w:t>
      </w:r>
      <w:r w:rsidR="00CF0687" w:rsidRPr="00CF0687">
        <w:rPr>
          <w:lang w:val="it-IT"/>
        </w:rPr>
        <w:t xml:space="preserve">il principio relativo </w:t>
      </w:r>
      <w:r w:rsidR="000D406B" w:rsidRPr="00CF0687">
        <w:rPr>
          <w:lang w:val="it-IT"/>
        </w:rPr>
        <w:t>a s</w:t>
      </w:r>
      <w:r w:rsidR="00EF3CE7">
        <w:rPr>
          <w:lang w:val="it-IT"/>
        </w:rPr>
        <w:t>uoli</w:t>
      </w:r>
      <w:r w:rsidRPr="00CF0687">
        <w:rPr>
          <w:lang w:val="it-IT"/>
        </w:rPr>
        <w:t xml:space="preserve"> con potenziale di valorizzazione (</w:t>
      </w:r>
      <w:r w:rsidR="00381CBA">
        <w:rPr>
          <w:lang w:val="it-IT"/>
        </w:rPr>
        <w:fldChar w:fldCharType="begin"/>
      </w:r>
      <w:r w:rsidR="00381CBA">
        <w:rPr>
          <w:lang w:val="it-IT"/>
        </w:rPr>
        <w:instrText xml:space="preserve"> REF _Ref532981632 \r \h </w:instrText>
      </w:r>
      <w:r w:rsidR="00381CBA">
        <w:rPr>
          <w:lang w:val="it-IT"/>
        </w:rPr>
      </w:r>
      <w:r w:rsidR="00381CBA">
        <w:rPr>
          <w:lang w:val="it-IT"/>
        </w:rPr>
        <w:fldChar w:fldCharType="separate"/>
      </w:r>
      <w:r w:rsidR="00BD32B4">
        <w:rPr>
          <w:lang w:val="it-IT"/>
        </w:rPr>
        <w:t>P7</w:t>
      </w:r>
      <w:r w:rsidR="00381CBA">
        <w:rPr>
          <w:lang w:val="it-IT"/>
        </w:rPr>
        <w:fldChar w:fldCharType="end"/>
      </w:r>
      <w:r w:rsidRPr="00CF0687">
        <w:rPr>
          <w:lang w:val="it-IT"/>
        </w:rPr>
        <w:t>).</w:t>
      </w:r>
    </w:p>
    <w:p w14:paraId="5F5CCF41" w14:textId="012CE7D9" w:rsidR="00E62FDA" w:rsidRPr="001E2443" w:rsidRDefault="00E62FDA" w:rsidP="00E62FDA">
      <w:pPr>
        <w:rPr>
          <w:lang w:val="it-IT"/>
        </w:rPr>
      </w:pPr>
      <w:r w:rsidRPr="001E2443">
        <w:rPr>
          <w:lang w:val="it-IT"/>
        </w:rPr>
        <w:lastRenderedPageBreak/>
        <w:t xml:space="preserve">Le frecce bianche illustrano i cambiamenti dell’inventario delle SAC nel corso del tempo: da un lato </w:t>
      </w:r>
      <w:r w:rsidR="001E2443">
        <w:rPr>
          <w:lang w:val="it-IT"/>
        </w:rPr>
        <w:t xml:space="preserve">alcune </w:t>
      </w:r>
      <w:r w:rsidR="001E2443" w:rsidRPr="00CF0687">
        <w:rPr>
          <w:lang w:val="it-IT"/>
        </w:rPr>
        <w:t xml:space="preserve">SAC </w:t>
      </w:r>
      <w:r w:rsidRPr="00CF0687">
        <w:rPr>
          <w:lang w:val="it-IT"/>
        </w:rPr>
        <w:t xml:space="preserve">vengono consumate, dall’altro </w:t>
      </w:r>
      <w:r w:rsidR="001E2443" w:rsidRPr="00CF0687">
        <w:rPr>
          <w:lang w:val="it-IT"/>
        </w:rPr>
        <w:t>se ne aggiungono di nuove provenienti da</w:t>
      </w:r>
      <w:r w:rsidRPr="00CF0687">
        <w:rPr>
          <w:lang w:val="it-IT"/>
        </w:rPr>
        <w:t xml:space="preserve"> valorizzazioni </w:t>
      </w:r>
      <w:r w:rsidR="00633827" w:rsidRPr="00CF0687">
        <w:rPr>
          <w:lang w:val="it-IT"/>
        </w:rPr>
        <w:t xml:space="preserve">e </w:t>
      </w:r>
      <w:proofErr w:type="spellStart"/>
      <w:r w:rsidR="00633827" w:rsidRPr="00CF0687">
        <w:rPr>
          <w:lang w:val="it-IT"/>
        </w:rPr>
        <w:t>ricoltivazioni</w:t>
      </w:r>
      <w:proofErr w:type="spellEnd"/>
      <w:r w:rsidR="00633827" w:rsidRPr="00CF0687">
        <w:rPr>
          <w:lang w:val="it-IT"/>
        </w:rPr>
        <w:t xml:space="preserve"> di terreni, </w:t>
      </w:r>
      <w:r w:rsidRPr="00CF0687">
        <w:rPr>
          <w:lang w:val="it-IT"/>
        </w:rPr>
        <w:t>o da nuovi rilevamenti</w:t>
      </w:r>
      <w:r w:rsidRPr="001E2443">
        <w:rPr>
          <w:lang w:val="it-IT"/>
        </w:rPr>
        <w:t xml:space="preserve">. Il piano settoriale definisce le esigenze nei confronti dei dati </w:t>
      </w:r>
      <w:r w:rsidR="00CF0687">
        <w:rPr>
          <w:lang w:val="it-IT"/>
        </w:rPr>
        <w:t>sul suolo</w:t>
      </w:r>
      <w:r w:rsidRPr="001E2443">
        <w:rPr>
          <w:lang w:val="it-IT"/>
        </w:rPr>
        <w:t xml:space="preserve"> </w:t>
      </w:r>
      <w:r w:rsidR="00633827">
        <w:rPr>
          <w:lang w:val="it-IT"/>
        </w:rPr>
        <w:t xml:space="preserve">utilizzati come base e dei </w:t>
      </w:r>
      <w:r w:rsidRPr="001E2443">
        <w:rPr>
          <w:lang w:val="it-IT"/>
        </w:rPr>
        <w:t>criteri di qualità (</w:t>
      </w:r>
      <w:r w:rsidRPr="001E2443">
        <w:fldChar w:fldCharType="begin"/>
      </w:r>
      <w:r w:rsidRPr="001E2443">
        <w:rPr>
          <w:lang w:val="it-IT"/>
        </w:rPr>
        <w:instrText xml:space="preserve"> REF _Ref525658814 \r \h </w:instrText>
      </w:r>
      <w:r w:rsidR="0004055D" w:rsidRPr="001E2443">
        <w:rPr>
          <w:lang w:val="it-IT"/>
        </w:rPr>
        <w:instrText xml:space="preserve"> \* MERGEFORMAT </w:instrText>
      </w:r>
      <w:r w:rsidRPr="001E2443">
        <w:fldChar w:fldCharType="separate"/>
      </w:r>
      <w:r w:rsidR="00BD32B4">
        <w:rPr>
          <w:lang w:val="it-IT"/>
        </w:rPr>
        <w:t>P5</w:t>
      </w:r>
      <w:r w:rsidRPr="001E2443">
        <w:fldChar w:fldCharType="end"/>
      </w:r>
      <w:r w:rsidRPr="001E2443">
        <w:rPr>
          <w:lang w:val="it-IT"/>
        </w:rPr>
        <w:t xml:space="preserve"> e </w:t>
      </w:r>
      <w:r w:rsidRPr="001E2443">
        <w:fldChar w:fldCharType="begin"/>
      </w:r>
      <w:r w:rsidRPr="001E2443">
        <w:rPr>
          <w:lang w:val="it-IT"/>
        </w:rPr>
        <w:instrText xml:space="preserve"> REF _Ref520123456 \r \h </w:instrText>
      </w:r>
      <w:r w:rsidR="0004055D" w:rsidRPr="001E2443">
        <w:rPr>
          <w:lang w:val="it-IT"/>
        </w:rPr>
        <w:instrText xml:space="preserve"> \* MERGEFORMAT </w:instrText>
      </w:r>
      <w:r w:rsidRPr="001E2443">
        <w:fldChar w:fldCharType="separate"/>
      </w:r>
      <w:r w:rsidR="00BD32B4">
        <w:rPr>
          <w:lang w:val="it-IT"/>
        </w:rPr>
        <w:t>P6</w:t>
      </w:r>
      <w:r w:rsidRPr="001E2443">
        <w:fldChar w:fldCharType="end"/>
      </w:r>
      <w:r w:rsidRPr="001E2443">
        <w:rPr>
          <w:lang w:val="it-IT"/>
        </w:rPr>
        <w:t xml:space="preserve">). </w:t>
      </w:r>
    </w:p>
    <w:p w14:paraId="4707F5FE" w14:textId="25C91EA6" w:rsidR="000F4684" w:rsidRPr="00620D4B" w:rsidRDefault="00DF31A2" w:rsidP="00E62FDA">
      <w:pPr>
        <w:rPr>
          <w:lang w:val="it-IT"/>
        </w:rPr>
      </w:pPr>
      <w:r>
        <w:rPr>
          <w:lang w:val="it-IT"/>
        </w:rPr>
        <w:t>Se possibile</w:t>
      </w:r>
      <w:r w:rsidR="00E62FDA" w:rsidRPr="001E2443">
        <w:rPr>
          <w:lang w:val="it-IT"/>
        </w:rPr>
        <w:t xml:space="preserve">, ogni consumo </w:t>
      </w:r>
      <w:r w:rsidR="00CF0687">
        <w:rPr>
          <w:lang w:val="it-IT"/>
        </w:rPr>
        <w:t>di</w:t>
      </w:r>
      <w:r w:rsidR="00E62FDA" w:rsidRPr="001E2443">
        <w:rPr>
          <w:lang w:val="it-IT"/>
        </w:rPr>
        <w:t xml:space="preserve"> SAC </w:t>
      </w:r>
      <w:r w:rsidR="00633827">
        <w:rPr>
          <w:lang w:val="it-IT"/>
        </w:rPr>
        <w:t xml:space="preserve">iscritte </w:t>
      </w:r>
      <w:r w:rsidR="00E62FDA" w:rsidRPr="001E2443">
        <w:rPr>
          <w:lang w:val="it-IT"/>
        </w:rPr>
        <w:t xml:space="preserve">nell’inventario </w:t>
      </w:r>
      <w:r>
        <w:rPr>
          <w:lang w:val="it-IT"/>
        </w:rPr>
        <w:t>deve</w:t>
      </w:r>
      <w:r w:rsidR="00E62FDA" w:rsidRPr="001E2443">
        <w:rPr>
          <w:lang w:val="it-IT"/>
        </w:rPr>
        <w:t xml:space="preserve"> essere compensato (</w:t>
      </w:r>
      <w:r w:rsidR="00381CBA">
        <w:rPr>
          <w:lang w:val="it-IT"/>
        </w:rPr>
        <w:fldChar w:fldCharType="begin"/>
      </w:r>
      <w:r w:rsidR="00381CBA">
        <w:rPr>
          <w:lang w:val="it-IT"/>
        </w:rPr>
        <w:instrText xml:space="preserve"> REF _Ref532981510 \r \h </w:instrText>
      </w:r>
      <w:r w:rsidR="00381CBA">
        <w:rPr>
          <w:lang w:val="it-IT"/>
        </w:rPr>
      </w:r>
      <w:r w:rsidR="00381CBA">
        <w:rPr>
          <w:lang w:val="it-IT"/>
        </w:rPr>
        <w:fldChar w:fldCharType="separate"/>
      </w:r>
      <w:r w:rsidR="00BD32B4">
        <w:rPr>
          <w:lang w:val="it-IT"/>
        </w:rPr>
        <w:t>P8</w:t>
      </w:r>
      <w:r w:rsidR="00381CBA">
        <w:rPr>
          <w:lang w:val="it-IT"/>
        </w:rPr>
        <w:fldChar w:fldCharType="end"/>
      </w:r>
      <w:r w:rsidR="00E62FDA" w:rsidRPr="001E2443">
        <w:rPr>
          <w:lang w:val="it-IT"/>
        </w:rPr>
        <w:t xml:space="preserve">). </w:t>
      </w:r>
      <w:r w:rsidR="00633827">
        <w:rPr>
          <w:lang w:val="it-IT"/>
        </w:rPr>
        <w:t xml:space="preserve">Nel caso </w:t>
      </w:r>
      <w:r w:rsidR="00E62FDA" w:rsidRPr="001E2443">
        <w:rPr>
          <w:lang w:val="it-IT"/>
        </w:rPr>
        <w:t xml:space="preserve">di progetti federali </w:t>
      </w:r>
      <w:r w:rsidR="00633827">
        <w:rPr>
          <w:lang w:val="it-IT"/>
        </w:rPr>
        <w:t xml:space="preserve">tale compensazione ha luogo </w:t>
      </w:r>
      <w:r w:rsidR="00E62FDA" w:rsidRPr="001E2443">
        <w:rPr>
          <w:lang w:val="it-IT"/>
        </w:rPr>
        <w:t>in stretta collaborazione con i Cantoni (</w:t>
      </w:r>
      <w:r w:rsidR="00381CBA">
        <w:fldChar w:fldCharType="begin"/>
      </w:r>
      <w:r w:rsidR="00381CBA">
        <w:rPr>
          <w:lang w:val="it-IT"/>
        </w:rPr>
        <w:instrText xml:space="preserve"> REF _Ref532981663 \r \h </w:instrText>
      </w:r>
      <w:r w:rsidR="00381CBA">
        <w:fldChar w:fldCharType="separate"/>
      </w:r>
      <w:r w:rsidR="00BD32B4">
        <w:rPr>
          <w:lang w:val="it-IT"/>
        </w:rPr>
        <w:t>P12</w:t>
      </w:r>
      <w:r w:rsidR="00381CBA">
        <w:fldChar w:fldCharType="end"/>
      </w:r>
      <w:r w:rsidR="00381CBA" w:rsidRPr="00381CBA">
        <w:rPr>
          <w:lang w:val="it-CH"/>
        </w:rPr>
        <w:t xml:space="preserve">) </w:t>
      </w:r>
      <w:r w:rsidR="00633827">
        <w:rPr>
          <w:lang w:val="it-IT"/>
        </w:rPr>
        <w:t>Se il</w:t>
      </w:r>
      <w:r w:rsidR="00E62FDA" w:rsidRPr="001E2443">
        <w:rPr>
          <w:lang w:val="it-IT"/>
        </w:rPr>
        <w:t xml:space="preserve"> contingente cantonale non </w:t>
      </w:r>
      <w:r w:rsidR="00633827">
        <w:rPr>
          <w:lang w:val="it-IT"/>
        </w:rPr>
        <w:t>può</w:t>
      </w:r>
      <w:r w:rsidR="00E62FDA" w:rsidRPr="001E2443">
        <w:rPr>
          <w:lang w:val="it-IT"/>
        </w:rPr>
        <w:t xml:space="preserve"> essere </w:t>
      </w:r>
      <w:r w:rsidR="00633827" w:rsidRPr="00CF0687">
        <w:rPr>
          <w:lang w:val="it-IT"/>
        </w:rPr>
        <w:t xml:space="preserve">altrimenti </w:t>
      </w:r>
      <w:r w:rsidR="005B07D3" w:rsidRPr="00CF0687">
        <w:rPr>
          <w:lang w:val="it-IT"/>
        </w:rPr>
        <w:t>mantenuto</w:t>
      </w:r>
      <w:r w:rsidR="00E62FDA" w:rsidRPr="00CF0687">
        <w:rPr>
          <w:lang w:val="it-IT"/>
        </w:rPr>
        <w:t>, qualsiasi consumo</w:t>
      </w:r>
      <w:r w:rsidR="00E62FDA" w:rsidRPr="001E2443">
        <w:rPr>
          <w:lang w:val="it-IT"/>
        </w:rPr>
        <w:t xml:space="preserve"> di SAC deve essere compensato </w:t>
      </w:r>
      <w:r>
        <w:rPr>
          <w:lang w:val="it-IT"/>
        </w:rPr>
        <w:t>obbligatoriamente</w:t>
      </w:r>
      <w:r w:rsidRPr="001E2443">
        <w:rPr>
          <w:lang w:val="it-IT"/>
        </w:rPr>
        <w:t xml:space="preserve"> </w:t>
      </w:r>
      <w:r w:rsidR="00E62FDA" w:rsidRPr="001E2443">
        <w:rPr>
          <w:lang w:val="it-IT"/>
        </w:rPr>
        <w:t>(</w:t>
      </w:r>
      <w:r w:rsidR="00381CBA">
        <w:fldChar w:fldCharType="begin"/>
      </w:r>
      <w:r w:rsidR="00381CBA">
        <w:rPr>
          <w:lang w:val="it-IT"/>
        </w:rPr>
        <w:instrText xml:space="preserve"> REF _Ref532981555 \r \h </w:instrText>
      </w:r>
      <w:r w:rsidR="00381CBA">
        <w:fldChar w:fldCharType="separate"/>
      </w:r>
      <w:r w:rsidR="00BD32B4">
        <w:rPr>
          <w:lang w:val="it-IT"/>
        </w:rPr>
        <w:t>P2</w:t>
      </w:r>
      <w:r w:rsidR="00381CBA">
        <w:fldChar w:fldCharType="end"/>
      </w:r>
      <w:r w:rsidR="00E62FDA" w:rsidRPr="001E2443">
        <w:rPr>
          <w:lang w:val="it-IT"/>
        </w:rPr>
        <w:t>).</w:t>
      </w:r>
    </w:p>
    <w:p w14:paraId="5C993CD7" w14:textId="18A8DEE7" w:rsidR="00524CF9" w:rsidRPr="00CF2423" w:rsidRDefault="00826401" w:rsidP="00826401">
      <w:pPr>
        <w:pStyle w:val="berschrift2"/>
        <w:rPr>
          <w:lang w:val="it-CH"/>
        </w:rPr>
      </w:pPr>
      <w:bookmarkStart w:id="155" w:name="_Toc531173101"/>
      <w:bookmarkStart w:id="156" w:name="_Toc533053023"/>
      <w:r>
        <w:rPr>
          <w:lang w:val="it-CH"/>
        </w:rPr>
        <w:t>S</w:t>
      </w:r>
      <w:r w:rsidR="00524CF9" w:rsidRPr="00CF2423">
        <w:rPr>
          <w:lang w:val="it-CH"/>
        </w:rPr>
        <w:t>piegazioni dei termini</w:t>
      </w:r>
      <w:bookmarkEnd w:id="155"/>
      <w:bookmarkEnd w:id="156"/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7451"/>
      </w:tblGrid>
      <w:tr w:rsidR="00826401" w:rsidRPr="00E51727" w14:paraId="2586BAB8" w14:textId="77777777" w:rsidTr="00E26043">
        <w:trPr>
          <w:trHeight w:val="20"/>
        </w:trPr>
        <w:tc>
          <w:tcPr>
            <w:tcW w:w="2074" w:type="dxa"/>
          </w:tcPr>
          <w:p w14:paraId="5FCE066F" w14:textId="77777777" w:rsidR="00826401" w:rsidRPr="00E51727" w:rsidRDefault="00826401" w:rsidP="00214BEB">
            <w:pPr>
              <w:spacing w:after="0"/>
              <w:rPr>
                <w:b/>
                <w:lang w:val="it-CH"/>
              </w:rPr>
            </w:pPr>
            <w:bookmarkStart w:id="157" w:name="_Hlk531529141"/>
          </w:p>
        </w:tc>
        <w:tc>
          <w:tcPr>
            <w:tcW w:w="7451" w:type="dxa"/>
          </w:tcPr>
          <w:p w14:paraId="7DD9BF24" w14:textId="77777777" w:rsidR="00826401" w:rsidRPr="00E51727" w:rsidRDefault="00826401" w:rsidP="00214BEB">
            <w:pPr>
              <w:spacing w:after="0"/>
              <w:rPr>
                <w:lang w:val="it-CH"/>
              </w:rPr>
            </w:pPr>
          </w:p>
        </w:tc>
      </w:tr>
      <w:tr w:rsidR="00826401" w:rsidRPr="002C06C6" w14:paraId="37431961" w14:textId="77777777" w:rsidTr="00E26043">
        <w:trPr>
          <w:trHeight w:val="20"/>
        </w:trPr>
        <w:tc>
          <w:tcPr>
            <w:tcW w:w="2074" w:type="dxa"/>
          </w:tcPr>
          <w:p w14:paraId="3CB5FB63" w14:textId="77777777" w:rsidR="00826401" w:rsidRPr="00E51727" w:rsidRDefault="00826401" w:rsidP="325E5E49">
            <w:pPr>
              <w:rPr>
                <w:b/>
                <w:bCs/>
                <w:lang w:val="it-CH"/>
              </w:rPr>
            </w:pPr>
            <w:bookmarkStart w:id="158" w:name="_Hlk529370366"/>
            <w:bookmarkEnd w:id="157"/>
            <w:r w:rsidRPr="00E51727">
              <w:rPr>
                <w:b/>
                <w:bCs/>
                <w:lang w:val="it-CH"/>
              </w:rPr>
              <w:t>Casi speciali</w:t>
            </w:r>
          </w:p>
          <w:p w14:paraId="2C79D6F0" w14:textId="77777777" w:rsidR="00826401" w:rsidRPr="00E51727" w:rsidRDefault="00826401" w:rsidP="00A5351B">
            <w:pPr>
              <w:rPr>
                <w:b/>
                <w:lang w:val="it-CH"/>
              </w:rPr>
            </w:pPr>
          </w:p>
        </w:tc>
        <w:tc>
          <w:tcPr>
            <w:tcW w:w="7451" w:type="dxa"/>
          </w:tcPr>
          <w:p w14:paraId="59378416" w14:textId="77777777" w:rsidR="00826401" w:rsidRPr="00E51727" w:rsidRDefault="00826401" w:rsidP="092AEEA6">
            <w:pPr>
              <w:rPr>
                <w:bCs/>
                <w:lang w:val="it-CH"/>
              </w:rPr>
            </w:pPr>
            <w:r w:rsidRPr="00E51727">
              <w:rPr>
                <w:lang w:val="it-CH"/>
              </w:rPr>
              <w:t xml:space="preserve">I casi speciali sono superfici destinate a utilizzazioni speciali, il cui suolo presenta tuttavia qualità SAC. Esse, ad esempio, possono essere superfici </w:t>
            </w:r>
          </w:p>
          <w:p w14:paraId="41D32419" w14:textId="77777777" w:rsidR="00826401" w:rsidRPr="00E51727" w:rsidRDefault="00826401" w:rsidP="00081177">
            <w:pPr>
              <w:pStyle w:val="Listenabsatz"/>
              <w:numPr>
                <w:ilvl w:val="0"/>
                <w:numId w:val="24"/>
              </w:numPr>
              <w:ind w:left="519" w:hanging="284"/>
              <w:rPr>
                <w:lang w:val="it-CH"/>
              </w:rPr>
            </w:pPr>
            <w:r w:rsidRPr="00E51727">
              <w:rPr>
                <w:lang w:val="it-CH"/>
              </w:rPr>
              <w:t>che non vengono utilizzate per scopi agricoli (ad es. campi da golf);</w:t>
            </w:r>
          </w:p>
          <w:p w14:paraId="5C1CA055" w14:textId="6D989CFD" w:rsidR="00826401" w:rsidRPr="00E51727" w:rsidRDefault="00826401" w:rsidP="00081177">
            <w:pPr>
              <w:pStyle w:val="Listenabsatz"/>
              <w:numPr>
                <w:ilvl w:val="0"/>
                <w:numId w:val="24"/>
              </w:numPr>
              <w:ind w:left="519" w:hanging="284"/>
              <w:rPr>
                <w:lang w:val="it-CH"/>
              </w:rPr>
            </w:pPr>
            <w:r w:rsidRPr="00E51727">
              <w:rPr>
                <w:lang w:val="it-CH"/>
              </w:rPr>
              <w:t>che vengono utilizzate per colture perenni (ad es. frutta, vigneti, bacche, vivai)</w:t>
            </w:r>
            <w:r w:rsidR="003435FE" w:rsidRPr="00E51727">
              <w:rPr>
                <w:rStyle w:val="Funotenzeichen"/>
                <w:lang w:val="it-CH"/>
              </w:rPr>
              <w:footnoteReference w:id="20"/>
            </w:r>
            <w:r w:rsidRPr="00E51727">
              <w:rPr>
                <w:lang w:val="it-CH"/>
              </w:rPr>
              <w:t>;</w:t>
            </w:r>
          </w:p>
          <w:p w14:paraId="513FC122" w14:textId="77777777" w:rsidR="00826401" w:rsidRPr="00E51727" w:rsidRDefault="00826401" w:rsidP="00081177">
            <w:pPr>
              <w:pStyle w:val="Listenabsatz"/>
              <w:numPr>
                <w:ilvl w:val="0"/>
                <w:numId w:val="24"/>
              </w:numPr>
              <w:ind w:left="519" w:hanging="284"/>
              <w:rPr>
                <w:lang w:val="it-CH"/>
              </w:rPr>
            </w:pPr>
            <w:r w:rsidRPr="00E51727">
              <w:rPr>
                <w:lang w:val="it-CH"/>
              </w:rPr>
              <w:t xml:space="preserve">che vengono utilizzate per colture protette (ad es. serre, </w:t>
            </w:r>
            <w:proofErr w:type="spellStart"/>
            <w:r w:rsidRPr="00544F67">
              <w:rPr>
                <w:lang w:val="it-CH"/>
              </w:rPr>
              <w:t>polytunnel</w:t>
            </w:r>
            <w:proofErr w:type="spellEnd"/>
            <w:r w:rsidRPr="00E51727">
              <w:rPr>
                <w:lang w:val="it-CH"/>
              </w:rPr>
              <w:t>);</w:t>
            </w:r>
            <w:r>
              <w:rPr>
                <w:lang w:val="it-CH"/>
              </w:rPr>
              <w:t xml:space="preserve"> oppure</w:t>
            </w:r>
          </w:p>
          <w:p w14:paraId="15E1108B" w14:textId="77777777" w:rsidR="00826401" w:rsidRPr="00E51727" w:rsidRDefault="00826401" w:rsidP="00081177">
            <w:pPr>
              <w:pStyle w:val="Listenabsatz"/>
              <w:numPr>
                <w:ilvl w:val="0"/>
                <w:numId w:val="24"/>
              </w:numPr>
              <w:ind w:left="519" w:hanging="284"/>
              <w:rPr>
                <w:lang w:val="it-CH"/>
              </w:rPr>
            </w:pPr>
            <w:r w:rsidRPr="00E51727">
              <w:rPr>
                <w:lang w:val="it-CH"/>
              </w:rPr>
              <w:t>su cui sono imposte delle limitazioni d’impiego (ad es. spazi riservati alle acque, superfici per la promozione della biodiversità)</w:t>
            </w:r>
            <w:r>
              <w:rPr>
                <w:lang w:val="it-CH"/>
              </w:rPr>
              <w:t>.</w:t>
            </w:r>
          </w:p>
          <w:p w14:paraId="76445A24" w14:textId="77777777" w:rsidR="00826401" w:rsidRPr="005B24F3" w:rsidRDefault="00826401" w:rsidP="00CB3671">
            <w:pPr>
              <w:rPr>
                <w:bCs/>
                <w:lang w:val="it-CH"/>
              </w:rPr>
            </w:pPr>
            <w:r w:rsidRPr="00E51727">
              <w:rPr>
                <w:lang w:val="it-CH"/>
              </w:rPr>
              <w:t xml:space="preserve">Possono essere conteggiate nell’inventario SAC a condizione che la qualità SAC sia mantenuta e che la superficie, in caso di grave penuria, sia di nuovo a disposizione della </w:t>
            </w:r>
            <w:proofErr w:type="spellStart"/>
            <w:r w:rsidRPr="00E51727">
              <w:rPr>
                <w:lang w:val="it-CH"/>
              </w:rPr>
              <w:t>campicoltura</w:t>
            </w:r>
            <w:proofErr w:type="spellEnd"/>
            <w:r w:rsidRPr="00E51727">
              <w:rPr>
                <w:lang w:val="it-CH"/>
              </w:rPr>
              <w:t xml:space="preserve"> entro 12 mesi</w:t>
            </w:r>
            <w:r w:rsidRPr="00E51727">
              <w:rPr>
                <w:bCs/>
                <w:lang w:val="it-CH"/>
              </w:rPr>
              <w:t>.</w:t>
            </w:r>
          </w:p>
        </w:tc>
      </w:tr>
      <w:tr w:rsidR="00826401" w:rsidRPr="002C06C6" w14:paraId="2FA41F93" w14:textId="77777777" w:rsidTr="00E26043">
        <w:trPr>
          <w:trHeight w:val="20"/>
        </w:trPr>
        <w:tc>
          <w:tcPr>
            <w:tcW w:w="2074" w:type="dxa"/>
          </w:tcPr>
          <w:p w14:paraId="24317349" w14:textId="77777777" w:rsidR="00826401" w:rsidRPr="00E51727" w:rsidRDefault="00826401" w:rsidP="325E5E49">
            <w:pPr>
              <w:rPr>
                <w:b/>
                <w:bCs/>
                <w:lang w:val="it-CH"/>
              </w:rPr>
            </w:pPr>
            <w:r w:rsidRPr="00E51727">
              <w:rPr>
                <w:b/>
                <w:bCs/>
                <w:lang w:val="it-CH"/>
              </w:rPr>
              <w:t>Consumo di SAC</w:t>
            </w:r>
          </w:p>
        </w:tc>
        <w:tc>
          <w:tcPr>
            <w:tcW w:w="7451" w:type="dxa"/>
          </w:tcPr>
          <w:p w14:paraId="18207138" w14:textId="2900B734" w:rsidR="00826401" w:rsidRPr="00F67602" w:rsidRDefault="00826401" w:rsidP="0016725D">
            <w:pPr>
              <w:rPr>
                <w:lang w:val="it-IT"/>
              </w:rPr>
            </w:pPr>
            <w:r>
              <w:rPr>
                <w:lang w:val="it-CH"/>
              </w:rPr>
              <w:t>C</w:t>
            </w:r>
            <w:r w:rsidRPr="00E51727">
              <w:rPr>
                <w:lang w:val="it-CH"/>
              </w:rPr>
              <w:t>onsumo di SAC (ad es.</w:t>
            </w:r>
            <w:r>
              <w:rPr>
                <w:lang w:val="it-CH"/>
              </w:rPr>
              <w:t xml:space="preserve"> a seguito di edificazioni</w:t>
            </w:r>
            <w:r w:rsidRPr="00E51727">
              <w:rPr>
                <w:lang w:val="it-CH"/>
              </w:rPr>
              <w:t>) associato alla distruzione di suolo e alla perdita della qualità SAC. Tale consumo può aver luogo sia attraverso scopi non agricoli sia attraverso scopi agricoli.</w:t>
            </w:r>
            <w:r>
              <w:rPr>
                <w:lang w:val="it-CH"/>
              </w:rPr>
              <w:t xml:space="preserve"> Un azzonamento è considerato un consumo, </w:t>
            </w:r>
            <w:r w:rsidRPr="002D06F9">
              <w:rPr>
                <w:lang w:val="it-CH"/>
              </w:rPr>
              <w:t>anche se il suolo non è stato</w:t>
            </w:r>
            <w:r>
              <w:rPr>
                <w:lang w:val="it-CH"/>
              </w:rPr>
              <w:t xml:space="preserve"> edificato o distrutto.</w:t>
            </w:r>
          </w:p>
        </w:tc>
      </w:tr>
      <w:tr w:rsidR="00826401" w:rsidRPr="002C06C6" w14:paraId="736BF850" w14:textId="77777777" w:rsidTr="00E26043">
        <w:trPr>
          <w:trHeight w:val="20"/>
        </w:trPr>
        <w:tc>
          <w:tcPr>
            <w:tcW w:w="2074" w:type="dxa"/>
          </w:tcPr>
          <w:p w14:paraId="465C2703" w14:textId="77777777" w:rsidR="00826401" w:rsidRPr="00E51727" w:rsidRDefault="00826401" w:rsidP="325E5E49">
            <w:pPr>
              <w:rPr>
                <w:b/>
                <w:bCs/>
                <w:lang w:val="it-CH"/>
              </w:rPr>
            </w:pPr>
            <w:bookmarkStart w:id="159" w:name="_Hlk529370392"/>
            <w:r w:rsidRPr="00E51727">
              <w:rPr>
                <w:rFonts w:eastAsiaTheme="minorEastAsia"/>
                <w:b/>
                <w:bCs/>
                <w:lang w:val="it-CH" w:eastAsia="en-US"/>
              </w:rPr>
              <w:t>Contingente SAC cantonale</w:t>
            </w:r>
          </w:p>
        </w:tc>
        <w:tc>
          <w:tcPr>
            <w:tcW w:w="7451" w:type="dxa"/>
          </w:tcPr>
          <w:p w14:paraId="58518B69" w14:textId="592C3CF1" w:rsidR="00826401" w:rsidRPr="00E51727" w:rsidRDefault="00826401">
            <w:pPr>
              <w:rPr>
                <w:rFonts w:eastAsiaTheme="minorEastAsia"/>
                <w:lang w:val="it-CH" w:eastAsia="en-US"/>
              </w:rPr>
            </w:pPr>
            <w:r w:rsidRPr="00E51727">
              <w:rPr>
                <w:rFonts w:eastAsiaTheme="minorEastAsia"/>
                <w:lang w:val="it-CH" w:eastAsia="en-US"/>
              </w:rPr>
              <w:t xml:space="preserve">Si tratta della quota dell’estensione minima nazionale di SAC che </w:t>
            </w:r>
            <w:r>
              <w:rPr>
                <w:rFonts w:eastAsiaTheme="minorEastAsia"/>
                <w:lang w:val="it-CH" w:eastAsia="en-US"/>
              </w:rPr>
              <w:t>un</w:t>
            </w:r>
            <w:r w:rsidRPr="00E51727">
              <w:rPr>
                <w:rFonts w:eastAsiaTheme="minorEastAsia"/>
                <w:lang w:val="it-CH" w:eastAsia="en-US"/>
              </w:rPr>
              <w:t xml:space="preserve"> Cantone deve garantire. I contingenti cantonali sono stabiliti nell</w:t>
            </w:r>
            <w:r>
              <w:rPr>
                <w:rFonts w:eastAsiaTheme="minorEastAsia"/>
                <w:lang w:val="it-CH" w:eastAsia="en-US"/>
              </w:rPr>
              <w:t xml:space="preserve">’indicazione 2 </w:t>
            </w:r>
            <w:r w:rsidRPr="00E51727">
              <w:rPr>
                <w:lang w:val="it-CH"/>
              </w:rPr>
              <w:t xml:space="preserve">(a tal riguardo cfr. anche </w:t>
            </w:r>
            <w:r>
              <w:rPr>
                <w:lang w:val="it-CH"/>
              </w:rPr>
              <w:t>figura 1</w:t>
            </w:r>
            <w:r w:rsidRPr="00E51727">
              <w:rPr>
                <w:lang w:val="it-CH"/>
              </w:rPr>
              <w:t>)</w:t>
            </w:r>
            <w:r w:rsidRPr="00E51727">
              <w:rPr>
                <w:rFonts w:eastAsiaTheme="minorEastAsia"/>
                <w:lang w:val="it-CH" w:eastAsia="en-US"/>
              </w:rPr>
              <w:t>.</w:t>
            </w:r>
          </w:p>
          <w:p w14:paraId="4B5E1582" w14:textId="77777777" w:rsidR="00826401" w:rsidRPr="00E51727" w:rsidRDefault="00826401" w:rsidP="00A5351B">
            <w:pPr>
              <w:rPr>
                <w:rFonts w:eastAsiaTheme="minorEastAsia"/>
                <w:lang w:val="it-CH" w:eastAsia="en-US"/>
              </w:rPr>
            </w:pPr>
          </w:p>
        </w:tc>
      </w:tr>
      <w:bookmarkEnd w:id="159"/>
      <w:tr w:rsidR="00826401" w:rsidRPr="002C06C6" w14:paraId="74F246A5" w14:textId="77777777" w:rsidTr="00E26043">
        <w:trPr>
          <w:trHeight w:val="20"/>
        </w:trPr>
        <w:tc>
          <w:tcPr>
            <w:tcW w:w="2074" w:type="dxa"/>
          </w:tcPr>
          <w:p w14:paraId="1021F7F9" w14:textId="77777777" w:rsidR="00826401" w:rsidRPr="00E51727" w:rsidRDefault="00826401" w:rsidP="325E5E49">
            <w:pPr>
              <w:rPr>
                <w:b/>
                <w:bCs/>
                <w:lang w:val="it-CH"/>
              </w:rPr>
            </w:pPr>
            <w:r w:rsidRPr="00E51727">
              <w:rPr>
                <w:rFonts w:eastAsiaTheme="minorEastAsia"/>
                <w:b/>
                <w:bCs/>
                <w:lang w:val="it-CH" w:eastAsia="en-US"/>
              </w:rPr>
              <w:t>Estensione minima di SAC</w:t>
            </w:r>
          </w:p>
        </w:tc>
        <w:tc>
          <w:tcPr>
            <w:tcW w:w="7451" w:type="dxa"/>
          </w:tcPr>
          <w:p w14:paraId="0232B5F2" w14:textId="77777777" w:rsidR="00826401" w:rsidRPr="00E51727" w:rsidRDefault="00826401">
            <w:pPr>
              <w:rPr>
                <w:rFonts w:eastAsiaTheme="minorEastAsia"/>
                <w:lang w:val="it-CH" w:eastAsia="en-US"/>
              </w:rPr>
            </w:pPr>
            <w:r w:rsidRPr="00E51727">
              <w:rPr>
                <w:rFonts w:eastAsiaTheme="minorEastAsia"/>
                <w:lang w:val="it-CH" w:eastAsia="en-US"/>
              </w:rPr>
              <w:t>In Svizzera devono essere costantemente garantiti dai Cantoni almeno 438 460 ha di SAC.</w:t>
            </w:r>
          </w:p>
          <w:p w14:paraId="6E7AB803" w14:textId="77777777" w:rsidR="00826401" w:rsidRPr="00E51727" w:rsidRDefault="00826401" w:rsidP="00A5351B">
            <w:pPr>
              <w:rPr>
                <w:lang w:val="it-CH"/>
              </w:rPr>
            </w:pPr>
          </w:p>
        </w:tc>
      </w:tr>
      <w:tr w:rsidR="00826401" w:rsidRPr="002C06C6" w14:paraId="02B8858E" w14:textId="77777777" w:rsidTr="00E26043">
        <w:trPr>
          <w:trHeight w:val="20"/>
        </w:trPr>
        <w:tc>
          <w:tcPr>
            <w:tcW w:w="2074" w:type="dxa"/>
          </w:tcPr>
          <w:p w14:paraId="0D8D2CF1" w14:textId="77777777" w:rsidR="00826401" w:rsidRPr="00E51727" w:rsidRDefault="00826401" w:rsidP="325E5E49">
            <w:pPr>
              <w:rPr>
                <w:b/>
                <w:bCs/>
                <w:lang w:val="it-CH"/>
              </w:rPr>
            </w:pPr>
            <w:bookmarkStart w:id="160" w:name="_Hlk529190364"/>
            <w:bookmarkEnd w:id="158"/>
            <w:r w:rsidRPr="00E51727">
              <w:rPr>
                <w:b/>
                <w:bCs/>
                <w:lang w:val="it-CH"/>
              </w:rPr>
              <w:t>Funzioni del suolo</w:t>
            </w:r>
          </w:p>
        </w:tc>
        <w:tc>
          <w:tcPr>
            <w:tcW w:w="7451" w:type="dxa"/>
          </w:tcPr>
          <w:p w14:paraId="7C01DCE8" w14:textId="74624356" w:rsidR="00826401" w:rsidRPr="00E51727" w:rsidRDefault="00826401">
            <w:pPr>
              <w:rPr>
                <w:rFonts w:eastAsiaTheme="minorEastAsia"/>
                <w:lang w:val="it-CH" w:eastAsia="en-US"/>
              </w:rPr>
            </w:pPr>
            <w:r w:rsidRPr="00E51727">
              <w:rPr>
                <w:rFonts w:eastAsiaTheme="minorEastAsia"/>
                <w:lang w:val="it-CH" w:eastAsia="en-US"/>
              </w:rPr>
              <w:t xml:space="preserve">La capacità del suolo di </w:t>
            </w:r>
            <w:r>
              <w:rPr>
                <w:rFonts w:eastAsiaTheme="minorEastAsia"/>
                <w:lang w:val="it-CH" w:eastAsia="en-US"/>
              </w:rPr>
              <w:t>garantire diverse funzionalità</w:t>
            </w:r>
            <w:r w:rsidRPr="00E51727">
              <w:rPr>
                <w:rFonts w:eastAsiaTheme="minorEastAsia"/>
                <w:lang w:val="it-CH" w:eastAsia="en-US"/>
              </w:rPr>
              <w:t xml:space="preserve"> viene espressa attraverso la nozione d</w:t>
            </w:r>
            <w:r>
              <w:rPr>
                <w:rFonts w:eastAsiaTheme="minorEastAsia"/>
                <w:lang w:val="it-CH" w:eastAsia="en-US"/>
              </w:rPr>
              <w:t>elle seguenti</w:t>
            </w:r>
            <w:r w:rsidRPr="00E51727">
              <w:rPr>
                <w:rFonts w:eastAsiaTheme="minorEastAsia"/>
                <w:lang w:val="it-CH" w:eastAsia="en-US"/>
              </w:rPr>
              <w:t xml:space="preserve"> funzioni del suolo:</w:t>
            </w:r>
          </w:p>
          <w:p w14:paraId="6E84BBCC" w14:textId="77777777" w:rsidR="00826401" w:rsidRPr="00E51727" w:rsidRDefault="00826401">
            <w:pPr>
              <w:pStyle w:val="Listenabsatz"/>
              <w:numPr>
                <w:ilvl w:val="0"/>
                <w:numId w:val="31"/>
              </w:numPr>
              <w:ind w:left="368" w:hanging="368"/>
              <w:rPr>
                <w:rFonts w:eastAsiaTheme="minorEastAsia"/>
                <w:lang w:val="it-CH" w:eastAsia="en-US"/>
              </w:rPr>
            </w:pPr>
            <w:r w:rsidRPr="00544F67">
              <w:rPr>
                <w:rFonts w:eastAsiaTheme="minorEastAsia"/>
                <w:i/>
                <w:iCs/>
                <w:lang w:val="it-CH" w:eastAsia="en-US"/>
              </w:rPr>
              <w:t>Funzione di habitat</w:t>
            </w:r>
            <w:r w:rsidRPr="00544F67">
              <w:rPr>
                <w:rFonts w:eastAsiaTheme="minorEastAsia"/>
                <w:lang w:val="it-CH" w:eastAsia="en-US"/>
              </w:rPr>
              <w:t>: capacità</w:t>
            </w:r>
            <w:r w:rsidRPr="00E51727">
              <w:rPr>
                <w:rFonts w:eastAsiaTheme="minorEastAsia"/>
                <w:lang w:val="it-CH" w:eastAsia="en-US"/>
              </w:rPr>
              <w:t xml:space="preserve"> del suolo di servire da base vitale per gli organismi e di contribuire alla conservazione della diversità degli ecosistemi, delle specie e della loro varietà genetica. </w:t>
            </w:r>
          </w:p>
          <w:p w14:paraId="75256356" w14:textId="77777777" w:rsidR="00826401" w:rsidRPr="00E51727" w:rsidRDefault="00826401">
            <w:pPr>
              <w:pStyle w:val="Listenabsatz"/>
              <w:numPr>
                <w:ilvl w:val="0"/>
                <w:numId w:val="31"/>
              </w:numPr>
              <w:ind w:left="368" w:hanging="368"/>
              <w:rPr>
                <w:rFonts w:eastAsiaTheme="minorEastAsia"/>
                <w:lang w:val="it-CH" w:eastAsia="en-US"/>
              </w:rPr>
            </w:pPr>
            <w:r w:rsidRPr="00E51727">
              <w:rPr>
                <w:rFonts w:eastAsiaTheme="minorEastAsia"/>
                <w:i/>
                <w:iCs/>
                <w:lang w:val="it-CH" w:eastAsia="en-US"/>
              </w:rPr>
              <w:lastRenderedPageBreak/>
              <w:t>Funzione regolatrice</w:t>
            </w:r>
            <w:r w:rsidRPr="00E51727">
              <w:rPr>
                <w:rFonts w:eastAsiaTheme="minorEastAsia"/>
                <w:lang w:val="it-CH" w:eastAsia="en-US"/>
              </w:rPr>
              <w:t xml:space="preserve">: capacità del suolo di regolare il ciclo delle sostanze e dell’energia e di svolgere una funzione di filtro, di tampone e di serbatoio nonché di trasformare le sostanze. </w:t>
            </w:r>
          </w:p>
          <w:p w14:paraId="3660DF8A" w14:textId="77777777" w:rsidR="00826401" w:rsidRPr="00E51727" w:rsidRDefault="00826401">
            <w:pPr>
              <w:pStyle w:val="Listenabsatz"/>
              <w:numPr>
                <w:ilvl w:val="0"/>
                <w:numId w:val="31"/>
              </w:numPr>
              <w:ind w:left="368" w:hanging="368"/>
              <w:rPr>
                <w:rFonts w:eastAsiaTheme="minorEastAsia"/>
                <w:lang w:val="it-CH" w:eastAsia="en-US"/>
              </w:rPr>
            </w:pPr>
            <w:r w:rsidRPr="00E51727">
              <w:rPr>
                <w:rFonts w:eastAsiaTheme="minorEastAsia"/>
                <w:i/>
                <w:iCs/>
                <w:lang w:val="it-CH" w:eastAsia="en-US"/>
              </w:rPr>
              <w:t>Funzione di produzione</w:t>
            </w:r>
            <w:r w:rsidRPr="00E51727">
              <w:rPr>
                <w:rFonts w:eastAsiaTheme="minorEastAsia"/>
                <w:lang w:val="it-CH" w:eastAsia="en-US"/>
              </w:rPr>
              <w:t xml:space="preserve">: capacità del suolo di produrre biomassa sotto forma di derrate alimentari e foraggi, legno e fibre. </w:t>
            </w:r>
          </w:p>
          <w:p w14:paraId="3D6C905E" w14:textId="77777777" w:rsidR="00826401" w:rsidRPr="00E51727" w:rsidRDefault="00826401">
            <w:pPr>
              <w:pStyle w:val="Listenabsatz"/>
              <w:numPr>
                <w:ilvl w:val="0"/>
                <w:numId w:val="31"/>
              </w:numPr>
              <w:ind w:left="368" w:hanging="368"/>
              <w:rPr>
                <w:rFonts w:eastAsiaTheme="minorEastAsia"/>
                <w:lang w:val="it-CH" w:eastAsia="en-US"/>
              </w:rPr>
            </w:pPr>
            <w:r w:rsidRPr="00E51727">
              <w:rPr>
                <w:rFonts w:eastAsiaTheme="minorEastAsia"/>
                <w:i/>
                <w:iCs/>
                <w:lang w:val="it-CH" w:eastAsia="en-US"/>
              </w:rPr>
              <w:t>Funzione di supporto</w:t>
            </w:r>
            <w:r w:rsidRPr="00E51727">
              <w:rPr>
                <w:rFonts w:eastAsiaTheme="minorEastAsia"/>
                <w:lang w:val="it-CH" w:eastAsia="en-US"/>
              </w:rPr>
              <w:t xml:space="preserve">: capacità del suolo di servire da fondamenta per edifici e costruzioni. </w:t>
            </w:r>
          </w:p>
          <w:p w14:paraId="08EB3AD2" w14:textId="77777777" w:rsidR="00826401" w:rsidRPr="00E51727" w:rsidRDefault="00826401">
            <w:pPr>
              <w:pStyle w:val="Listenabsatz"/>
              <w:numPr>
                <w:ilvl w:val="0"/>
                <w:numId w:val="31"/>
              </w:numPr>
              <w:ind w:left="368" w:hanging="368"/>
              <w:rPr>
                <w:rFonts w:eastAsiaTheme="minorEastAsia"/>
                <w:lang w:val="it-CH" w:eastAsia="en-US"/>
              </w:rPr>
            </w:pPr>
            <w:r w:rsidRPr="00E51727">
              <w:rPr>
                <w:rFonts w:eastAsiaTheme="minorEastAsia"/>
                <w:i/>
                <w:iCs/>
                <w:lang w:val="it-CH" w:eastAsia="en-US"/>
              </w:rPr>
              <w:t>Fonte di materie prime</w:t>
            </w:r>
            <w:r w:rsidRPr="00E51727">
              <w:rPr>
                <w:rFonts w:eastAsiaTheme="minorEastAsia"/>
                <w:lang w:val="it-CH" w:eastAsia="en-US"/>
              </w:rPr>
              <w:t xml:space="preserve">: capacità del suolo di immagazzinare materie prime, acqua ed energia geotermica. </w:t>
            </w:r>
          </w:p>
          <w:p w14:paraId="433C4781" w14:textId="77777777" w:rsidR="00826401" w:rsidRPr="00E51727" w:rsidRDefault="00826401">
            <w:pPr>
              <w:pStyle w:val="Listenabsatz"/>
              <w:numPr>
                <w:ilvl w:val="0"/>
                <w:numId w:val="31"/>
              </w:numPr>
              <w:ind w:left="368" w:hanging="368"/>
              <w:rPr>
                <w:rFonts w:eastAsiaTheme="minorEastAsia"/>
                <w:lang w:val="it-CH" w:eastAsia="en-US"/>
              </w:rPr>
            </w:pPr>
            <w:r w:rsidRPr="00E51727">
              <w:rPr>
                <w:rFonts w:eastAsiaTheme="minorEastAsia"/>
                <w:i/>
                <w:iCs/>
                <w:lang w:val="it-CH" w:eastAsia="en-US"/>
              </w:rPr>
              <w:t>Funzione di archiviazione</w:t>
            </w:r>
            <w:r w:rsidRPr="00E51727">
              <w:rPr>
                <w:rFonts w:eastAsiaTheme="minorEastAsia"/>
                <w:lang w:val="it-CH" w:eastAsia="en-US"/>
              </w:rPr>
              <w:t xml:space="preserve">: capacità del suolo di conservare informazioni sulla storia naturale e culturale. </w:t>
            </w:r>
          </w:p>
          <w:p w14:paraId="7A90090F" w14:textId="77777777" w:rsidR="00826401" w:rsidRPr="00E51727" w:rsidRDefault="00826401" w:rsidP="00732DC3">
            <w:pPr>
              <w:rPr>
                <w:lang w:val="it-CH"/>
              </w:rPr>
            </w:pPr>
          </w:p>
        </w:tc>
      </w:tr>
      <w:bookmarkEnd w:id="160"/>
      <w:tr w:rsidR="00826401" w:rsidRPr="002C06C6" w14:paraId="4AE98E43" w14:textId="77777777" w:rsidTr="00E26043">
        <w:trPr>
          <w:trHeight w:val="20"/>
        </w:trPr>
        <w:tc>
          <w:tcPr>
            <w:tcW w:w="2074" w:type="dxa"/>
          </w:tcPr>
          <w:p w14:paraId="7BE84ADC" w14:textId="77777777" w:rsidR="00826401" w:rsidRPr="00E51727" w:rsidRDefault="00826401" w:rsidP="325E5E49">
            <w:pPr>
              <w:rPr>
                <w:b/>
                <w:bCs/>
                <w:lang w:val="it-CH"/>
              </w:rPr>
            </w:pPr>
            <w:r w:rsidRPr="00E51727">
              <w:rPr>
                <w:b/>
                <w:bCs/>
                <w:lang w:val="it-CH"/>
              </w:rPr>
              <w:lastRenderedPageBreak/>
              <w:t>Inventario SAC</w:t>
            </w:r>
          </w:p>
        </w:tc>
        <w:tc>
          <w:tcPr>
            <w:tcW w:w="7451" w:type="dxa"/>
          </w:tcPr>
          <w:p w14:paraId="198CD58F" w14:textId="6C76F292" w:rsidR="00826401" w:rsidRPr="00E51727" w:rsidRDefault="00826401" w:rsidP="001C2FD5">
            <w:pPr>
              <w:spacing w:after="360"/>
              <w:rPr>
                <w:lang w:val="it-CH"/>
              </w:rPr>
            </w:pPr>
            <w:r w:rsidRPr="00E51727">
              <w:rPr>
                <w:lang w:val="it-CH"/>
              </w:rPr>
              <w:t xml:space="preserve">L’inventario SAC è la somma di tutte le superfici rilevate in un Cantone che adempiono ai criteri SAC (o </w:t>
            </w:r>
            <w:r>
              <w:rPr>
                <w:lang w:val="it-CH"/>
              </w:rPr>
              <w:t>che vi adempivano</w:t>
            </w:r>
            <w:r w:rsidRPr="00E51727">
              <w:rPr>
                <w:lang w:val="it-CH"/>
              </w:rPr>
              <w:t xml:space="preserve"> al momento dei rilevamenti). La superficie complessiva compresa nell’inventario può essere maggiore del contingente cantonale (a tal riguardo cfr. anche </w:t>
            </w:r>
            <w:r>
              <w:rPr>
                <w:lang w:val="it-CH"/>
              </w:rPr>
              <w:t>figura 1</w:t>
            </w:r>
            <w:r w:rsidRPr="00E51727">
              <w:rPr>
                <w:lang w:val="it-CH"/>
              </w:rPr>
              <w:t>).</w:t>
            </w:r>
          </w:p>
        </w:tc>
      </w:tr>
      <w:tr w:rsidR="00826401" w:rsidRPr="002C06C6" w14:paraId="0FD970DD" w14:textId="77777777" w:rsidTr="00E26043">
        <w:trPr>
          <w:trHeight w:val="20"/>
        </w:trPr>
        <w:tc>
          <w:tcPr>
            <w:tcW w:w="2074" w:type="dxa"/>
          </w:tcPr>
          <w:p w14:paraId="7D038CD5" w14:textId="77777777" w:rsidR="00826401" w:rsidRPr="00E51727" w:rsidRDefault="00826401" w:rsidP="325E5E49">
            <w:pPr>
              <w:rPr>
                <w:b/>
                <w:bCs/>
                <w:lang w:val="it-CH"/>
              </w:rPr>
            </w:pPr>
            <w:bookmarkStart w:id="161" w:name="_Hlk529370382"/>
            <w:r w:rsidRPr="00E51727">
              <w:rPr>
                <w:b/>
                <w:bCs/>
                <w:lang w:val="it-CH"/>
              </w:rPr>
              <w:t>Margine di manovra SAC</w:t>
            </w:r>
          </w:p>
        </w:tc>
        <w:tc>
          <w:tcPr>
            <w:tcW w:w="7451" w:type="dxa"/>
          </w:tcPr>
          <w:p w14:paraId="0C3EC82F" w14:textId="77777777" w:rsidR="00826401" w:rsidRPr="00E51727" w:rsidRDefault="00826401" w:rsidP="006B212E">
            <w:pPr>
              <w:rPr>
                <w:lang w:val="it-CH"/>
              </w:rPr>
            </w:pPr>
            <w:r w:rsidRPr="00E51727">
              <w:rPr>
                <w:lang w:val="it-CH"/>
              </w:rPr>
              <w:t xml:space="preserve">Il margine di manovra è costituito dalla restante quantità di ettari SAC, dopo che il contingente cantonale è stato sottratto dall’inventario cantonale SAC (a tal riguardo cfr. anche </w:t>
            </w:r>
            <w:r>
              <w:rPr>
                <w:lang w:val="it-CH"/>
              </w:rPr>
              <w:t>figura 1</w:t>
            </w:r>
            <w:r w:rsidRPr="00E51727">
              <w:rPr>
                <w:lang w:val="it-CH"/>
              </w:rPr>
              <w:t xml:space="preserve">). </w:t>
            </w:r>
          </w:p>
          <w:p w14:paraId="5F926FD7" w14:textId="77777777" w:rsidR="00826401" w:rsidRPr="00E51727" w:rsidRDefault="00826401" w:rsidP="006B212E">
            <w:pPr>
              <w:rPr>
                <w:lang w:val="it-CH"/>
              </w:rPr>
            </w:pPr>
          </w:p>
        </w:tc>
      </w:tr>
      <w:tr w:rsidR="00826401" w:rsidRPr="002C06C6" w14:paraId="14251492" w14:textId="77777777" w:rsidTr="00E26043">
        <w:trPr>
          <w:trHeight w:val="20"/>
        </w:trPr>
        <w:tc>
          <w:tcPr>
            <w:tcW w:w="2074" w:type="dxa"/>
          </w:tcPr>
          <w:p w14:paraId="23CB7506" w14:textId="77777777" w:rsidR="00826401" w:rsidRPr="00E51727" w:rsidRDefault="00826401" w:rsidP="325E5E49">
            <w:pPr>
              <w:rPr>
                <w:b/>
                <w:bCs/>
                <w:lang w:val="it-CH"/>
              </w:rPr>
            </w:pPr>
            <w:r w:rsidRPr="00E51727">
              <w:rPr>
                <w:b/>
                <w:bCs/>
                <w:lang w:val="it-CH"/>
              </w:rPr>
              <w:t>Metodo FAL24+</w:t>
            </w:r>
          </w:p>
        </w:tc>
        <w:tc>
          <w:tcPr>
            <w:tcW w:w="7451" w:type="dxa"/>
          </w:tcPr>
          <w:p w14:paraId="4F553D7F" w14:textId="77777777" w:rsidR="00826401" w:rsidRPr="00E51727" w:rsidRDefault="00826401" w:rsidP="00320268">
            <w:pPr>
              <w:spacing w:after="360"/>
              <w:rPr>
                <w:lang w:val="it-CH"/>
              </w:rPr>
            </w:pPr>
            <w:r w:rsidRPr="00E51727">
              <w:rPr>
                <w:lang w:val="it-CH"/>
              </w:rPr>
              <w:t xml:space="preserve">La base di questo metodo di </w:t>
            </w:r>
            <w:r>
              <w:rPr>
                <w:lang w:val="it-CH"/>
              </w:rPr>
              <w:t>mappatura</w:t>
            </w:r>
            <w:r w:rsidRPr="00E51727">
              <w:rPr>
                <w:lang w:val="it-CH"/>
              </w:rPr>
              <w:t xml:space="preserve"> del suolo </w:t>
            </w:r>
            <w:r>
              <w:rPr>
                <w:lang w:val="it-CH"/>
              </w:rPr>
              <w:t xml:space="preserve">è rappresentata dalle </w:t>
            </w:r>
            <w:r w:rsidRPr="00E51727">
              <w:rPr>
                <w:lang w:val="it-CH"/>
              </w:rPr>
              <w:t>istruzioni cartografiche FAL della Stazione federale di ricerca agronomica di Zurigo-</w:t>
            </w:r>
            <w:proofErr w:type="spellStart"/>
            <w:r w:rsidRPr="00E51727">
              <w:rPr>
                <w:lang w:val="it-CH"/>
              </w:rPr>
              <w:t>Reckenholz</w:t>
            </w:r>
            <w:proofErr w:type="spellEnd"/>
            <w:r w:rsidRPr="00E51727">
              <w:rPr>
                <w:lang w:val="it-CH"/>
              </w:rPr>
              <w:t xml:space="preserve"> (oggi Agroscope) risalenti al 1997. L’ulteriore sviluppo di tale metodo, sfociato nel metodo FAL24+, è stato svolto dal Cantone di Soletta e al momento dell’approvazione del piano settoriale viene considerato lo standard minimo di </w:t>
            </w:r>
            <w:r>
              <w:rPr>
                <w:lang w:val="it-CH"/>
              </w:rPr>
              <w:t>mappatura</w:t>
            </w:r>
            <w:r w:rsidRPr="00E51727">
              <w:rPr>
                <w:lang w:val="it-CH"/>
              </w:rPr>
              <w:t xml:space="preserve">. </w:t>
            </w:r>
          </w:p>
        </w:tc>
      </w:tr>
      <w:tr w:rsidR="00826401" w:rsidRPr="002C06C6" w14:paraId="35EA9EA2" w14:textId="77777777" w:rsidTr="00E26043">
        <w:trPr>
          <w:trHeight w:val="20"/>
        </w:trPr>
        <w:tc>
          <w:tcPr>
            <w:tcW w:w="2074" w:type="dxa"/>
          </w:tcPr>
          <w:p w14:paraId="6D92D9F0" w14:textId="77777777" w:rsidR="00826401" w:rsidRPr="00E51727" w:rsidRDefault="00826401" w:rsidP="325E5E49">
            <w:pPr>
              <w:rPr>
                <w:b/>
                <w:bCs/>
                <w:lang w:val="it-CH"/>
              </w:rPr>
            </w:pPr>
            <w:r w:rsidRPr="00E51727">
              <w:rPr>
                <w:b/>
                <w:bCs/>
                <w:lang w:val="it-CH"/>
              </w:rPr>
              <w:t>Monitoraggio degli inventari SAC</w:t>
            </w:r>
          </w:p>
          <w:p w14:paraId="35BFAF2B" w14:textId="77777777" w:rsidR="00826401" w:rsidRPr="00E51727" w:rsidRDefault="00826401" w:rsidP="006B212E">
            <w:pPr>
              <w:rPr>
                <w:b/>
                <w:lang w:val="it-CH"/>
              </w:rPr>
            </w:pPr>
          </w:p>
        </w:tc>
        <w:tc>
          <w:tcPr>
            <w:tcW w:w="7451" w:type="dxa"/>
          </w:tcPr>
          <w:p w14:paraId="15AFDC84" w14:textId="2D198B88" w:rsidR="00826401" w:rsidRPr="00E51727" w:rsidRDefault="00826401" w:rsidP="00F262AB">
            <w:pPr>
              <w:rPr>
                <w:lang w:val="it-CH"/>
              </w:rPr>
            </w:pPr>
            <w:r w:rsidRPr="00E51727">
              <w:rPr>
                <w:lang w:val="it-CH"/>
              </w:rPr>
              <w:t>In ambito di monitoraggio de</w:t>
            </w:r>
            <w:r>
              <w:rPr>
                <w:lang w:val="it-CH"/>
              </w:rPr>
              <w:t xml:space="preserve">gli inventari </w:t>
            </w:r>
            <w:r w:rsidRPr="00E51727">
              <w:rPr>
                <w:lang w:val="it-CH"/>
              </w:rPr>
              <w:t xml:space="preserve">SAC, in primo piano vi è una panoramica nazionale aggiornata e omogenea degli inventari SAC cantonali con le relative modifiche, al fine di garantire l’informazione e la sensibilizzazione di autorità, privati e altri interessati. </w:t>
            </w:r>
          </w:p>
          <w:p w14:paraId="16AB69E8" w14:textId="5C02B24D" w:rsidR="00826401" w:rsidRPr="00E51727" w:rsidRDefault="00826401" w:rsidP="00F262AB">
            <w:pPr>
              <w:rPr>
                <w:lang w:val="it-CH"/>
              </w:rPr>
            </w:pPr>
            <w:r w:rsidRPr="00E51727">
              <w:rPr>
                <w:lang w:val="it-CH"/>
              </w:rPr>
              <w:t xml:space="preserve">Contrariamente a quanto avviene per il rendiconto quadriennale nel quadro della pianificazione direttrice (cfr. </w:t>
            </w:r>
            <w:r>
              <w:rPr>
                <w:lang w:val="it-CH"/>
              </w:rPr>
              <w:t>sotto</w:t>
            </w:r>
            <w:r w:rsidRPr="00991BB5">
              <w:rPr>
                <w:lang w:val="it-CH"/>
              </w:rPr>
              <w:t>), in questo caso non si tratta della verifica degli inventari SAC dei Cantoni.</w:t>
            </w:r>
          </w:p>
          <w:p w14:paraId="490A945D" w14:textId="77777777" w:rsidR="00826401" w:rsidRPr="00E51727" w:rsidRDefault="00826401" w:rsidP="00A5351B">
            <w:pPr>
              <w:rPr>
                <w:lang w:val="it-CH"/>
              </w:rPr>
            </w:pPr>
          </w:p>
        </w:tc>
      </w:tr>
      <w:tr w:rsidR="00826401" w:rsidRPr="002C06C6" w14:paraId="1CEFE5E5" w14:textId="77777777" w:rsidTr="00E26043">
        <w:trPr>
          <w:trHeight w:val="20"/>
        </w:trPr>
        <w:tc>
          <w:tcPr>
            <w:tcW w:w="2074" w:type="dxa"/>
          </w:tcPr>
          <w:p w14:paraId="04D48772" w14:textId="77777777" w:rsidR="00826401" w:rsidRPr="00E51727" w:rsidRDefault="00826401" w:rsidP="325E5E49">
            <w:pPr>
              <w:rPr>
                <w:b/>
                <w:bCs/>
                <w:lang w:val="it-CH"/>
              </w:rPr>
            </w:pPr>
            <w:r w:rsidRPr="00E51727">
              <w:rPr>
                <w:b/>
                <w:bCs/>
                <w:lang w:val="it-CH"/>
              </w:rPr>
              <w:t>Progetto federale</w:t>
            </w:r>
          </w:p>
          <w:p w14:paraId="685CC4AD" w14:textId="77777777" w:rsidR="00826401" w:rsidRPr="00E51727" w:rsidRDefault="00826401" w:rsidP="006B212E">
            <w:pPr>
              <w:rPr>
                <w:b/>
                <w:lang w:val="it-CH"/>
              </w:rPr>
            </w:pPr>
          </w:p>
        </w:tc>
        <w:tc>
          <w:tcPr>
            <w:tcW w:w="7451" w:type="dxa"/>
          </w:tcPr>
          <w:p w14:paraId="49F21DC1" w14:textId="28E439EA" w:rsidR="00826401" w:rsidRPr="00E51727" w:rsidRDefault="00826401" w:rsidP="006B212E">
            <w:pPr>
              <w:rPr>
                <w:lang w:val="it-CH"/>
              </w:rPr>
            </w:pPr>
            <w:r w:rsidRPr="00E51727">
              <w:rPr>
                <w:lang w:val="it-CH"/>
              </w:rPr>
              <w:t>Con il termine di progetto federale si intend</w:t>
            </w:r>
            <w:r>
              <w:rPr>
                <w:lang w:val="it-CH"/>
              </w:rPr>
              <w:t>ono le opere e gli impianti elaborati, costruiti o modificati dalla Confederazione, dagli stabilimenti o dalle aziende federali (ad es. le strade nazionali). Nella definizione rientrano anche i progetti la cui costruzione necessita di un permesso da parte della Confederazione (ad es. impianti infrastrutturali, opere e impianti per il trasporto d’energie, liquidi, gas o per la trasmissione di notizie). Non importa se il progetto sia o meno soggetto all’obbligatorietà del piano settoriale. Non è peraltro necessario che abbia importanza nazionale. In ambito aeronautico, le costruzioni e gli impianti previsti nell’area degli aeroporti nazionali e degli aerodromi regionali sono considerati progetti federali, ma non quelli previsti nei campi d’aviazione.</w:t>
            </w:r>
          </w:p>
          <w:p w14:paraId="686C4715" w14:textId="77777777" w:rsidR="00826401" w:rsidRPr="00E51727" w:rsidRDefault="00826401" w:rsidP="006B212E">
            <w:pPr>
              <w:rPr>
                <w:lang w:val="it-CH"/>
              </w:rPr>
            </w:pPr>
          </w:p>
        </w:tc>
      </w:tr>
      <w:bookmarkEnd w:id="161"/>
      <w:tr w:rsidR="00826401" w:rsidRPr="002C06C6" w14:paraId="7F82CBB7" w14:textId="77777777" w:rsidTr="00E26043">
        <w:trPr>
          <w:trHeight w:val="20"/>
        </w:trPr>
        <w:tc>
          <w:tcPr>
            <w:tcW w:w="2074" w:type="dxa"/>
          </w:tcPr>
          <w:p w14:paraId="3A533FEF" w14:textId="77777777" w:rsidR="00826401" w:rsidRPr="00E51727" w:rsidRDefault="00826401" w:rsidP="325E5E49">
            <w:pPr>
              <w:rPr>
                <w:b/>
                <w:bCs/>
                <w:lang w:val="it-CH"/>
              </w:rPr>
            </w:pPr>
            <w:r w:rsidRPr="00E51727">
              <w:rPr>
                <w:b/>
                <w:bCs/>
                <w:lang w:val="it-CH"/>
              </w:rPr>
              <w:lastRenderedPageBreak/>
              <w:t>Protezione assoluta</w:t>
            </w:r>
          </w:p>
        </w:tc>
        <w:tc>
          <w:tcPr>
            <w:tcW w:w="7451" w:type="dxa"/>
          </w:tcPr>
          <w:p w14:paraId="26C88114" w14:textId="77777777" w:rsidR="00826401" w:rsidRPr="00E51727" w:rsidRDefault="00826401">
            <w:pPr>
              <w:rPr>
                <w:rFonts w:eastAsiaTheme="minorEastAsia"/>
                <w:lang w:val="it-CH" w:eastAsia="en-US"/>
              </w:rPr>
            </w:pPr>
            <w:r w:rsidRPr="00E51727">
              <w:rPr>
                <w:rFonts w:eastAsiaTheme="minorEastAsia"/>
                <w:lang w:val="it-CH" w:eastAsia="en-US"/>
              </w:rPr>
              <w:t>La ponderazione degli interessi propriamente detta è già stata intrapresa dal legislatore</w:t>
            </w:r>
            <w:r w:rsidRPr="0034599C">
              <w:rPr>
                <w:rFonts w:eastAsiaTheme="minorEastAsia"/>
                <w:lang w:val="it-CH" w:eastAsia="en-US"/>
              </w:rPr>
              <w:t xml:space="preserve">. Nell’ambito della valutazione degli interventi, essa non concede alcun margine di manovra (o soltanto esiguo) alle </w:t>
            </w:r>
            <w:r w:rsidRPr="0034599C">
              <w:rPr>
                <w:lang w:val="it-CH"/>
              </w:rPr>
              <w:t>autorità preposte all’applicazione del diritto</w:t>
            </w:r>
            <w:r w:rsidRPr="0034599C">
              <w:rPr>
                <w:rFonts w:eastAsiaTheme="minorEastAsia"/>
                <w:lang w:val="it-CH" w:eastAsia="en-US"/>
              </w:rPr>
              <w:t>. Ciò vale, ad esempio, per</w:t>
            </w:r>
            <w:r w:rsidRPr="00991BB5">
              <w:rPr>
                <w:rFonts w:eastAsiaTheme="minorEastAsia"/>
                <w:lang w:val="it-CH" w:eastAsia="en-US"/>
              </w:rPr>
              <w:t xml:space="preserve"> le paludi di importanza nazionale.</w:t>
            </w:r>
          </w:p>
          <w:p w14:paraId="750C9A27" w14:textId="77777777" w:rsidR="00826401" w:rsidRPr="00E51727" w:rsidRDefault="00826401" w:rsidP="00FD0889">
            <w:pPr>
              <w:rPr>
                <w:rFonts w:eastAsiaTheme="minorHAnsi"/>
                <w:lang w:val="it-CH" w:eastAsia="en-US"/>
              </w:rPr>
            </w:pPr>
          </w:p>
        </w:tc>
      </w:tr>
      <w:tr w:rsidR="00826401" w:rsidRPr="002C06C6" w14:paraId="42BEEEEB" w14:textId="77777777" w:rsidTr="00E26043">
        <w:trPr>
          <w:trHeight w:val="20"/>
        </w:trPr>
        <w:tc>
          <w:tcPr>
            <w:tcW w:w="2074" w:type="dxa"/>
          </w:tcPr>
          <w:p w14:paraId="57CE2DEE" w14:textId="77777777" w:rsidR="00826401" w:rsidRPr="00E51727" w:rsidRDefault="00826401" w:rsidP="325E5E49">
            <w:pPr>
              <w:rPr>
                <w:b/>
                <w:bCs/>
                <w:lang w:val="it-CH"/>
              </w:rPr>
            </w:pPr>
            <w:r w:rsidRPr="00E51727">
              <w:rPr>
                <w:b/>
                <w:bCs/>
                <w:lang w:val="it-CH"/>
              </w:rPr>
              <w:t>Rendiconto</w:t>
            </w:r>
          </w:p>
        </w:tc>
        <w:tc>
          <w:tcPr>
            <w:tcW w:w="7451" w:type="dxa"/>
          </w:tcPr>
          <w:p w14:paraId="1BC4E672" w14:textId="05D01670" w:rsidR="00826401" w:rsidRPr="00E51727" w:rsidRDefault="00826401" w:rsidP="00F262AB">
            <w:pPr>
              <w:rPr>
                <w:bCs/>
                <w:lang w:val="it-CH"/>
              </w:rPr>
            </w:pPr>
            <w:r w:rsidRPr="00E51727">
              <w:rPr>
                <w:lang w:val="it-CH"/>
              </w:rPr>
              <w:t xml:space="preserve">Il rendiconto corrisponde alla comunicazione quadriennale dei Cantoni </w:t>
            </w:r>
            <w:r>
              <w:rPr>
                <w:lang w:val="it-CH"/>
              </w:rPr>
              <w:t>relativa a</w:t>
            </w:r>
            <w:r w:rsidRPr="00E51727">
              <w:rPr>
                <w:lang w:val="it-CH"/>
              </w:rPr>
              <w:t xml:space="preserve"> ubicazione, estensione e qualità delle SAC</w:t>
            </w:r>
            <w:r>
              <w:rPr>
                <w:lang w:val="it-CH"/>
              </w:rPr>
              <w:t xml:space="preserve"> iscritte nell’inventario</w:t>
            </w:r>
            <w:r w:rsidRPr="00E51727">
              <w:rPr>
                <w:lang w:val="it-CH"/>
              </w:rPr>
              <w:t>. Esso è sancito nell’OPT (art. 28 cpv. 2) e può essere effettuato nel quadro dell’orientamento sullo stato della pianificazione direttrice ai sensi dell’articolo 9 OPT.</w:t>
            </w:r>
          </w:p>
          <w:p w14:paraId="6BC954DD" w14:textId="1AF97F90" w:rsidR="00826401" w:rsidRPr="00E51727" w:rsidRDefault="00826401" w:rsidP="00F262AB">
            <w:pPr>
              <w:rPr>
                <w:bCs/>
                <w:lang w:val="it-CH"/>
              </w:rPr>
            </w:pPr>
            <w:r w:rsidRPr="00E51727">
              <w:rPr>
                <w:lang w:val="it-CH"/>
              </w:rPr>
              <w:t xml:space="preserve">Contrariamente a quanto avviene per il monitoraggio degli inventari SAC (cfr. spiegazione sopra), in questo </w:t>
            </w:r>
            <w:r w:rsidRPr="0034599C">
              <w:rPr>
                <w:lang w:val="it-CH"/>
              </w:rPr>
              <w:t>caso il rispetto del contingente</w:t>
            </w:r>
            <w:r w:rsidRPr="00E51727">
              <w:rPr>
                <w:lang w:val="it-CH"/>
              </w:rPr>
              <w:t xml:space="preserve"> cantonale, l’evoluzione dell’inventario delle SAC, i contenuti della documentazione inoltrata e il rispetto dei principi del presente piano settoriale vengono verificati dall’ARE.</w:t>
            </w:r>
          </w:p>
          <w:p w14:paraId="25C99DFE" w14:textId="77777777" w:rsidR="00826401" w:rsidRPr="00E51727" w:rsidRDefault="00826401" w:rsidP="006B212E">
            <w:pPr>
              <w:rPr>
                <w:lang w:val="it-CH"/>
              </w:rPr>
            </w:pPr>
          </w:p>
        </w:tc>
      </w:tr>
      <w:tr w:rsidR="00826401" w:rsidRPr="002C06C6" w14:paraId="2703B018" w14:textId="77777777" w:rsidTr="00E26043">
        <w:trPr>
          <w:trHeight w:val="20"/>
        </w:trPr>
        <w:tc>
          <w:tcPr>
            <w:tcW w:w="2074" w:type="dxa"/>
          </w:tcPr>
          <w:p w14:paraId="31E07873" w14:textId="77777777" w:rsidR="00826401" w:rsidRPr="00E51727" w:rsidRDefault="00826401" w:rsidP="325E5E49">
            <w:pPr>
              <w:rPr>
                <w:b/>
                <w:bCs/>
                <w:lang w:val="it-CH"/>
              </w:rPr>
            </w:pPr>
            <w:r w:rsidRPr="00E51727">
              <w:rPr>
                <w:b/>
                <w:bCs/>
                <w:lang w:val="it-CH"/>
              </w:rPr>
              <w:t>Richiedente</w:t>
            </w:r>
          </w:p>
          <w:p w14:paraId="0B79ADC5" w14:textId="77777777" w:rsidR="00826401" w:rsidRPr="00E51727" w:rsidRDefault="00826401" w:rsidP="006B212E">
            <w:pPr>
              <w:rPr>
                <w:b/>
                <w:lang w:val="it-CH"/>
              </w:rPr>
            </w:pPr>
          </w:p>
        </w:tc>
        <w:tc>
          <w:tcPr>
            <w:tcW w:w="7451" w:type="dxa"/>
          </w:tcPr>
          <w:p w14:paraId="560C17D0" w14:textId="77777777" w:rsidR="00826401" w:rsidRPr="00E51727" w:rsidRDefault="00826401" w:rsidP="006B212E">
            <w:pPr>
              <w:rPr>
                <w:lang w:val="it-CH"/>
              </w:rPr>
            </w:pPr>
            <w:r w:rsidRPr="00E51727">
              <w:rPr>
                <w:lang w:val="it-CH"/>
              </w:rPr>
              <w:t xml:space="preserve">Il richiedente è un’autorità federale o una collettività di diritto pubblico o privato (aeroporto, FFS, fornitore di energia elettrica ecc.) che pianifica un progetto infrastrutturale e che inoltra una domanda d’approvazione dei piani all’autorità competente. </w:t>
            </w:r>
          </w:p>
          <w:p w14:paraId="28FA57B6" w14:textId="77777777" w:rsidR="00826401" w:rsidRPr="00E51727" w:rsidRDefault="00826401" w:rsidP="006B212E">
            <w:pPr>
              <w:rPr>
                <w:lang w:val="it-CH"/>
              </w:rPr>
            </w:pPr>
          </w:p>
        </w:tc>
      </w:tr>
      <w:tr w:rsidR="00826401" w:rsidRPr="002C06C6" w14:paraId="7EB61062" w14:textId="77777777" w:rsidTr="00E26043">
        <w:trPr>
          <w:trHeight w:val="20"/>
        </w:trPr>
        <w:tc>
          <w:tcPr>
            <w:tcW w:w="2074" w:type="dxa"/>
          </w:tcPr>
          <w:p w14:paraId="53874D6D" w14:textId="77777777" w:rsidR="00826401" w:rsidRPr="00E51727" w:rsidRDefault="00826401">
            <w:pPr>
              <w:rPr>
                <w:rFonts w:eastAsiaTheme="minorEastAsia"/>
                <w:b/>
                <w:bCs/>
                <w:lang w:val="it-CH" w:eastAsia="en-US"/>
              </w:rPr>
            </w:pPr>
            <w:proofErr w:type="spellStart"/>
            <w:r w:rsidRPr="00E51727">
              <w:rPr>
                <w:rFonts w:eastAsiaTheme="minorEastAsia"/>
                <w:b/>
                <w:bCs/>
                <w:lang w:val="it-CH" w:eastAsia="en-US"/>
              </w:rPr>
              <w:t>Ricoltivazione</w:t>
            </w:r>
            <w:proofErr w:type="spellEnd"/>
          </w:p>
          <w:p w14:paraId="08B23E18" w14:textId="77777777" w:rsidR="00826401" w:rsidRPr="00E51727" w:rsidRDefault="00826401" w:rsidP="00A5351B">
            <w:pPr>
              <w:rPr>
                <w:rFonts w:eastAsiaTheme="minorEastAsia"/>
                <w:b/>
                <w:lang w:val="it-CH" w:eastAsia="en-US"/>
              </w:rPr>
            </w:pPr>
          </w:p>
        </w:tc>
        <w:tc>
          <w:tcPr>
            <w:tcW w:w="7451" w:type="dxa"/>
          </w:tcPr>
          <w:p w14:paraId="3904DCFC" w14:textId="2DA7636D" w:rsidR="00826401" w:rsidRPr="00E51727" w:rsidRDefault="00826401" w:rsidP="3120AD34">
            <w:pPr>
              <w:rPr>
                <w:lang w:val="it-CH"/>
              </w:rPr>
            </w:pPr>
            <w:r w:rsidRPr="00E51727">
              <w:rPr>
                <w:lang w:val="it-CH"/>
              </w:rPr>
              <w:t xml:space="preserve">La </w:t>
            </w:r>
            <w:proofErr w:type="spellStart"/>
            <w:r w:rsidRPr="00E51727">
              <w:rPr>
                <w:lang w:val="it-CH"/>
              </w:rPr>
              <w:t>ricoltivazione</w:t>
            </w:r>
            <w:proofErr w:type="spellEnd"/>
            <w:r w:rsidRPr="00E51727">
              <w:rPr>
                <w:lang w:val="it-CH"/>
              </w:rPr>
              <w:t xml:space="preserve"> descrive il ripristino del suolo dopo un intervento temporaneo. </w:t>
            </w:r>
            <w:r>
              <w:rPr>
                <w:lang w:val="it-CH"/>
              </w:rPr>
              <w:t xml:space="preserve">I suoli </w:t>
            </w:r>
            <w:r w:rsidRPr="00E51727">
              <w:rPr>
                <w:lang w:val="it-CH"/>
              </w:rPr>
              <w:t>degradat</w:t>
            </w:r>
            <w:r>
              <w:rPr>
                <w:lang w:val="it-CH"/>
              </w:rPr>
              <w:t>i</w:t>
            </w:r>
            <w:r w:rsidRPr="00E51727">
              <w:rPr>
                <w:lang w:val="it-CH"/>
              </w:rPr>
              <w:t>, ad esempio</w:t>
            </w:r>
            <w:r>
              <w:rPr>
                <w:lang w:val="it-CH"/>
              </w:rPr>
              <w:t xml:space="preserve"> a seguito del</w:t>
            </w:r>
            <w:r w:rsidRPr="00E51727">
              <w:rPr>
                <w:lang w:val="it-CH"/>
              </w:rPr>
              <w:t>l’estrazione di ghiaia</w:t>
            </w:r>
            <w:r>
              <w:rPr>
                <w:lang w:val="it-CH"/>
              </w:rPr>
              <w:t xml:space="preserve"> o</w:t>
            </w:r>
            <w:r w:rsidRPr="00E51727">
              <w:rPr>
                <w:lang w:val="it-CH"/>
              </w:rPr>
              <w:t xml:space="preserve"> la presenza di vecchie discariche o di strade, possono essere ricoltivat</w:t>
            </w:r>
            <w:r>
              <w:rPr>
                <w:lang w:val="it-CH"/>
              </w:rPr>
              <w:t>e</w:t>
            </w:r>
            <w:r w:rsidRPr="00E51727">
              <w:rPr>
                <w:lang w:val="it-CH"/>
              </w:rPr>
              <w:t xml:space="preserve">. Ciò significa che le loro tipiche proprietà vengono ripristinate e si creano le premesse per un’utilizzazione sostenibile e adeguata alle condizioni locali. In tale ambito occorre innanzitutto procedere alla </w:t>
            </w:r>
            <w:proofErr w:type="spellStart"/>
            <w:r w:rsidRPr="00E51727">
              <w:rPr>
                <w:lang w:val="it-CH"/>
              </w:rPr>
              <w:t>deimpermeabilizzazione</w:t>
            </w:r>
            <w:proofErr w:type="spellEnd"/>
            <w:r w:rsidRPr="00E51727">
              <w:rPr>
                <w:lang w:val="it-CH"/>
              </w:rPr>
              <w:t xml:space="preserve"> del suolo.</w:t>
            </w:r>
          </w:p>
          <w:p w14:paraId="0A9E8737" w14:textId="77777777" w:rsidR="00826401" w:rsidRPr="00E51727" w:rsidRDefault="00826401" w:rsidP="00A5351B">
            <w:pPr>
              <w:rPr>
                <w:rFonts w:eastAsiaTheme="minorEastAsia"/>
                <w:lang w:val="it-CH" w:eastAsia="en-US"/>
              </w:rPr>
            </w:pPr>
          </w:p>
        </w:tc>
      </w:tr>
      <w:tr w:rsidR="00826401" w:rsidRPr="002C06C6" w14:paraId="6FBA455E" w14:textId="77777777" w:rsidTr="00E26043">
        <w:trPr>
          <w:trHeight w:val="20"/>
        </w:trPr>
        <w:tc>
          <w:tcPr>
            <w:tcW w:w="2074" w:type="dxa"/>
          </w:tcPr>
          <w:p w14:paraId="299F83C7" w14:textId="099E210C" w:rsidR="00826401" w:rsidRPr="00E51727" w:rsidRDefault="00826401" w:rsidP="00EF3CE7">
            <w:pPr>
              <w:rPr>
                <w:b/>
                <w:bCs/>
                <w:lang w:val="it-CH"/>
              </w:rPr>
            </w:pPr>
            <w:r>
              <w:rPr>
                <w:b/>
                <w:bCs/>
                <w:lang w:val="it-CH"/>
              </w:rPr>
              <w:t>Superfici coltive</w:t>
            </w:r>
          </w:p>
        </w:tc>
        <w:tc>
          <w:tcPr>
            <w:tcW w:w="7451" w:type="dxa"/>
          </w:tcPr>
          <w:p w14:paraId="678F2CA7" w14:textId="1C5CF96E" w:rsidR="00826401" w:rsidRPr="00E51727" w:rsidRDefault="00826401" w:rsidP="006B212E">
            <w:pPr>
              <w:rPr>
                <w:lang w:val="it-CH"/>
              </w:rPr>
            </w:pPr>
            <w:r w:rsidRPr="00E51727">
              <w:rPr>
                <w:lang w:val="it-CH"/>
              </w:rPr>
              <w:t>Sono considerat</w:t>
            </w:r>
            <w:r>
              <w:rPr>
                <w:lang w:val="it-CH"/>
              </w:rPr>
              <w:t>e</w:t>
            </w:r>
            <w:r w:rsidRPr="00E51727">
              <w:rPr>
                <w:lang w:val="it-CH"/>
              </w:rPr>
              <w:t xml:space="preserve"> </w:t>
            </w:r>
            <w:r>
              <w:rPr>
                <w:lang w:val="it-CH"/>
              </w:rPr>
              <w:t>superfici coltive</w:t>
            </w:r>
            <w:r w:rsidRPr="00E51727">
              <w:rPr>
                <w:lang w:val="it-CH"/>
              </w:rPr>
              <w:t xml:space="preserve"> tutte le superfici</w:t>
            </w:r>
            <w:r>
              <w:rPr>
                <w:lang w:val="it-CH"/>
              </w:rPr>
              <w:t xml:space="preserve"> e i suoli</w:t>
            </w:r>
            <w:r w:rsidRPr="00E51727">
              <w:rPr>
                <w:lang w:val="it-CH"/>
              </w:rPr>
              <w:t xml:space="preserve"> che possono essere sfruttat</w:t>
            </w:r>
            <w:r>
              <w:rPr>
                <w:lang w:val="it-CH"/>
              </w:rPr>
              <w:t>i</w:t>
            </w:r>
            <w:r w:rsidRPr="00E51727">
              <w:rPr>
                <w:lang w:val="it-CH"/>
              </w:rPr>
              <w:t xml:space="preserve"> e utilizzat</w:t>
            </w:r>
            <w:r>
              <w:rPr>
                <w:lang w:val="it-CH"/>
              </w:rPr>
              <w:t>i</w:t>
            </w:r>
            <w:r w:rsidRPr="00E51727">
              <w:rPr>
                <w:lang w:val="it-CH"/>
              </w:rPr>
              <w:t xml:space="preserve"> </w:t>
            </w:r>
            <w:r>
              <w:rPr>
                <w:lang w:val="it-CH"/>
              </w:rPr>
              <w:t>in ambito agricolo</w:t>
            </w:r>
            <w:r w:rsidRPr="00E51727">
              <w:rPr>
                <w:lang w:val="it-CH"/>
              </w:rPr>
              <w:t>. Tra di ess</w:t>
            </w:r>
            <w:r>
              <w:rPr>
                <w:lang w:val="it-CH"/>
              </w:rPr>
              <w:t>e</w:t>
            </w:r>
            <w:r w:rsidRPr="00E51727">
              <w:rPr>
                <w:lang w:val="it-CH"/>
              </w:rPr>
              <w:t xml:space="preserve"> sono incluse la superficie agricola utile (SAU) e la superficie d’estivazione. In base alla classificazione della Statistica svizzera della superficie (Ufficio federale di statistica, UST), l’espressione</w:t>
            </w:r>
            <w:r>
              <w:rPr>
                <w:lang w:val="it-CH"/>
              </w:rPr>
              <w:t xml:space="preserve"> «superfici coltive»</w:t>
            </w:r>
            <w:r w:rsidRPr="00E51727">
              <w:rPr>
                <w:lang w:val="it-CH"/>
              </w:rPr>
              <w:t xml:space="preserve"> indica prati e campi, pascoli, frutteti, vigneti, orti e le aree alpine agricole. Ciò corrisponde a 1 481 669 ha</w:t>
            </w:r>
            <w:r w:rsidRPr="00E51727">
              <w:rPr>
                <w:rStyle w:val="Funotenzeichen"/>
                <w:sz w:val="18"/>
                <w:szCs w:val="18"/>
                <w:lang w:val="it-CH"/>
              </w:rPr>
              <w:footnoteReference w:id="21"/>
            </w:r>
            <w:r w:rsidRPr="00E51727">
              <w:rPr>
                <w:lang w:val="it-CH"/>
              </w:rPr>
              <w:t xml:space="preserve"> ovvero al 36 </w:t>
            </w:r>
            <w:r>
              <w:rPr>
                <w:lang w:val="it-CH"/>
              </w:rPr>
              <w:t>per cento</w:t>
            </w:r>
            <w:r w:rsidRPr="00E51727">
              <w:rPr>
                <w:lang w:val="it-CH"/>
              </w:rPr>
              <w:t xml:space="preserve"> circa della superficie complessiva del Paese.</w:t>
            </w:r>
          </w:p>
          <w:p w14:paraId="7AB0E7D1" w14:textId="77777777" w:rsidR="00826401" w:rsidRPr="00E51727" w:rsidRDefault="00826401" w:rsidP="006B212E">
            <w:pPr>
              <w:rPr>
                <w:highlight w:val="yellow"/>
                <w:lang w:val="it-CH"/>
              </w:rPr>
            </w:pPr>
          </w:p>
        </w:tc>
      </w:tr>
      <w:tr w:rsidR="00826401" w:rsidRPr="002C06C6" w14:paraId="5D47C252" w14:textId="77777777" w:rsidTr="00E26043">
        <w:trPr>
          <w:trHeight w:val="20"/>
        </w:trPr>
        <w:tc>
          <w:tcPr>
            <w:tcW w:w="2074" w:type="dxa"/>
          </w:tcPr>
          <w:p w14:paraId="58041E82" w14:textId="77777777" w:rsidR="00826401" w:rsidRPr="00E51727" w:rsidRDefault="00826401" w:rsidP="003F18BE">
            <w:pPr>
              <w:spacing w:before="120"/>
              <w:rPr>
                <w:b/>
                <w:bCs/>
                <w:lang w:val="it-CH"/>
              </w:rPr>
            </w:pPr>
            <w:r w:rsidRPr="00E51727">
              <w:rPr>
                <w:b/>
                <w:bCs/>
                <w:lang w:val="it-CH"/>
              </w:rPr>
              <w:t xml:space="preserve">Superfici per l’avvicendamento delle colture (SAC) </w:t>
            </w:r>
          </w:p>
        </w:tc>
        <w:tc>
          <w:tcPr>
            <w:tcW w:w="7451" w:type="dxa"/>
          </w:tcPr>
          <w:p w14:paraId="311348B4" w14:textId="15F66535" w:rsidR="00826401" w:rsidRPr="00E51727" w:rsidRDefault="00826401" w:rsidP="009313B7">
            <w:pPr>
              <w:spacing w:before="120"/>
              <w:rPr>
                <w:lang w:val="it-CH"/>
              </w:rPr>
            </w:pPr>
            <w:r w:rsidRPr="00E51727">
              <w:rPr>
                <w:lang w:val="it-CH"/>
              </w:rPr>
              <w:t xml:space="preserve">Per quanto riguarda la produzione di derrate alimentari, le SAC rappresentano la componente più preziosa della superficie agricola. </w:t>
            </w:r>
            <w:r>
              <w:rPr>
                <w:lang w:val="it-CH"/>
              </w:rPr>
              <w:t>Conformemente a</w:t>
            </w:r>
            <w:r w:rsidRPr="00E51727">
              <w:rPr>
                <w:lang w:val="it-CH"/>
              </w:rPr>
              <w:t>ll’articolo 26 OPT, esse comprendono soprattutto i campi, i prati artificiali in rotazione e i prati naturali. (Per la qualità SAC in ambito di nuovi rilevamenti e valutazioni/</w:t>
            </w:r>
            <w:proofErr w:type="spellStart"/>
            <w:r w:rsidRPr="00E51727">
              <w:rPr>
                <w:lang w:val="it-CH"/>
              </w:rPr>
              <w:t>ricoltivazioni</w:t>
            </w:r>
            <w:proofErr w:type="spellEnd"/>
            <w:r w:rsidRPr="00E51727">
              <w:rPr>
                <w:lang w:val="it-CH"/>
              </w:rPr>
              <w:t xml:space="preserve"> cfr. </w:t>
            </w:r>
            <w:r w:rsidRPr="00E51727">
              <w:rPr>
                <w:lang w:val="it-CH"/>
              </w:rPr>
              <w:fldChar w:fldCharType="begin"/>
            </w:r>
            <w:r w:rsidRPr="00E51727">
              <w:rPr>
                <w:lang w:val="it-CH"/>
              </w:rPr>
              <w:instrText xml:space="preserve"> REF _Ref520123456 \r \h </w:instrText>
            </w:r>
            <w:r w:rsidRPr="00E51727">
              <w:rPr>
                <w:lang w:val="it-CH"/>
              </w:rPr>
            </w:r>
            <w:r w:rsidRPr="00E51727">
              <w:rPr>
                <w:lang w:val="it-CH"/>
              </w:rPr>
              <w:fldChar w:fldCharType="separate"/>
            </w:r>
            <w:r w:rsidR="00BD32B4">
              <w:rPr>
                <w:lang w:val="it-CH"/>
              </w:rPr>
              <w:t>P6</w:t>
            </w:r>
            <w:r w:rsidRPr="00E51727">
              <w:rPr>
                <w:lang w:val="it-CH"/>
              </w:rPr>
              <w:fldChar w:fldCharType="end"/>
            </w:r>
            <w:r w:rsidRPr="00E51727">
              <w:rPr>
                <w:lang w:val="it-CH"/>
              </w:rPr>
              <w:t>)</w:t>
            </w:r>
          </w:p>
          <w:p w14:paraId="4BD8F54F" w14:textId="77777777" w:rsidR="00826401" w:rsidRPr="00E51727" w:rsidRDefault="00826401" w:rsidP="00E136A1">
            <w:pPr>
              <w:rPr>
                <w:lang w:val="it-CH"/>
              </w:rPr>
            </w:pPr>
          </w:p>
        </w:tc>
      </w:tr>
      <w:tr w:rsidR="00826401" w:rsidRPr="002C06C6" w14:paraId="53473904" w14:textId="77777777" w:rsidTr="00E26043">
        <w:trPr>
          <w:trHeight w:val="20"/>
        </w:trPr>
        <w:tc>
          <w:tcPr>
            <w:tcW w:w="2074" w:type="dxa"/>
          </w:tcPr>
          <w:p w14:paraId="24F6AFD6" w14:textId="77777777" w:rsidR="00826401" w:rsidRPr="00E51727" w:rsidRDefault="00826401" w:rsidP="325E5E49">
            <w:pPr>
              <w:rPr>
                <w:b/>
                <w:bCs/>
                <w:lang w:val="it-CH"/>
              </w:rPr>
            </w:pPr>
            <w:r w:rsidRPr="00E51727">
              <w:rPr>
                <w:b/>
                <w:bCs/>
                <w:lang w:val="it-CH"/>
              </w:rPr>
              <w:lastRenderedPageBreak/>
              <w:t>Superficie agricola utile (SAU)</w:t>
            </w:r>
          </w:p>
        </w:tc>
        <w:tc>
          <w:tcPr>
            <w:tcW w:w="7451" w:type="dxa"/>
          </w:tcPr>
          <w:p w14:paraId="26C47BBC" w14:textId="7DBECF6A" w:rsidR="00826401" w:rsidRPr="00E51727" w:rsidRDefault="00826401" w:rsidP="3120AD34">
            <w:pPr>
              <w:rPr>
                <w:rFonts w:ascii="Helvetica" w:hAnsi="Helvetica" w:cs="Helvetica"/>
                <w:sz w:val="23"/>
                <w:szCs w:val="23"/>
                <w:shd w:val="clear" w:color="auto" w:fill="FFFFFF"/>
                <w:lang w:val="it-CH"/>
              </w:rPr>
            </w:pPr>
            <w:r w:rsidRPr="00E51727">
              <w:rPr>
                <w:lang w:val="it-CH"/>
              </w:rPr>
              <w:t xml:space="preserve">Per SAU s’intende la superficie </w:t>
            </w:r>
            <w:r>
              <w:rPr>
                <w:lang w:val="it-CH"/>
              </w:rPr>
              <w:t xml:space="preserve">assegnata a </w:t>
            </w:r>
            <w:r w:rsidRPr="00E51727">
              <w:rPr>
                <w:lang w:val="it-CH"/>
              </w:rPr>
              <w:t xml:space="preserve">un’azienda, utilizzata per la produzione vegetale, esclusa la superficie d’estivazione. Essa comprende, ai sensi dell’ordinanza sulla terminologia agricola (art. 14 </w:t>
            </w:r>
            <w:proofErr w:type="spellStart"/>
            <w:r w:rsidRPr="00E51727">
              <w:rPr>
                <w:lang w:val="it-CH"/>
              </w:rPr>
              <w:t>OTerm</w:t>
            </w:r>
            <w:proofErr w:type="spellEnd"/>
            <w:r w:rsidRPr="00E51727">
              <w:rPr>
                <w:lang w:val="it-CH"/>
              </w:rPr>
              <w:t>), la superficie coltiva, la superficie permanentemente inerbita, i terreni da strame, la superficie con colture perenni, la superficie coltivata tutto l</w:t>
            </w:r>
            <w:r>
              <w:rPr>
                <w:lang w:val="it-CH"/>
              </w:rPr>
              <w:t>’</w:t>
            </w:r>
            <w:r w:rsidRPr="00E51727">
              <w:rPr>
                <w:lang w:val="it-CH"/>
              </w:rPr>
              <w:t>anno al coperto (serre, tunnel, letti di forzatura) e la superficie con siepi e boschetti rivieraschi e campestri (sempreché non faccia parte della foresta conformemente alla legge forestale [</w:t>
            </w:r>
            <w:proofErr w:type="spellStart"/>
            <w:r w:rsidRPr="00E51727">
              <w:rPr>
                <w:lang w:val="it-CH"/>
              </w:rPr>
              <w:t>LFo</w:t>
            </w:r>
            <w:proofErr w:type="spellEnd"/>
            <w:r w:rsidRPr="00E51727">
              <w:rPr>
                <w:lang w:val="it-CH"/>
              </w:rPr>
              <w:t>] del 4 ottobre 1991). La SAU comprende 1 049 072 ha</w:t>
            </w:r>
            <w:r w:rsidRPr="00E51727">
              <w:rPr>
                <w:rStyle w:val="Funotenzeichen"/>
                <w:sz w:val="18"/>
                <w:szCs w:val="18"/>
                <w:lang w:val="it-CH"/>
              </w:rPr>
              <w:footnoteReference w:id="22"/>
            </w:r>
            <w:r w:rsidRPr="00E51727">
              <w:rPr>
                <w:lang w:val="it-CH"/>
              </w:rPr>
              <w:t xml:space="preserve"> o il 25 </w:t>
            </w:r>
            <w:r>
              <w:rPr>
                <w:lang w:val="it-CH"/>
              </w:rPr>
              <w:t>per cento</w:t>
            </w:r>
            <w:r w:rsidRPr="00E51727">
              <w:rPr>
                <w:lang w:val="it-CH"/>
              </w:rPr>
              <w:t xml:space="preserve"> circa della superficie del Paese (stato 2016).</w:t>
            </w:r>
          </w:p>
          <w:p w14:paraId="5ACBB0B7" w14:textId="77777777" w:rsidR="00826401" w:rsidRPr="00E51727" w:rsidRDefault="00826401" w:rsidP="006B212E">
            <w:pPr>
              <w:rPr>
                <w:highlight w:val="yellow"/>
                <w:lang w:val="it-CH"/>
              </w:rPr>
            </w:pPr>
          </w:p>
        </w:tc>
      </w:tr>
      <w:tr w:rsidR="00826401" w:rsidRPr="002C06C6" w14:paraId="1C942950" w14:textId="77777777" w:rsidTr="00E26043">
        <w:trPr>
          <w:trHeight w:val="20"/>
        </w:trPr>
        <w:tc>
          <w:tcPr>
            <w:tcW w:w="2074" w:type="dxa"/>
          </w:tcPr>
          <w:p w14:paraId="6E6334CD" w14:textId="77777777" w:rsidR="00826401" w:rsidRPr="00E51727" w:rsidRDefault="00826401" w:rsidP="325E5E49">
            <w:pPr>
              <w:rPr>
                <w:b/>
                <w:bCs/>
                <w:lang w:val="it-CH"/>
              </w:rPr>
            </w:pPr>
            <w:r w:rsidRPr="00E51727">
              <w:rPr>
                <w:b/>
                <w:bCs/>
                <w:lang w:val="it-CH"/>
              </w:rPr>
              <w:t>Valorizzazione</w:t>
            </w:r>
          </w:p>
          <w:p w14:paraId="6EEDA151" w14:textId="77777777" w:rsidR="00826401" w:rsidRPr="00E51727" w:rsidRDefault="00826401" w:rsidP="006B212E">
            <w:pPr>
              <w:rPr>
                <w:b/>
                <w:lang w:val="it-CH"/>
              </w:rPr>
            </w:pPr>
          </w:p>
        </w:tc>
        <w:tc>
          <w:tcPr>
            <w:tcW w:w="7451" w:type="dxa"/>
          </w:tcPr>
          <w:p w14:paraId="2D52A294" w14:textId="67A21C74" w:rsidR="00826401" w:rsidRPr="00E51727" w:rsidRDefault="00826401" w:rsidP="00541907">
            <w:pPr>
              <w:rPr>
                <w:lang w:val="it-CH"/>
              </w:rPr>
            </w:pPr>
            <w:r>
              <w:rPr>
                <w:lang w:val="it-CH"/>
              </w:rPr>
              <w:t>Per</w:t>
            </w:r>
            <w:r w:rsidRPr="00E51727">
              <w:rPr>
                <w:lang w:val="it-CH"/>
              </w:rPr>
              <w:t xml:space="preserve"> valorizzazione del suolo si intendono tutte le misure </w:t>
            </w:r>
            <w:r>
              <w:rPr>
                <w:lang w:val="it-CH"/>
              </w:rPr>
              <w:t xml:space="preserve">tese a migliorare la </w:t>
            </w:r>
            <w:r w:rsidRPr="00E51727">
              <w:rPr>
                <w:lang w:val="it-CH"/>
              </w:rPr>
              <w:t xml:space="preserve">redditività agricola di un terreno. Tra di esse vi è l’apporto di materiale di suolo per il miglioramento della qualità </w:t>
            </w:r>
            <w:r>
              <w:rPr>
                <w:lang w:val="it-CH"/>
              </w:rPr>
              <w:t>pedologica dei terreni</w:t>
            </w:r>
            <w:r w:rsidRPr="00E51727">
              <w:rPr>
                <w:lang w:val="it-CH"/>
              </w:rPr>
              <w:t xml:space="preserve"> e per semplificare la gestione di quest’ultima.</w:t>
            </w:r>
          </w:p>
          <w:p w14:paraId="5633CEDF" w14:textId="77777777" w:rsidR="00826401" w:rsidRPr="00E51727" w:rsidRDefault="00826401" w:rsidP="00541907">
            <w:pPr>
              <w:rPr>
                <w:rFonts w:eastAsiaTheme="minorHAnsi"/>
                <w:lang w:val="it-CH" w:eastAsia="en-US"/>
              </w:rPr>
            </w:pPr>
          </w:p>
        </w:tc>
      </w:tr>
    </w:tbl>
    <w:p w14:paraId="2A3E5435" w14:textId="77777777" w:rsidR="005B24F3" w:rsidRPr="00F67602" w:rsidRDefault="005B24F3">
      <w:pPr>
        <w:rPr>
          <w:lang w:val="it-IT"/>
        </w:rPr>
      </w:pPr>
      <w:bookmarkStart w:id="162" w:name="_Hlk529370408"/>
      <w:r w:rsidRPr="00F67602">
        <w:rPr>
          <w:lang w:val="it-IT"/>
        </w:rPr>
        <w:br w:type="page"/>
      </w:r>
    </w:p>
    <w:p w14:paraId="40C1FD8C" w14:textId="2630302E" w:rsidR="00E62FDA" w:rsidRDefault="00E62FDA" w:rsidP="005B24F3">
      <w:pPr>
        <w:pStyle w:val="berschrift2"/>
        <w:rPr>
          <w:lang w:val="it-CH"/>
        </w:rPr>
      </w:pPr>
      <w:bookmarkStart w:id="163" w:name="_Toc526428731"/>
      <w:bookmarkStart w:id="164" w:name="_Toc533053024"/>
      <w:bookmarkEnd w:id="162"/>
      <w:r w:rsidRPr="00E62FDA">
        <w:rPr>
          <w:lang w:val="it-CH"/>
        </w:rPr>
        <w:lastRenderedPageBreak/>
        <w:t>Elenco delle abbreviazioni</w:t>
      </w:r>
      <w:bookmarkEnd w:id="163"/>
      <w:bookmarkEnd w:id="164"/>
    </w:p>
    <w:p w14:paraId="21B50B69" w14:textId="77777777" w:rsidR="00F67602" w:rsidRPr="00F67602" w:rsidRDefault="00F67602" w:rsidP="00F67602">
      <w:pPr>
        <w:rPr>
          <w:lang w:val="it-CH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8222"/>
      </w:tblGrid>
      <w:tr w:rsidR="00E62FDA" w:rsidRPr="002C06C6" w14:paraId="114E6881" w14:textId="77777777" w:rsidTr="001E2443">
        <w:tc>
          <w:tcPr>
            <w:tcW w:w="1271" w:type="dxa"/>
            <w:shd w:val="clear" w:color="auto" w:fill="auto"/>
          </w:tcPr>
          <w:p w14:paraId="4F080D71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proofErr w:type="spellStart"/>
            <w:r w:rsidRPr="00E51727">
              <w:rPr>
                <w:rFonts w:cs="Arial"/>
                <w:sz w:val="19"/>
                <w:szCs w:val="19"/>
                <w:lang w:val="it-CH"/>
              </w:rPr>
              <w:t>Agristat</w:t>
            </w:r>
            <w:proofErr w:type="spellEnd"/>
          </w:p>
        </w:tc>
        <w:tc>
          <w:tcPr>
            <w:tcW w:w="8222" w:type="dxa"/>
            <w:shd w:val="clear" w:color="auto" w:fill="auto"/>
          </w:tcPr>
          <w:p w14:paraId="02F87934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Divisione statistica del Segretariato dell'Unione svizzera dei contadini</w:t>
            </w:r>
          </w:p>
        </w:tc>
      </w:tr>
      <w:tr w:rsidR="00E62FDA" w:rsidRPr="002C06C6" w14:paraId="1A89F756" w14:textId="77777777" w:rsidTr="001E2443">
        <w:tc>
          <w:tcPr>
            <w:tcW w:w="1271" w:type="dxa"/>
            <w:shd w:val="clear" w:color="auto" w:fill="auto"/>
          </w:tcPr>
          <w:p w14:paraId="080BE194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ARE</w:t>
            </w:r>
          </w:p>
        </w:tc>
        <w:tc>
          <w:tcPr>
            <w:tcW w:w="8222" w:type="dxa"/>
            <w:shd w:val="clear" w:color="auto" w:fill="auto"/>
          </w:tcPr>
          <w:p w14:paraId="4AD9A489" w14:textId="517BB9A5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sz w:val="19"/>
                <w:szCs w:val="19"/>
                <w:lang w:val="it-CH"/>
              </w:rPr>
              <w:t xml:space="preserve">Ufficio federale dello sviluppo territoriale </w:t>
            </w:r>
            <w:r w:rsidRPr="00057FA3">
              <w:rPr>
                <w:rFonts w:cs="Arial"/>
                <w:sz w:val="19"/>
                <w:szCs w:val="19"/>
                <w:lang w:val="it-CH"/>
              </w:rPr>
              <w:t>(prima del 2000</w:t>
            </w:r>
            <w:r w:rsidR="002D06F9">
              <w:rPr>
                <w:rFonts w:cs="Arial"/>
                <w:sz w:val="19"/>
                <w:szCs w:val="19"/>
                <w:lang w:val="it-CH"/>
              </w:rPr>
              <w:t>:</w:t>
            </w: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r w:rsidRPr="00057FA3">
              <w:rPr>
                <w:sz w:val="19"/>
                <w:szCs w:val="19"/>
                <w:lang w:val="it-CH"/>
              </w:rPr>
              <w:t>Ufficio federale della pianificazione del territorio</w:t>
            </w: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 UFPT)</w:t>
            </w:r>
          </w:p>
        </w:tc>
      </w:tr>
      <w:tr w:rsidR="00E62FDA" w:rsidRPr="00E51727" w14:paraId="2E301C50" w14:textId="77777777" w:rsidTr="001E2443">
        <w:tc>
          <w:tcPr>
            <w:tcW w:w="1271" w:type="dxa"/>
            <w:shd w:val="clear" w:color="auto" w:fill="auto"/>
          </w:tcPr>
          <w:p w14:paraId="39E2505F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USTRA</w:t>
            </w:r>
          </w:p>
        </w:tc>
        <w:tc>
          <w:tcPr>
            <w:tcW w:w="8222" w:type="dxa"/>
            <w:shd w:val="clear" w:color="auto" w:fill="auto"/>
          </w:tcPr>
          <w:p w14:paraId="3A3213D8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sz w:val="19"/>
                <w:szCs w:val="19"/>
                <w:lang w:val="it-CH"/>
              </w:rPr>
              <w:t>Ufficio federale delle strade</w:t>
            </w:r>
          </w:p>
        </w:tc>
      </w:tr>
      <w:tr w:rsidR="00E62FDA" w:rsidRPr="00885816" w14:paraId="53C40808" w14:textId="77777777" w:rsidTr="001E2443">
        <w:tc>
          <w:tcPr>
            <w:tcW w:w="1271" w:type="dxa"/>
            <w:shd w:val="clear" w:color="auto" w:fill="auto"/>
          </w:tcPr>
          <w:p w14:paraId="06BAF08C" w14:textId="77777777" w:rsidR="00E62FDA" w:rsidRPr="00993AB5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bookmarkStart w:id="165" w:name="_Hlk531096767"/>
            <w:r w:rsidRPr="00993AB5">
              <w:rPr>
                <w:rFonts w:cs="Arial"/>
                <w:sz w:val="19"/>
                <w:szCs w:val="19"/>
                <w:lang w:val="it-CH"/>
              </w:rPr>
              <w:t>CFZE</w:t>
            </w:r>
          </w:p>
        </w:tc>
        <w:tc>
          <w:tcPr>
            <w:tcW w:w="8222" w:type="dxa"/>
            <w:shd w:val="clear" w:color="auto" w:fill="auto"/>
          </w:tcPr>
          <w:p w14:paraId="4CAAE946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Costruire fuori zone edificabili</w:t>
            </w:r>
          </w:p>
        </w:tc>
      </w:tr>
      <w:bookmarkEnd w:id="165"/>
      <w:tr w:rsidR="00E62FDA" w:rsidRPr="00E51727" w14:paraId="44C340C8" w14:textId="77777777" w:rsidTr="001E2443">
        <w:tc>
          <w:tcPr>
            <w:tcW w:w="1271" w:type="dxa"/>
            <w:shd w:val="clear" w:color="auto" w:fill="auto"/>
          </w:tcPr>
          <w:p w14:paraId="22750070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UFAM</w:t>
            </w:r>
          </w:p>
        </w:tc>
        <w:tc>
          <w:tcPr>
            <w:tcW w:w="8222" w:type="dxa"/>
            <w:shd w:val="clear" w:color="auto" w:fill="auto"/>
          </w:tcPr>
          <w:p w14:paraId="7D9E80E1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Ufficio federale dell’ambiente</w:t>
            </w:r>
          </w:p>
        </w:tc>
      </w:tr>
      <w:tr w:rsidR="00E62FDA" w:rsidRPr="00E51727" w14:paraId="0CC7FD21" w14:textId="77777777" w:rsidTr="001E2443">
        <w:tc>
          <w:tcPr>
            <w:tcW w:w="1271" w:type="dxa"/>
            <w:shd w:val="clear" w:color="auto" w:fill="auto"/>
          </w:tcPr>
          <w:p w14:paraId="11991B0A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UFT</w:t>
            </w:r>
          </w:p>
        </w:tc>
        <w:tc>
          <w:tcPr>
            <w:tcW w:w="8222" w:type="dxa"/>
            <w:shd w:val="clear" w:color="auto" w:fill="auto"/>
          </w:tcPr>
          <w:p w14:paraId="39AF1511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Ufficio federale dei trasporti</w:t>
            </w:r>
          </w:p>
        </w:tc>
      </w:tr>
      <w:tr w:rsidR="00E62FDA" w:rsidRPr="00E51727" w14:paraId="208323FE" w14:textId="77777777" w:rsidTr="001E2443">
        <w:tc>
          <w:tcPr>
            <w:tcW w:w="1271" w:type="dxa"/>
            <w:shd w:val="clear" w:color="auto" w:fill="auto"/>
          </w:tcPr>
          <w:p w14:paraId="6F468732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UFAC</w:t>
            </w:r>
          </w:p>
        </w:tc>
        <w:tc>
          <w:tcPr>
            <w:tcW w:w="8222" w:type="dxa"/>
            <w:shd w:val="clear" w:color="auto" w:fill="auto"/>
          </w:tcPr>
          <w:p w14:paraId="7FBD6972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sz w:val="19"/>
                <w:szCs w:val="19"/>
                <w:lang w:val="it-CH"/>
              </w:rPr>
              <w:t>Ufficio federale dell’aviazione civile</w:t>
            </w:r>
          </w:p>
        </w:tc>
      </w:tr>
      <w:tr w:rsidR="00E62FDA" w:rsidRPr="00E51727" w14:paraId="41029D57" w14:textId="77777777" w:rsidTr="001E2443">
        <w:tc>
          <w:tcPr>
            <w:tcW w:w="1271" w:type="dxa"/>
            <w:shd w:val="clear" w:color="auto" w:fill="auto"/>
          </w:tcPr>
          <w:p w14:paraId="62087833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FF</w:t>
            </w:r>
          </w:p>
        </w:tc>
        <w:tc>
          <w:tcPr>
            <w:tcW w:w="8222" w:type="dxa"/>
            <w:shd w:val="clear" w:color="auto" w:fill="auto"/>
          </w:tcPr>
          <w:p w14:paraId="79F82DD1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Foglio federale</w:t>
            </w:r>
          </w:p>
        </w:tc>
      </w:tr>
      <w:tr w:rsidR="00E62FDA" w:rsidRPr="00E51727" w14:paraId="588C1FD3" w14:textId="77777777" w:rsidTr="001E2443">
        <w:tc>
          <w:tcPr>
            <w:tcW w:w="1271" w:type="dxa"/>
            <w:shd w:val="clear" w:color="auto" w:fill="auto"/>
          </w:tcPr>
          <w:p w14:paraId="1C5AFA89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UFE</w:t>
            </w:r>
          </w:p>
        </w:tc>
        <w:tc>
          <w:tcPr>
            <w:tcW w:w="8222" w:type="dxa"/>
            <w:shd w:val="clear" w:color="auto" w:fill="auto"/>
          </w:tcPr>
          <w:p w14:paraId="694A0AC5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Ufficio federale dell’energia</w:t>
            </w:r>
          </w:p>
        </w:tc>
      </w:tr>
      <w:tr w:rsidR="00E62FDA" w:rsidRPr="002C06C6" w14:paraId="35C1B4F5" w14:textId="77777777" w:rsidTr="001E2443">
        <w:tc>
          <w:tcPr>
            <w:tcW w:w="1271" w:type="dxa"/>
            <w:shd w:val="clear" w:color="auto" w:fill="auto"/>
          </w:tcPr>
          <w:p w14:paraId="12ADCFF3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LDFR</w:t>
            </w:r>
          </w:p>
        </w:tc>
        <w:tc>
          <w:tcPr>
            <w:tcW w:w="8222" w:type="dxa"/>
            <w:shd w:val="clear" w:color="auto" w:fill="auto"/>
          </w:tcPr>
          <w:p w14:paraId="310F5F24" w14:textId="50584A5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Legge federale </w:t>
            </w:r>
            <w:r w:rsidR="002D06F9" w:rsidRPr="00057FA3">
              <w:rPr>
                <w:rFonts w:cs="Arial"/>
                <w:sz w:val="19"/>
                <w:szCs w:val="19"/>
                <w:lang w:val="it-CH"/>
              </w:rPr>
              <w:t>del 4 ottobre 1991</w:t>
            </w:r>
            <w:r w:rsidR="002D06F9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r w:rsidRPr="00057FA3">
              <w:rPr>
                <w:rFonts w:cs="Arial"/>
                <w:sz w:val="19"/>
                <w:szCs w:val="19"/>
                <w:lang w:val="it-CH"/>
              </w:rPr>
              <w:t>sul diritto fondiario rurale; RS 211.412.11</w:t>
            </w:r>
          </w:p>
        </w:tc>
      </w:tr>
      <w:tr w:rsidR="00E62FDA" w:rsidRPr="00E51727" w14:paraId="60946A1C" w14:textId="77777777" w:rsidTr="001E2443">
        <w:tc>
          <w:tcPr>
            <w:tcW w:w="1271" w:type="dxa"/>
            <w:shd w:val="clear" w:color="auto" w:fill="auto"/>
          </w:tcPr>
          <w:p w14:paraId="6347DC6A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UFAG</w:t>
            </w:r>
          </w:p>
        </w:tc>
        <w:tc>
          <w:tcPr>
            <w:tcW w:w="8222" w:type="dxa"/>
            <w:shd w:val="clear" w:color="auto" w:fill="auto"/>
          </w:tcPr>
          <w:p w14:paraId="56DFBE4D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Ufficio federale dell’agricoltura</w:t>
            </w:r>
          </w:p>
        </w:tc>
      </w:tr>
      <w:tr w:rsidR="00E62FDA" w:rsidRPr="002C06C6" w14:paraId="2F5F0D7A" w14:textId="77777777" w:rsidTr="001E2443">
        <w:tc>
          <w:tcPr>
            <w:tcW w:w="1271" w:type="dxa"/>
            <w:shd w:val="clear" w:color="auto" w:fill="auto"/>
          </w:tcPr>
          <w:p w14:paraId="38B7A1B8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DCPA</w:t>
            </w:r>
          </w:p>
        </w:tc>
        <w:tc>
          <w:tcPr>
            <w:tcW w:w="8222" w:type="dxa"/>
            <w:shd w:val="clear" w:color="auto" w:fill="auto"/>
          </w:tcPr>
          <w:p w14:paraId="77C3D8BF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Conferenza svizzera dei direttori delle pubbliche costruzioni, della pianificazione del territorio e dell’ambiente</w:t>
            </w:r>
          </w:p>
        </w:tc>
      </w:tr>
      <w:tr w:rsidR="00E62FDA" w:rsidRPr="002C06C6" w14:paraId="55AD5E53" w14:textId="77777777" w:rsidTr="001E2443">
        <w:tc>
          <w:tcPr>
            <w:tcW w:w="1271" w:type="dxa"/>
            <w:shd w:val="clear" w:color="auto" w:fill="auto"/>
          </w:tcPr>
          <w:p w14:paraId="6C94BEFC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proofErr w:type="spellStart"/>
            <w:r w:rsidRPr="00E51727">
              <w:rPr>
                <w:rFonts w:cs="Arial"/>
                <w:sz w:val="19"/>
                <w:szCs w:val="19"/>
                <w:lang w:val="it-CH"/>
              </w:rPr>
              <w:t>Cost</w:t>
            </w:r>
            <w:proofErr w:type="spellEnd"/>
            <w:r w:rsidRPr="00E51727">
              <w:rPr>
                <w:rFonts w:cs="Arial"/>
                <w:sz w:val="19"/>
                <w:szCs w:val="19"/>
                <w:lang w:val="it-CH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216FB632" w14:textId="69133F6D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Costituzione federale </w:t>
            </w:r>
            <w:r w:rsidR="002D06F9" w:rsidRPr="00057FA3">
              <w:rPr>
                <w:rFonts w:cs="Arial"/>
                <w:sz w:val="19"/>
                <w:szCs w:val="19"/>
                <w:lang w:val="it-CH"/>
              </w:rPr>
              <w:t>del 18 aprile 1999</w:t>
            </w:r>
            <w:r w:rsidR="002D06F9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r w:rsidRPr="00057FA3">
              <w:rPr>
                <w:rFonts w:cs="Arial"/>
                <w:sz w:val="19"/>
                <w:szCs w:val="19"/>
                <w:lang w:val="it-CH"/>
              </w:rPr>
              <w:t>della Confederazione Svizzera; RS 101</w:t>
            </w:r>
          </w:p>
        </w:tc>
      </w:tr>
      <w:tr w:rsidR="00E62FDA" w:rsidRPr="002C06C6" w14:paraId="4361519F" w14:textId="77777777" w:rsidTr="001E2443">
        <w:tc>
          <w:tcPr>
            <w:tcW w:w="1271" w:type="dxa"/>
            <w:shd w:val="clear" w:color="auto" w:fill="auto"/>
          </w:tcPr>
          <w:p w14:paraId="77087EE6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UFAE</w:t>
            </w:r>
          </w:p>
        </w:tc>
        <w:tc>
          <w:tcPr>
            <w:tcW w:w="8222" w:type="dxa"/>
            <w:shd w:val="clear" w:color="auto" w:fill="auto"/>
          </w:tcPr>
          <w:p w14:paraId="1BF93B36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Ufficio federale per l’approvvigionamento economico del Paese</w:t>
            </w:r>
          </w:p>
        </w:tc>
      </w:tr>
      <w:tr w:rsidR="00E62FDA" w:rsidRPr="00E51727" w14:paraId="29D87DBD" w14:textId="77777777" w:rsidTr="001E2443">
        <w:tc>
          <w:tcPr>
            <w:tcW w:w="1271" w:type="dxa"/>
            <w:shd w:val="clear" w:color="auto" w:fill="auto"/>
          </w:tcPr>
          <w:p w14:paraId="078513C9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DSM</w:t>
            </w:r>
          </w:p>
        </w:tc>
        <w:tc>
          <w:tcPr>
            <w:tcW w:w="8222" w:type="dxa"/>
            <w:shd w:val="clear" w:color="auto" w:fill="auto"/>
          </w:tcPr>
          <w:p w14:paraId="1754C363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Digital </w:t>
            </w:r>
            <w:proofErr w:type="spellStart"/>
            <w:r w:rsidRPr="00057FA3">
              <w:rPr>
                <w:rFonts w:cs="Arial"/>
                <w:sz w:val="19"/>
                <w:szCs w:val="19"/>
                <w:lang w:val="it-CH"/>
              </w:rPr>
              <w:t>Soil</w:t>
            </w:r>
            <w:proofErr w:type="spellEnd"/>
            <w:r w:rsidRPr="00057FA3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proofErr w:type="spellStart"/>
            <w:r w:rsidRPr="00057FA3">
              <w:rPr>
                <w:rFonts w:cs="Arial"/>
                <w:sz w:val="19"/>
                <w:szCs w:val="19"/>
                <w:lang w:val="it-CH"/>
              </w:rPr>
              <w:t>Mapping</w:t>
            </w:r>
            <w:proofErr w:type="spellEnd"/>
          </w:p>
        </w:tc>
      </w:tr>
      <w:tr w:rsidR="00E62FDA" w:rsidRPr="002C06C6" w14:paraId="0570E518" w14:textId="77777777" w:rsidTr="001E2443">
        <w:tc>
          <w:tcPr>
            <w:tcW w:w="1271" w:type="dxa"/>
            <w:shd w:val="clear" w:color="auto" w:fill="auto"/>
          </w:tcPr>
          <w:p w14:paraId="715C8E27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OPD</w:t>
            </w:r>
          </w:p>
        </w:tc>
        <w:tc>
          <w:tcPr>
            <w:tcW w:w="8222" w:type="dxa"/>
            <w:shd w:val="clear" w:color="auto" w:fill="auto"/>
          </w:tcPr>
          <w:p w14:paraId="06C66DD9" w14:textId="57753987" w:rsidR="00E62FDA" w:rsidRPr="00057FA3" w:rsidDel="007944D5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Ordinanza </w:t>
            </w:r>
            <w:r w:rsidR="002D06F9" w:rsidRPr="00057FA3">
              <w:rPr>
                <w:rFonts w:cs="Arial"/>
                <w:sz w:val="19"/>
                <w:szCs w:val="19"/>
                <w:lang w:val="it-CH"/>
              </w:rPr>
              <w:t>del 23 ottobre 2013</w:t>
            </w:r>
            <w:r w:rsidR="002D06F9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r w:rsidRPr="00057FA3">
              <w:rPr>
                <w:rFonts w:cs="Arial"/>
                <w:sz w:val="19"/>
                <w:szCs w:val="19"/>
                <w:lang w:val="it-CH"/>
              </w:rPr>
              <w:t>concernente i pagamenti diretti all’agricoltura; RS 910.13</w:t>
            </w:r>
          </w:p>
        </w:tc>
      </w:tr>
      <w:tr w:rsidR="00E62FDA" w:rsidRPr="002C06C6" w14:paraId="33B6BFAD" w14:textId="77777777" w:rsidTr="001E2443">
        <w:tc>
          <w:tcPr>
            <w:tcW w:w="1271" w:type="dxa"/>
            <w:shd w:val="clear" w:color="auto" w:fill="auto"/>
          </w:tcPr>
          <w:p w14:paraId="5711733A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proofErr w:type="spellStart"/>
            <w:r w:rsidRPr="00E51727">
              <w:rPr>
                <w:rFonts w:cs="Arial"/>
                <w:sz w:val="19"/>
                <w:szCs w:val="19"/>
                <w:lang w:val="it-CH"/>
              </w:rPr>
              <w:t>LEspr</w:t>
            </w:r>
            <w:proofErr w:type="spellEnd"/>
          </w:p>
        </w:tc>
        <w:tc>
          <w:tcPr>
            <w:tcW w:w="8222" w:type="dxa"/>
            <w:shd w:val="clear" w:color="auto" w:fill="auto"/>
          </w:tcPr>
          <w:p w14:paraId="537E6A09" w14:textId="35F2E7D4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Legge federale </w:t>
            </w:r>
            <w:r w:rsidR="002D06F9" w:rsidRPr="00057FA3">
              <w:rPr>
                <w:rFonts w:cs="Arial"/>
                <w:sz w:val="19"/>
                <w:szCs w:val="19"/>
                <w:lang w:val="it-CH"/>
              </w:rPr>
              <w:t>del 20 giugno 1930</w:t>
            </w:r>
            <w:r w:rsidR="002D06F9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r w:rsidRPr="00057FA3">
              <w:rPr>
                <w:rFonts w:cs="Arial"/>
                <w:sz w:val="19"/>
                <w:szCs w:val="19"/>
                <w:lang w:val="it-CH"/>
              </w:rPr>
              <w:t>sulla espropriazione; RS 711</w:t>
            </w:r>
          </w:p>
        </w:tc>
      </w:tr>
      <w:tr w:rsidR="00E62FDA" w:rsidRPr="002C06C6" w14:paraId="7D58D1BC" w14:textId="77777777" w:rsidTr="001E2443">
        <w:tc>
          <w:tcPr>
            <w:tcW w:w="1271" w:type="dxa"/>
            <w:shd w:val="clear" w:color="auto" w:fill="auto"/>
          </w:tcPr>
          <w:p w14:paraId="04E4129D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EP90</w:t>
            </w:r>
          </w:p>
        </w:tc>
        <w:tc>
          <w:tcPr>
            <w:tcW w:w="8222" w:type="dxa"/>
            <w:shd w:val="clear" w:color="auto" w:fill="auto"/>
          </w:tcPr>
          <w:p w14:paraId="3CAABE71" w14:textId="2B0A6AB1" w:rsidR="00E62FDA" w:rsidRPr="002D06F9" w:rsidRDefault="002D06F9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2D06F9">
              <w:rPr>
                <w:rFonts w:cs="Arial"/>
                <w:sz w:val="19"/>
                <w:szCs w:val="19"/>
                <w:lang w:val="it-CH"/>
              </w:rPr>
              <w:t>Piano di alimentazione per la Svizzera in periodi perturbati</w:t>
            </w:r>
            <w:r>
              <w:rPr>
                <w:rFonts w:cs="Arial"/>
                <w:sz w:val="19"/>
                <w:szCs w:val="19"/>
                <w:lang w:val="it-CH"/>
              </w:rPr>
              <w:t xml:space="preserve"> dell’UFAE</w:t>
            </w:r>
          </w:p>
        </w:tc>
      </w:tr>
      <w:tr w:rsidR="00E62FDA" w:rsidRPr="002C06C6" w14:paraId="5DCB4DC2" w14:textId="77777777" w:rsidTr="001E2443">
        <w:tc>
          <w:tcPr>
            <w:tcW w:w="1271" w:type="dxa"/>
            <w:shd w:val="clear" w:color="auto" w:fill="auto"/>
          </w:tcPr>
          <w:p w14:paraId="53730D96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SAC</w:t>
            </w:r>
          </w:p>
        </w:tc>
        <w:tc>
          <w:tcPr>
            <w:tcW w:w="8222" w:type="dxa"/>
            <w:shd w:val="clear" w:color="auto" w:fill="auto"/>
          </w:tcPr>
          <w:p w14:paraId="7FDD09BB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Superfici per l’avvicendamento delle colture</w:t>
            </w:r>
          </w:p>
        </w:tc>
      </w:tr>
      <w:tr w:rsidR="00E62FDA" w:rsidRPr="002C06C6" w14:paraId="5FADD629" w14:textId="77777777" w:rsidTr="001E2443">
        <w:tc>
          <w:tcPr>
            <w:tcW w:w="1271" w:type="dxa"/>
            <w:shd w:val="clear" w:color="auto" w:fill="auto"/>
          </w:tcPr>
          <w:p w14:paraId="5B72EB02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ASIC</w:t>
            </w:r>
          </w:p>
        </w:tc>
        <w:tc>
          <w:tcPr>
            <w:tcW w:w="8222" w:type="dxa"/>
            <w:shd w:val="clear" w:color="auto" w:fill="auto"/>
          </w:tcPr>
          <w:p w14:paraId="62AE9C44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Associazione svizzera dell’industria degli inerti e del calcestruzzo</w:t>
            </w:r>
          </w:p>
        </w:tc>
      </w:tr>
      <w:tr w:rsidR="00E62FDA" w:rsidRPr="002C06C6" w14:paraId="538B99E2" w14:textId="77777777" w:rsidTr="001E2443">
        <w:tc>
          <w:tcPr>
            <w:tcW w:w="1271" w:type="dxa"/>
            <w:shd w:val="clear" w:color="auto" w:fill="auto"/>
          </w:tcPr>
          <w:p w14:paraId="2AFDCD98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lastRenderedPageBreak/>
              <w:t>LGI</w:t>
            </w:r>
          </w:p>
        </w:tc>
        <w:tc>
          <w:tcPr>
            <w:tcW w:w="8222" w:type="dxa"/>
            <w:shd w:val="clear" w:color="auto" w:fill="auto"/>
          </w:tcPr>
          <w:p w14:paraId="65C50CDE" w14:textId="521B563D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Legge </w:t>
            </w:r>
            <w:r w:rsidR="002D06F9" w:rsidRPr="00057FA3">
              <w:rPr>
                <w:rFonts w:cs="Arial"/>
                <w:sz w:val="19"/>
                <w:szCs w:val="19"/>
                <w:lang w:val="it-CH"/>
              </w:rPr>
              <w:t>del 5 ottobre 2007</w:t>
            </w:r>
            <w:r w:rsidR="002D06F9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sulla </w:t>
            </w:r>
            <w:proofErr w:type="spellStart"/>
            <w:r w:rsidRPr="00057FA3">
              <w:rPr>
                <w:rFonts w:cs="Arial"/>
                <w:sz w:val="19"/>
                <w:szCs w:val="19"/>
                <w:lang w:val="it-CH"/>
              </w:rPr>
              <w:t>geoinformazione</w:t>
            </w:r>
            <w:proofErr w:type="spellEnd"/>
            <w:r w:rsidRPr="00057FA3">
              <w:rPr>
                <w:rFonts w:cs="Arial"/>
                <w:sz w:val="19"/>
                <w:szCs w:val="19"/>
                <w:lang w:val="it-CH"/>
              </w:rPr>
              <w:t>; RS 510.62</w:t>
            </w:r>
          </w:p>
        </w:tc>
      </w:tr>
      <w:tr w:rsidR="00E62FDA" w:rsidRPr="00E51727" w14:paraId="26868D01" w14:textId="77777777" w:rsidTr="001E2443">
        <w:tc>
          <w:tcPr>
            <w:tcW w:w="1271" w:type="dxa"/>
            <w:shd w:val="clear" w:color="auto" w:fill="auto"/>
          </w:tcPr>
          <w:p w14:paraId="2D9B48E5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SIG</w:t>
            </w:r>
          </w:p>
        </w:tc>
        <w:tc>
          <w:tcPr>
            <w:tcW w:w="8222" w:type="dxa"/>
            <w:shd w:val="clear" w:color="auto" w:fill="auto"/>
          </w:tcPr>
          <w:p w14:paraId="39485235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proofErr w:type="spellStart"/>
            <w:r w:rsidRPr="00057FA3">
              <w:rPr>
                <w:rFonts w:cs="Arial"/>
                <w:sz w:val="19"/>
                <w:szCs w:val="19"/>
                <w:lang w:val="it-CH"/>
              </w:rPr>
              <w:t>Geoinformazione</w:t>
            </w:r>
            <w:proofErr w:type="spellEnd"/>
          </w:p>
        </w:tc>
      </w:tr>
      <w:tr w:rsidR="00E62FDA" w:rsidRPr="00E51727" w14:paraId="59DF0F2B" w14:textId="77777777" w:rsidTr="001E2443">
        <w:tc>
          <w:tcPr>
            <w:tcW w:w="1271" w:type="dxa"/>
            <w:shd w:val="clear" w:color="auto" w:fill="auto"/>
          </w:tcPr>
          <w:p w14:paraId="12DC195C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SG-DATEC</w:t>
            </w:r>
          </w:p>
        </w:tc>
        <w:tc>
          <w:tcPr>
            <w:tcW w:w="8222" w:type="dxa"/>
            <w:shd w:val="clear" w:color="auto" w:fill="auto"/>
          </w:tcPr>
          <w:p w14:paraId="20C5A887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Segreteria generale del DATEC</w:t>
            </w:r>
          </w:p>
        </w:tc>
      </w:tr>
      <w:tr w:rsidR="00F67602" w:rsidRPr="002C06C6" w14:paraId="6DC50691" w14:textId="77777777" w:rsidTr="001E2443">
        <w:tc>
          <w:tcPr>
            <w:tcW w:w="1271" w:type="dxa"/>
            <w:shd w:val="clear" w:color="auto" w:fill="auto"/>
          </w:tcPr>
          <w:p w14:paraId="7A7D5D41" w14:textId="6BC029FA" w:rsidR="00F67602" w:rsidRPr="002D06F9" w:rsidRDefault="00F67602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proofErr w:type="spellStart"/>
            <w:r w:rsidRPr="002D06F9">
              <w:rPr>
                <w:rFonts w:cs="Arial"/>
                <w:sz w:val="19"/>
                <w:szCs w:val="19"/>
                <w:lang w:val="it-CH"/>
              </w:rPr>
              <w:t>LPAc</w:t>
            </w:r>
            <w:proofErr w:type="spellEnd"/>
          </w:p>
        </w:tc>
        <w:tc>
          <w:tcPr>
            <w:tcW w:w="8222" w:type="dxa"/>
            <w:shd w:val="clear" w:color="auto" w:fill="auto"/>
          </w:tcPr>
          <w:p w14:paraId="366F7AC1" w14:textId="17D0E0F6" w:rsidR="00F67602" w:rsidRPr="002D06F9" w:rsidRDefault="00F67602" w:rsidP="001E2443">
            <w:pPr>
              <w:spacing w:before="240"/>
              <w:rPr>
                <w:rFonts w:cs="Arial"/>
                <w:sz w:val="19"/>
                <w:szCs w:val="19"/>
                <w:lang w:val="it-IT"/>
              </w:rPr>
            </w:pPr>
            <w:r w:rsidRPr="002D06F9">
              <w:rPr>
                <w:rFonts w:cs="Arial"/>
                <w:sz w:val="19"/>
                <w:szCs w:val="19"/>
                <w:lang w:val="it-IT"/>
              </w:rPr>
              <w:t xml:space="preserve">Legge federale </w:t>
            </w:r>
            <w:r w:rsidR="002D06F9" w:rsidRPr="002D06F9">
              <w:rPr>
                <w:rFonts w:cs="Arial"/>
                <w:sz w:val="19"/>
                <w:szCs w:val="19"/>
                <w:lang w:val="it-IT"/>
              </w:rPr>
              <w:t xml:space="preserve">del 24 gennaio 1991 </w:t>
            </w:r>
            <w:r w:rsidRPr="002D06F9">
              <w:rPr>
                <w:rFonts w:cs="Arial"/>
                <w:sz w:val="19"/>
                <w:szCs w:val="19"/>
                <w:lang w:val="it-IT"/>
              </w:rPr>
              <w:t>sulla protezione delle acque; RS 814.2</w:t>
            </w:r>
          </w:p>
        </w:tc>
      </w:tr>
      <w:tr w:rsidR="00E62FDA" w:rsidRPr="00E51727" w14:paraId="70D206E8" w14:textId="77777777" w:rsidTr="001E2443">
        <w:tc>
          <w:tcPr>
            <w:tcW w:w="1271" w:type="dxa"/>
            <w:shd w:val="clear" w:color="auto" w:fill="auto"/>
          </w:tcPr>
          <w:p w14:paraId="5D55D370" w14:textId="6E8E4A34" w:rsidR="00E62FDA" w:rsidRPr="00E51727" w:rsidRDefault="002D06F9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>
              <w:rPr>
                <w:rFonts w:cs="Arial"/>
                <w:sz w:val="19"/>
                <w:szCs w:val="19"/>
                <w:lang w:val="it-CH"/>
              </w:rPr>
              <w:t>SG-DDPS</w:t>
            </w:r>
          </w:p>
        </w:tc>
        <w:tc>
          <w:tcPr>
            <w:tcW w:w="8222" w:type="dxa"/>
            <w:shd w:val="clear" w:color="auto" w:fill="auto"/>
          </w:tcPr>
          <w:p w14:paraId="409D6254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Segreteria generale del DDPS</w:t>
            </w:r>
          </w:p>
        </w:tc>
      </w:tr>
      <w:tr w:rsidR="00E62FDA" w:rsidRPr="002C06C6" w14:paraId="57A91E0D" w14:textId="77777777" w:rsidTr="001E2443">
        <w:tc>
          <w:tcPr>
            <w:tcW w:w="1271" w:type="dxa"/>
            <w:shd w:val="clear" w:color="auto" w:fill="auto"/>
          </w:tcPr>
          <w:p w14:paraId="445FDCAE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proofErr w:type="spellStart"/>
            <w:r w:rsidRPr="00E51727">
              <w:rPr>
                <w:rFonts w:cs="Arial"/>
                <w:sz w:val="19"/>
                <w:szCs w:val="19"/>
                <w:lang w:val="it-CH"/>
              </w:rPr>
              <w:t>OPAc</w:t>
            </w:r>
            <w:proofErr w:type="spellEnd"/>
          </w:p>
        </w:tc>
        <w:tc>
          <w:tcPr>
            <w:tcW w:w="8222" w:type="dxa"/>
            <w:shd w:val="clear" w:color="auto" w:fill="auto"/>
          </w:tcPr>
          <w:p w14:paraId="2CA1D65B" w14:textId="51498E5B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Ordinanza </w:t>
            </w:r>
            <w:r w:rsidR="002D06F9" w:rsidRPr="00057FA3">
              <w:rPr>
                <w:rFonts w:cs="Arial"/>
                <w:sz w:val="19"/>
                <w:szCs w:val="19"/>
                <w:lang w:val="it-CH"/>
              </w:rPr>
              <w:t>del 28 ottobre 1998</w:t>
            </w:r>
            <w:r w:rsidR="002D06F9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r w:rsidRPr="00057FA3">
              <w:rPr>
                <w:rFonts w:cs="Arial"/>
                <w:sz w:val="19"/>
                <w:szCs w:val="19"/>
                <w:lang w:val="it-CH"/>
              </w:rPr>
              <w:t>sulla protezione delle acque; RS 814.201</w:t>
            </w:r>
          </w:p>
        </w:tc>
      </w:tr>
      <w:tr w:rsidR="00E62FDA" w:rsidRPr="002C06C6" w14:paraId="204C7408" w14:textId="77777777" w:rsidTr="001E2443">
        <w:tc>
          <w:tcPr>
            <w:tcW w:w="1271" w:type="dxa"/>
            <w:shd w:val="clear" w:color="auto" w:fill="auto"/>
          </w:tcPr>
          <w:p w14:paraId="0DF2AD05" w14:textId="77777777" w:rsidR="00E62FDA" w:rsidRPr="00993AB5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bookmarkStart w:id="166" w:name="_Hlk531096808"/>
            <w:r w:rsidRPr="00993AB5">
              <w:rPr>
                <w:rFonts w:cs="Arial"/>
                <w:sz w:val="19"/>
                <w:szCs w:val="19"/>
                <w:lang w:val="it-CH"/>
              </w:rPr>
              <w:t>GLID PS SAC</w:t>
            </w:r>
          </w:p>
        </w:tc>
        <w:tc>
          <w:tcPr>
            <w:tcW w:w="8222" w:type="dxa"/>
            <w:shd w:val="clear" w:color="auto" w:fill="auto"/>
          </w:tcPr>
          <w:p w14:paraId="31E4598E" w14:textId="512A861A" w:rsidR="00E62FDA" w:rsidRPr="00057FA3" w:rsidRDefault="00E62FDA" w:rsidP="00B32272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Gruppo di lavoro interdipartimentale Piano settoriale SAC</w:t>
            </w:r>
          </w:p>
        </w:tc>
      </w:tr>
      <w:bookmarkEnd w:id="166"/>
      <w:tr w:rsidR="00E62FDA" w:rsidRPr="002C06C6" w14:paraId="027DAD3F" w14:textId="77777777" w:rsidTr="001E2443">
        <w:tc>
          <w:tcPr>
            <w:tcW w:w="1271" w:type="dxa"/>
            <w:shd w:val="clear" w:color="auto" w:fill="auto"/>
          </w:tcPr>
          <w:p w14:paraId="300C0969" w14:textId="77777777" w:rsidR="00E62FDA" w:rsidRPr="00993AB5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993AB5">
              <w:rPr>
                <w:rFonts w:cs="Arial"/>
                <w:sz w:val="19"/>
                <w:szCs w:val="19"/>
                <w:lang w:val="it-CH"/>
              </w:rPr>
              <w:t>CCGEO</w:t>
            </w:r>
          </w:p>
        </w:tc>
        <w:tc>
          <w:tcPr>
            <w:tcW w:w="8222" w:type="dxa"/>
            <w:shd w:val="clear" w:color="auto" w:fill="auto"/>
          </w:tcPr>
          <w:p w14:paraId="58D1C4F4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Conferenza dei servizi cantonali di informazione geografica</w:t>
            </w:r>
          </w:p>
        </w:tc>
      </w:tr>
      <w:tr w:rsidR="00E62FDA" w:rsidRPr="00993AB5" w14:paraId="738C3AF3" w14:textId="77777777" w:rsidTr="001E2443">
        <w:tc>
          <w:tcPr>
            <w:tcW w:w="1271" w:type="dxa"/>
            <w:shd w:val="clear" w:color="auto" w:fill="auto"/>
          </w:tcPr>
          <w:p w14:paraId="2A6BECE1" w14:textId="77777777" w:rsidR="00E62FDA" w:rsidRPr="00993AB5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993AB5">
              <w:rPr>
                <w:rFonts w:cs="Arial"/>
                <w:sz w:val="19"/>
                <w:szCs w:val="19"/>
                <w:lang w:val="it-CH"/>
              </w:rPr>
              <w:t>KLABS</w:t>
            </w:r>
          </w:p>
        </w:tc>
        <w:tc>
          <w:tcPr>
            <w:tcW w:w="8222" w:type="dxa"/>
            <w:shd w:val="clear" w:color="auto" w:fill="auto"/>
          </w:tcPr>
          <w:p w14:paraId="096B46EA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</w:rPr>
            </w:pPr>
            <w:r w:rsidRPr="00057FA3">
              <w:rPr>
                <w:rFonts w:cs="Arial"/>
                <w:sz w:val="19"/>
                <w:szCs w:val="19"/>
              </w:rPr>
              <w:t>Klassifikation der Böden der Schweiz</w:t>
            </w:r>
          </w:p>
        </w:tc>
      </w:tr>
      <w:tr w:rsidR="00E62FDA" w:rsidRPr="00885816" w14:paraId="00415ECF" w14:textId="77777777" w:rsidTr="001E2443">
        <w:tc>
          <w:tcPr>
            <w:tcW w:w="1271" w:type="dxa"/>
            <w:shd w:val="clear" w:color="auto" w:fill="auto"/>
          </w:tcPr>
          <w:p w14:paraId="65BE621A" w14:textId="77777777" w:rsidR="00E62FDA" w:rsidRPr="00993AB5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993AB5">
              <w:rPr>
                <w:rFonts w:cs="Arial"/>
                <w:sz w:val="19"/>
                <w:szCs w:val="19"/>
                <w:lang w:val="it-CH"/>
              </w:rPr>
              <w:t>KOBO</w:t>
            </w:r>
          </w:p>
        </w:tc>
        <w:tc>
          <w:tcPr>
            <w:tcW w:w="8222" w:type="dxa"/>
            <w:shd w:val="clear" w:color="auto" w:fill="auto"/>
          </w:tcPr>
          <w:p w14:paraId="53C679F4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proofErr w:type="spellStart"/>
            <w:r w:rsidRPr="00057FA3">
              <w:rPr>
                <w:rFonts w:cs="Arial"/>
                <w:sz w:val="19"/>
                <w:szCs w:val="19"/>
                <w:lang w:val="it-CH"/>
              </w:rPr>
              <w:t>Kompetenzzentrum</w:t>
            </w:r>
            <w:proofErr w:type="spellEnd"/>
            <w:r w:rsidRPr="00057FA3">
              <w:rPr>
                <w:rFonts w:cs="Arial"/>
                <w:sz w:val="19"/>
                <w:szCs w:val="19"/>
                <w:lang w:val="it-CH"/>
              </w:rPr>
              <w:t xml:space="preserve"> Boden</w:t>
            </w:r>
          </w:p>
        </w:tc>
      </w:tr>
      <w:tr w:rsidR="00E62FDA" w:rsidRPr="002C06C6" w14:paraId="42BE6D90" w14:textId="77777777" w:rsidTr="001E2443">
        <w:tc>
          <w:tcPr>
            <w:tcW w:w="1271" w:type="dxa"/>
            <w:shd w:val="clear" w:color="auto" w:fill="auto"/>
          </w:tcPr>
          <w:p w14:paraId="66DEE484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proofErr w:type="spellStart"/>
            <w:r w:rsidRPr="00E51727">
              <w:rPr>
                <w:rFonts w:cs="Arial"/>
                <w:sz w:val="19"/>
                <w:szCs w:val="19"/>
                <w:lang w:val="it-CH"/>
              </w:rPr>
              <w:t>OTerm</w:t>
            </w:r>
            <w:proofErr w:type="spellEnd"/>
          </w:p>
        </w:tc>
        <w:tc>
          <w:tcPr>
            <w:tcW w:w="8222" w:type="dxa"/>
            <w:shd w:val="clear" w:color="auto" w:fill="auto"/>
          </w:tcPr>
          <w:p w14:paraId="0FF19A70" w14:textId="6FF7B992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Ordinanza </w:t>
            </w:r>
            <w:r w:rsidR="002D06F9" w:rsidRPr="00057FA3">
              <w:rPr>
                <w:rFonts w:cs="Arial"/>
                <w:sz w:val="19"/>
                <w:szCs w:val="19"/>
                <w:lang w:val="it-CH"/>
              </w:rPr>
              <w:t>del 7 dicembre 1998</w:t>
            </w:r>
            <w:r w:rsidR="002D06F9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r w:rsidRPr="00057FA3">
              <w:rPr>
                <w:rFonts w:cs="Arial"/>
                <w:sz w:val="19"/>
                <w:szCs w:val="19"/>
                <w:lang w:val="it-CH"/>
              </w:rPr>
              <w:t>sulla terminologia agricola; RS 910.91</w:t>
            </w:r>
          </w:p>
        </w:tc>
      </w:tr>
      <w:tr w:rsidR="00E62FDA" w:rsidRPr="002C06C6" w14:paraId="1431B0CD" w14:textId="77777777" w:rsidTr="001E2443">
        <w:tc>
          <w:tcPr>
            <w:tcW w:w="1271" w:type="dxa"/>
            <w:shd w:val="clear" w:color="auto" w:fill="auto"/>
          </w:tcPr>
          <w:p w14:paraId="1E7E13F7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CDCA</w:t>
            </w:r>
          </w:p>
        </w:tc>
        <w:tc>
          <w:tcPr>
            <w:tcW w:w="8222" w:type="dxa"/>
            <w:shd w:val="clear" w:color="auto" w:fill="auto"/>
          </w:tcPr>
          <w:p w14:paraId="65D0BEB9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Conferenza svizzera delle sezioni dell’agricoltura cantonali</w:t>
            </w:r>
          </w:p>
        </w:tc>
      </w:tr>
      <w:tr w:rsidR="00E62FDA" w:rsidRPr="002C06C6" w14:paraId="4519E91D" w14:textId="77777777" w:rsidTr="001E2443">
        <w:tc>
          <w:tcPr>
            <w:tcW w:w="1271" w:type="dxa"/>
            <w:shd w:val="clear" w:color="auto" w:fill="auto"/>
          </w:tcPr>
          <w:p w14:paraId="51586A09" w14:textId="7A6AA594" w:rsidR="00E62FDA" w:rsidRPr="00E51727" w:rsidRDefault="00F67602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>
              <w:rPr>
                <w:rFonts w:cs="Arial"/>
                <w:sz w:val="19"/>
                <w:szCs w:val="19"/>
                <w:lang w:val="it-CH"/>
              </w:rPr>
              <w:t>LAP</w:t>
            </w:r>
          </w:p>
        </w:tc>
        <w:tc>
          <w:tcPr>
            <w:tcW w:w="8222" w:type="dxa"/>
            <w:shd w:val="clear" w:color="auto" w:fill="auto"/>
          </w:tcPr>
          <w:p w14:paraId="47E8B2A3" w14:textId="69725B9C" w:rsidR="00E62FDA" w:rsidRPr="00057FA3" w:rsidDel="007944D5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Legge federale </w:t>
            </w:r>
            <w:r w:rsidR="002D06F9" w:rsidRPr="00057FA3">
              <w:rPr>
                <w:rFonts w:cs="Arial"/>
                <w:sz w:val="19"/>
                <w:szCs w:val="19"/>
                <w:lang w:val="it-CH"/>
              </w:rPr>
              <w:t>del</w:t>
            </w:r>
            <w:r w:rsidR="002D06F9">
              <w:rPr>
                <w:rFonts w:cs="Arial"/>
                <w:sz w:val="19"/>
                <w:szCs w:val="19"/>
                <w:lang w:val="it-CH"/>
              </w:rPr>
              <w:t xml:space="preserve"> 17 giugno 2016 </w:t>
            </w:r>
            <w:r w:rsidRPr="00057FA3">
              <w:rPr>
                <w:rFonts w:cs="Arial"/>
                <w:sz w:val="19"/>
                <w:szCs w:val="19"/>
                <w:lang w:val="it-CH"/>
              </w:rPr>
              <w:t>sull’approvvigionamento economico del Paese; RS 531</w:t>
            </w:r>
          </w:p>
        </w:tc>
      </w:tr>
      <w:tr w:rsidR="00E62FDA" w:rsidRPr="002C06C6" w14:paraId="6CF2AB61" w14:textId="77777777" w:rsidTr="001E2443">
        <w:tc>
          <w:tcPr>
            <w:tcW w:w="1271" w:type="dxa"/>
            <w:shd w:val="clear" w:color="auto" w:fill="auto"/>
          </w:tcPr>
          <w:p w14:paraId="0E10C578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proofErr w:type="spellStart"/>
            <w:r w:rsidRPr="00E51727">
              <w:rPr>
                <w:rFonts w:cs="Arial"/>
                <w:sz w:val="19"/>
                <w:szCs w:val="19"/>
                <w:lang w:val="it-CH"/>
              </w:rPr>
              <w:t>LAgr</w:t>
            </w:r>
            <w:proofErr w:type="spellEnd"/>
          </w:p>
        </w:tc>
        <w:tc>
          <w:tcPr>
            <w:tcW w:w="8222" w:type="dxa"/>
            <w:shd w:val="clear" w:color="auto" w:fill="auto"/>
          </w:tcPr>
          <w:p w14:paraId="34744E75" w14:textId="66C8BFD2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sz w:val="19"/>
                <w:szCs w:val="19"/>
                <w:lang w:val="it-CH"/>
              </w:rPr>
              <w:t xml:space="preserve">Legge </w:t>
            </w:r>
            <w:r w:rsidR="00524CF9" w:rsidRPr="00057FA3">
              <w:rPr>
                <w:sz w:val="19"/>
                <w:szCs w:val="19"/>
                <w:lang w:val="it-CH"/>
              </w:rPr>
              <w:t>del 29 aprile 1998</w:t>
            </w:r>
            <w:r w:rsidR="00524CF9">
              <w:rPr>
                <w:sz w:val="19"/>
                <w:szCs w:val="19"/>
                <w:lang w:val="it-CH"/>
              </w:rPr>
              <w:t xml:space="preserve"> </w:t>
            </w:r>
            <w:r w:rsidRPr="00057FA3">
              <w:rPr>
                <w:sz w:val="19"/>
                <w:szCs w:val="19"/>
                <w:lang w:val="it-CH"/>
              </w:rPr>
              <w:t>sull’agricoltura</w:t>
            </w:r>
            <w:r w:rsidRPr="00057FA3">
              <w:rPr>
                <w:rFonts w:cs="Arial"/>
                <w:sz w:val="19"/>
                <w:szCs w:val="19"/>
                <w:lang w:val="it-CH"/>
              </w:rPr>
              <w:t>; RS 910.1</w:t>
            </w:r>
          </w:p>
        </w:tc>
      </w:tr>
      <w:tr w:rsidR="00E62FDA" w:rsidRPr="00E51727" w14:paraId="6CE8421C" w14:textId="77777777" w:rsidTr="001E2443">
        <w:tc>
          <w:tcPr>
            <w:tcW w:w="1271" w:type="dxa"/>
            <w:shd w:val="clear" w:color="auto" w:fill="auto"/>
          </w:tcPr>
          <w:p w14:paraId="34A59004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NEK</w:t>
            </w:r>
          </w:p>
        </w:tc>
        <w:tc>
          <w:tcPr>
            <w:tcW w:w="8222" w:type="dxa"/>
            <w:shd w:val="clear" w:color="auto" w:fill="auto"/>
          </w:tcPr>
          <w:p w14:paraId="4E92B2F5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Classe di attitudine</w:t>
            </w:r>
          </w:p>
        </w:tc>
      </w:tr>
      <w:tr w:rsidR="00E62FDA" w:rsidRPr="002C06C6" w14:paraId="44A4655C" w14:textId="77777777" w:rsidTr="001E2443">
        <w:tc>
          <w:tcPr>
            <w:tcW w:w="1271" w:type="dxa"/>
            <w:shd w:val="clear" w:color="auto" w:fill="auto"/>
          </w:tcPr>
          <w:p w14:paraId="253D1599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PNR 68</w:t>
            </w:r>
          </w:p>
        </w:tc>
        <w:tc>
          <w:tcPr>
            <w:tcW w:w="8222" w:type="dxa"/>
            <w:shd w:val="clear" w:color="auto" w:fill="auto"/>
          </w:tcPr>
          <w:p w14:paraId="337257F0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Programma di ricerca nazionale «Uso sostenibile della risorsa suolo»</w:t>
            </w:r>
          </w:p>
        </w:tc>
      </w:tr>
      <w:tr w:rsidR="00E62FDA" w:rsidRPr="00885816" w14:paraId="5A05EDB0" w14:textId="77777777" w:rsidTr="001E2443">
        <w:tc>
          <w:tcPr>
            <w:tcW w:w="1271" w:type="dxa"/>
            <w:shd w:val="clear" w:color="auto" w:fill="auto"/>
          </w:tcPr>
          <w:p w14:paraId="71D145B9" w14:textId="77777777" w:rsidR="00E62FDA" w:rsidRPr="00993AB5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993AB5">
              <w:rPr>
                <w:rFonts w:cs="Arial"/>
                <w:sz w:val="19"/>
                <w:szCs w:val="19"/>
                <w:lang w:val="it-CH"/>
              </w:rPr>
              <w:t>PNG</w:t>
            </w:r>
          </w:p>
        </w:tc>
        <w:tc>
          <w:tcPr>
            <w:tcW w:w="8222" w:type="dxa"/>
            <w:shd w:val="clear" w:color="auto" w:fill="auto"/>
          </w:tcPr>
          <w:p w14:paraId="046CB91B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proofErr w:type="spellStart"/>
            <w:r w:rsidRPr="00057FA3">
              <w:rPr>
                <w:rFonts w:cs="Arial"/>
                <w:sz w:val="19"/>
                <w:szCs w:val="19"/>
                <w:lang w:val="it-CH"/>
              </w:rPr>
              <w:t>Pflanzennutzbare</w:t>
            </w:r>
            <w:proofErr w:type="spellEnd"/>
            <w:r w:rsidRPr="00057FA3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proofErr w:type="spellStart"/>
            <w:r w:rsidRPr="00057FA3">
              <w:rPr>
                <w:rFonts w:cs="Arial"/>
                <w:sz w:val="19"/>
                <w:szCs w:val="19"/>
                <w:lang w:val="it-CH"/>
              </w:rPr>
              <w:t>Gründigkeit</w:t>
            </w:r>
            <w:proofErr w:type="spellEnd"/>
          </w:p>
        </w:tc>
      </w:tr>
      <w:tr w:rsidR="00E62FDA" w:rsidRPr="002C06C6" w14:paraId="6113772E" w14:textId="77777777" w:rsidTr="001E2443">
        <w:tc>
          <w:tcPr>
            <w:tcW w:w="1271" w:type="dxa"/>
            <w:shd w:val="clear" w:color="auto" w:fill="auto"/>
          </w:tcPr>
          <w:p w14:paraId="307C7193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LPT</w:t>
            </w:r>
          </w:p>
        </w:tc>
        <w:tc>
          <w:tcPr>
            <w:tcW w:w="8222" w:type="dxa"/>
            <w:shd w:val="clear" w:color="auto" w:fill="auto"/>
          </w:tcPr>
          <w:p w14:paraId="311DD8D0" w14:textId="0C1FE48A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Legge </w:t>
            </w:r>
            <w:r w:rsidR="00524CF9" w:rsidRPr="00057FA3">
              <w:rPr>
                <w:rFonts w:cs="Arial"/>
                <w:sz w:val="19"/>
                <w:szCs w:val="19"/>
                <w:lang w:val="it-CH"/>
              </w:rPr>
              <w:t>del 22 giugno 1979</w:t>
            </w:r>
            <w:r w:rsidR="00524CF9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r w:rsidRPr="00057FA3">
              <w:rPr>
                <w:rFonts w:cs="Arial"/>
                <w:sz w:val="19"/>
                <w:szCs w:val="19"/>
                <w:lang w:val="it-CH"/>
              </w:rPr>
              <w:t>sulla pianificazione del territorio</w:t>
            </w:r>
            <w:r w:rsidR="00F67602" w:rsidRPr="00057FA3">
              <w:rPr>
                <w:rFonts w:cs="Arial"/>
                <w:sz w:val="19"/>
                <w:szCs w:val="19"/>
                <w:lang w:val="it-CH"/>
              </w:rPr>
              <w:t>;</w:t>
            </w: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 RS 700</w:t>
            </w:r>
          </w:p>
        </w:tc>
      </w:tr>
      <w:tr w:rsidR="00E62FDA" w:rsidRPr="002C06C6" w14:paraId="13AE25C9" w14:textId="77777777" w:rsidTr="001E2443">
        <w:tc>
          <w:tcPr>
            <w:tcW w:w="1271" w:type="dxa"/>
            <w:shd w:val="clear" w:color="auto" w:fill="auto"/>
          </w:tcPr>
          <w:p w14:paraId="42D014D3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LPT 1</w:t>
            </w:r>
          </w:p>
        </w:tc>
        <w:tc>
          <w:tcPr>
            <w:tcW w:w="8222" w:type="dxa"/>
            <w:shd w:val="clear" w:color="auto" w:fill="auto"/>
          </w:tcPr>
          <w:p w14:paraId="43BBB8D2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Prima fase della revisione della legge sulla pianificazione del territorio</w:t>
            </w:r>
          </w:p>
        </w:tc>
      </w:tr>
      <w:tr w:rsidR="00E62FDA" w:rsidRPr="002C06C6" w14:paraId="4F66AA7C" w14:textId="77777777" w:rsidTr="001E2443">
        <w:tc>
          <w:tcPr>
            <w:tcW w:w="1271" w:type="dxa"/>
            <w:shd w:val="clear" w:color="auto" w:fill="auto"/>
          </w:tcPr>
          <w:p w14:paraId="1AEC4D2A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LPT 2</w:t>
            </w:r>
          </w:p>
        </w:tc>
        <w:tc>
          <w:tcPr>
            <w:tcW w:w="8222" w:type="dxa"/>
            <w:shd w:val="clear" w:color="auto" w:fill="auto"/>
          </w:tcPr>
          <w:p w14:paraId="7659001F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Seconda fase della revisione della legge sulla pianificazione del territorio</w:t>
            </w:r>
          </w:p>
        </w:tc>
      </w:tr>
      <w:tr w:rsidR="00E62FDA" w:rsidRPr="002C06C6" w14:paraId="430E404B" w14:textId="77777777" w:rsidTr="001E2443">
        <w:tc>
          <w:tcPr>
            <w:tcW w:w="1271" w:type="dxa"/>
            <w:shd w:val="clear" w:color="auto" w:fill="auto"/>
          </w:tcPr>
          <w:p w14:paraId="30A72F63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OPT</w:t>
            </w:r>
          </w:p>
        </w:tc>
        <w:tc>
          <w:tcPr>
            <w:tcW w:w="8222" w:type="dxa"/>
            <w:shd w:val="clear" w:color="auto" w:fill="auto"/>
          </w:tcPr>
          <w:p w14:paraId="18D1C8BA" w14:textId="629FD78E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Ordinanza </w:t>
            </w:r>
            <w:r w:rsidR="00524CF9" w:rsidRPr="00057FA3">
              <w:rPr>
                <w:rFonts w:cs="Arial"/>
                <w:sz w:val="19"/>
                <w:szCs w:val="19"/>
                <w:lang w:val="it-CH"/>
              </w:rPr>
              <w:t>del 28 giugno 2000</w:t>
            </w:r>
            <w:r w:rsidR="00524CF9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r w:rsidRPr="00057FA3">
              <w:rPr>
                <w:rFonts w:cs="Arial"/>
                <w:sz w:val="19"/>
                <w:szCs w:val="19"/>
                <w:lang w:val="it-CH"/>
              </w:rPr>
              <w:t>sulla pianificazione del territorio; RS 700.1</w:t>
            </w:r>
          </w:p>
        </w:tc>
      </w:tr>
      <w:tr w:rsidR="00E62FDA" w:rsidRPr="002C06C6" w14:paraId="6557B107" w14:textId="77777777" w:rsidTr="001E2443">
        <w:tc>
          <w:tcPr>
            <w:tcW w:w="1271" w:type="dxa"/>
            <w:shd w:val="clear" w:color="auto" w:fill="auto"/>
          </w:tcPr>
          <w:p w14:paraId="14C543FB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SEM</w:t>
            </w:r>
          </w:p>
        </w:tc>
        <w:tc>
          <w:tcPr>
            <w:tcW w:w="8222" w:type="dxa"/>
            <w:shd w:val="clear" w:color="auto" w:fill="auto"/>
          </w:tcPr>
          <w:p w14:paraId="6ECDB9A4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Segreteria di Stato della migrazione</w:t>
            </w:r>
          </w:p>
        </w:tc>
      </w:tr>
      <w:tr w:rsidR="00E62FDA" w:rsidRPr="002C06C6" w14:paraId="09A5EB2A" w14:textId="77777777" w:rsidTr="001E2443">
        <w:tc>
          <w:tcPr>
            <w:tcW w:w="1271" w:type="dxa"/>
            <w:shd w:val="clear" w:color="auto" w:fill="auto"/>
          </w:tcPr>
          <w:p w14:paraId="702F3B79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lastRenderedPageBreak/>
              <w:t>SNE</w:t>
            </w:r>
          </w:p>
        </w:tc>
        <w:tc>
          <w:tcPr>
            <w:tcW w:w="8222" w:type="dxa"/>
            <w:shd w:val="clear" w:color="auto" w:fill="auto"/>
          </w:tcPr>
          <w:p w14:paraId="5F097A4E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Strategia federale per uno sviluppo sostenibile, 2016-2019</w:t>
            </w:r>
          </w:p>
        </w:tc>
      </w:tr>
      <w:tr w:rsidR="00E62FDA" w:rsidRPr="002C06C6" w14:paraId="43235908" w14:textId="77777777" w:rsidTr="001E2443">
        <w:tc>
          <w:tcPr>
            <w:tcW w:w="1271" w:type="dxa"/>
            <w:shd w:val="clear" w:color="auto" w:fill="auto"/>
          </w:tcPr>
          <w:p w14:paraId="3D3B6228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PS SAC</w:t>
            </w:r>
          </w:p>
        </w:tc>
        <w:tc>
          <w:tcPr>
            <w:tcW w:w="8222" w:type="dxa"/>
            <w:shd w:val="clear" w:color="auto" w:fill="auto"/>
          </w:tcPr>
          <w:p w14:paraId="2A315F57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Piano settoriale delle superfici per l’avvicendamento delle colture</w:t>
            </w:r>
          </w:p>
        </w:tc>
      </w:tr>
      <w:tr w:rsidR="00E62FDA" w:rsidRPr="002C06C6" w14:paraId="47813788" w14:textId="77777777" w:rsidTr="001E2443">
        <w:tc>
          <w:tcPr>
            <w:tcW w:w="1271" w:type="dxa"/>
            <w:shd w:val="clear" w:color="auto" w:fill="auto"/>
          </w:tcPr>
          <w:p w14:paraId="3E1B6C3C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DATEC</w:t>
            </w:r>
          </w:p>
        </w:tc>
        <w:tc>
          <w:tcPr>
            <w:tcW w:w="8222" w:type="dxa"/>
            <w:shd w:val="clear" w:color="auto" w:fill="auto"/>
          </w:tcPr>
          <w:p w14:paraId="3D141BF4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sz w:val="19"/>
                <w:szCs w:val="19"/>
                <w:lang w:val="it-CH"/>
              </w:rPr>
              <w:t>Dipartimento federale dell’ambiente, dei trasporti, dell’energia e delle comunicazioni</w:t>
            </w:r>
          </w:p>
        </w:tc>
      </w:tr>
      <w:tr w:rsidR="00E62FDA" w:rsidRPr="002C06C6" w14:paraId="7F3C4DBA" w14:textId="77777777" w:rsidTr="001E2443">
        <w:tc>
          <w:tcPr>
            <w:tcW w:w="1271" w:type="dxa"/>
            <w:shd w:val="clear" w:color="auto" w:fill="auto"/>
          </w:tcPr>
          <w:p w14:paraId="433C38B8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O suolo</w:t>
            </w:r>
          </w:p>
        </w:tc>
        <w:tc>
          <w:tcPr>
            <w:tcW w:w="8222" w:type="dxa"/>
            <w:shd w:val="clear" w:color="auto" w:fill="auto"/>
          </w:tcPr>
          <w:p w14:paraId="7858BC4A" w14:textId="3D54A711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Ordinanza </w:t>
            </w:r>
            <w:r w:rsidR="00524CF9" w:rsidRPr="00057FA3">
              <w:rPr>
                <w:rFonts w:cs="Arial"/>
                <w:sz w:val="19"/>
                <w:szCs w:val="19"/>
                <w:lang w:val="it-CH"/>
              </w:rPr>
              <w:t>del 1° luglio 1998</w:t>
            </w:r>
            <w:r w:rsidR="00524CF9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r w:rsidRPr="00057FA3">
              <w:rPr>
                <w:rFonts w:cs="Arial"/>
                <w:sz w:val="19"/>
                <w:szCs w:val="19"/>
                <w:lang w:val="it-CH"/>
              </w:rPr>
              <w:t>contro il deterioramento del suolo; RS 814.12</w:t>
            </w:r>
          </w:p>
        </w:tc>
      </w:tr>
      <w:tr w:rsidR="00E62FDA" w:rsidRPr="002C06C6" w14:paraId="6380C4E4" w14:textId="77777777" w:rsidTr="001E2443">
        <w:tc>
          <w:tcPr>
            <w:tcW w:w="1271" w:type="dxa"/>
            <w:shd w:val="clear" w:color="auto" w:fill="auto"/>
          </w:tcPr>
          <w:p w14:paraId="477ED9AC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DDPS</w:t>
            </w:r>
          </w:p>
        </w:tc>
        <w:tc>
          <w:tcPr>
            <w:tcW w:w="8222" w:type="dxa"/>
            <w:shd w:val="clear" w:color="auto" w:fill="auto"/>
          </w:tcPr>
          <w:p w14:paraId="6871741F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sz w:val="19"/>
                <w:szCs w:val="19"/>
                <w:lang w:val="it-CH"/>
              </w:rPr>
              <w:t>Dipartimento federale della difesa, della protezione della popolazione e dello sport</w:t>
            </w:r>
          </w:p>
        </w:tc>
      </w:tr>
      <w:tr w:rsidR="00E62FDA" w:rsidRPr="002C06C6" w14:paraId="3CFC068E" w14:textId="77777777" w:rsidTr="001E2443">
        <w:tc>
          <w:tcPr>
            <w:tcW w:w="1271" w:type="dxa"/>
            <w:shd w:val="clear" w:color="auto" w:fill="auto"/>
          </w:tcPr>
          <w:p w14:paraId="5E0E53CA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OPSR</w:t>
            </w:r>
          </w:p>
        </w:tc>
        <w:tc>
          <w:tcPr>
            <w:tcW w:w="8222" w:type="dxa"/>
            <w:shd w:val="clear" w:color="auto" w:fill="auto"/>
          </w:tcPr>
          <w:p w14:paraId="66B15AFA" w14:textId="23D84848" w:rsidR="00E62FDA" w:rsidRPr="00057FA3" w:rsidRDefault="00E62FDA" w:rsidP="0016725D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Ordinanza </w:t>
            </w:r>
            <w:r w:rsidR="0016725D" w:rsidRPr="00057FA3">
              <w:rPr>
                <w:rFonts w:cs="Arial"/>
                <w:sz w:val="19"/>
                <w:szCs w:val="19"/>
                <w:lang w:val="it-CH"/>
              </w:rPr>
              <w:t>del 4 dicembre 2015</w:t>
            </w:r>
            <w:r w:rsidR="0016725D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r w:rsidR="00057FA3">
              <w:rPr>
                <w:rFonts w:cs="Arial"/>
                <w:sz w:val="19"/>
                <w:szCs w:val="19"/>
                <w:lang w:val="it-CH"/>
              </w:rPr>
              <w:t>sui</w:t>
            </w: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 rifiuti; RS 814.600</w:t>
            </w:r>
          </w:p>
        </w:tc>
      </w:tr>
      <w:tr w:rsidR="00E62FDA" w:rsidRPr="002C06C6" w14:paraId="31F89B72" w14:textId="77777777" w:rsidTr="001E2443">
        <w:tc>
          <w:tcPr>
            <w:tcW w:w="1271" w:type="dxa"/>
            <w:shd w:val="clear" w:color="auto" w:fill="auto"/>
          </w:tcPr>
          <w:p w14:paraId="2B945858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proofErr w:type="spellStart"/>
            <w:r w:rsidRPr="00E51727">
              <w:rPr>
                <w:rFonts w:cs="Arial"/>
                <w:sz w:val="19"/>
                <w:szCs w:val="19"/>
                <w:lang w:val="it-CH"/>
              </w:rPr>
              <w:t>LFo</w:t>
            </w:r>
            <w:proofErr w:type="spellEnd"/>
          </w:p>
        </w:tc>
        <w:tc>
          <w:tcPr>
            <w:tcW w:w="8222" w:type="dxa"/>
            <w:shd w:val="clear" w:color="auto" w:fill="auto"/>
          </w:tcPr>
          <w:p w14:paraId="750DEAE0" w14:textId="5BB2FF0B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Legge </w:t>
            </w:r>
            <w:r w:rsidR="00057FA3">
              <w:rPr>
                <w:rFonts w:cs="Arial"/>
                <w:sz w:val="19"/>
                <w:szCs w:val="19"/>
                <w:lang w:val="it-CH"/>
              </w:rPr>
              <w:t>forestale</w:t>
            </w:r>
            <w:r w:rsidRPr="00057FA3">
              <w:rPr>
                <w:rFonts w:cs="Arial"/>
                <w:sz w:val="19"/>
                <w:szCs w:val="19"/>
                <w:lang w:val="it-CH"/>
              </w:rPr>
              <w:t xml:space="preserve"> del 4 ottobre 1991; RS 921.0</w:t>
            </w:r>
          </w:p>
        </w:tc>
      </w:tr>
      <w:tr w:rsidR="00E62FDA" w:rsidRPr="002C06C6" w14:paraId="709CA2C7" w14:textId="77777777" w:rsidTr="001E2443">
        <w:tc>
          <w:tcPr>
            <w:tcW w:w="1271" w:type="dxa"/>
            <w:shd w:val="clear" w:color="auto" w:fill="auto"/>
          </w:tcPr>
          <w:p w14:paraId="297038DC" w14:textId="77777777" w:rsidR="00E62FDA" w:rsidRPr="00E51727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E51727">
              <w:rPr>
                <w:rFonts w:cs="Arial"/>
                <w:sz w:val="19"/>
                <w:szCs w:val="19"/>
                <w:lang w:val="it-CH"/>
              </w:rPr>
              <w:t>FNP</w:t>
            </w:r>
          </w:p>
        </w:tc>
        <w:tc>
          <w:tcPr>
            <w:tcW w:w="8222" w:type="dxa"/>
            <w:shd w:val="clear" w:color="auto" w:fill="auto"/>
          </w:tcPr>
          <w:p w14:paraId="51421E99" w14:textId="77777777" w:rsidR="00E62FDA" w:rsidRPr="00057FA3" w:rsidRDefault="00E62FDA" w:rsidP="001E2443">
            <w:pPr>
              <w:spacing w:before="240"/>
              <w:rPr>
                <w:rFonts w:cs="Arial"/>
                <w:sz w:val="19"/>
                <w:szCs w:val="19"/>
                <w:lang w:val="it-CH"/>
              </w:rPr>
            </w:pPr>
            <w:r w:rsidRPr="00057FA3">
              <w:rPr>
                <w:rFonts w:cs="Arial"/>
                <w:sz w:val="19"/>
                <w:szCs w:val="19"/>
                <w:lang w:val="it-CH"/>
              </w:rPr>
              <w:t>Istituto federale di ricerca per la foresta, la neve e il paesaggio</w:t>
            </w:r>
          </w:p>
        </w:tc>
      </w:tr>
    </w:tbl>
    <w:p w14:paraId="4534A31F" w14:textId="79EAACC8" w:rsidR="00DE61F1" w:rsidRPr="00E62FDA" w:rsidRDefault="00DE61F1" w:rsidP="007C077F">
      <w:pPr>
        <w:rPr>
          <w:lang w:val="it-IT"/>
        </w:rPr>
      </w:pPr>
    </w:p>
    <w:sectPr w:rsidR="00DE61F1" w:rsidRPr="00E62FDA" w:rsidSect="001E7906">
      <w:footerReference w:type="even" r:id="rId13"/>
      <w:footerReference w:type="default" r:id="rId14"/>
      <w:pgSz w:w="11907" w:h="16839" w:code="9"/>
      <w:pgMar w:top="1531" w:right="1191" w:bottom="1304" w:left="1191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1B3A5" w14:textId="77777777" w:rsidR="009271D1" w:rsidRDefault="009271D1" w:rsidP="005B17D7">
      <w:pPr>
        <w:spacing w:line="240" w:lineRule="auto"/>
      </w:pPr>
      <w:r>
        <w:separator/>
      </w:r>
    </w:p>
  </w:endnote>
  <w:endnote w:type="continuationSeparator" w:id="0">
    <w:p w14:paraId="3DAC3AB8" w14:textId="77777777" w:rsidR="009271D1" w:rsidRDefault="009271D1" w:rsidP="005B17D7">
      <w:pPr>
        <w:spacing w:line="240" w:lineRule="auto"/>
      </w:pPr>
      <w:r>
        <w:continuationSeparator/>
      </w:r>
    </w:p>
  </w:endnote>
  <w:endnote w:type="continuationNotice" w:id="1">
    <w:p w14:paraId="533FE1DB" w14:textId="77777777" w:rsidR="009271D1" w:rsidRDefault="009271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Ne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808080" w:themeColor="background1" w:themeShade="80"/>
      </w:rPr>
      <w:id w:val="-665865260"/>
      <w:docPartObj>
        <w:docPartGallery w:val="Page Numbers (Bottom of Page)"/>
        <w:docPartUnique/>
      </w:docPartObj>
    </w:sdtPr>
    <w:sdtEndPr/>
    <w:sdtContent>
      <w:p w14:paraId="1B7C51EB" w14:textId="6D474834" w:rsidR="00B07687" w:rsidRPr="00E24210" w:rsidRDefault="00B07687" w:rsidP="00FD773C">
        <w:pPr>
          <w:pStyle w:val="Fuzeile"/>
          <w:tabs>
            <w:tab w:val="right" w:pos="20979"/>
          </w:tabs>
          <w:rPr>
            <w:b/>
            <w:noProof w:val="0"/>
            <w:color w:val="808080" w:themeColor="background1" w:themeShade="80"/>
            <w:sz w:val="20"/>
            <w:szCs w:val="20"/>
          </w:rPr>
        </w:pPr>
        <w:r>
          <w:rPr>
            <w:b/>
            <w:color w:val="808080" w:themeColor="background1" w:themeShade="80"/>
            <w:sz w:val="16"/>
            <w:szCs w:val="16"/>
          </w:rPr>
          <w:t xml:space="preserve">Sachplan FFF – </w:t>
        </w:r>
        <w:r>
          <w:rPr>
            <w:b/>
            <w:color w:val="808080" w:themeColor="background1" w:themeShade="80"/>
            <w:sz w:val="16"/>
            <w:szCs w:val="16"/>
          </w:rPr>
          <w:fldChar w:fldCharType="begin"/>
        </w:r>
        <w:r>
          <w:rPr>
            <w:b/>
            <w:color w:val="808080" w:themeColor="background1" w:themeShade="80"/>
            <w:sz w:val="16"/>
            <w:szCs w:val="16"/>
          </w:rPr>
          <w:instrText xml:space="preserve"> TIME \@ "MMMM yy" </w:instrText>
        </w:r>
        <w:r>
          <w:rPr>
            <w:b/>
            <w:color w:val="808080" w:themeColor="background1" w:themeShade="80"/>
            <w:sz w:val="16"/>
            <w:szCs w:val="16"/>
          </w:rPr>
          <w:fldChar w:fldCharType="separate"/>
        </w:r>
        <w:r w:rsidR="002C06C6">
          <w:rPr>
            <w:b/>
            <w:color w:val="808080" w:themeColor="background1" w:themeShade="80"/>
            <w:sz w:val="16"/>
            <w:szCs w:val="16"/>
          </w:rPr>
          <w:t>Dezember 18</w:t>
        </w:r>
        <w:r>
          <w:rPr>
            <w:b/>
            <w:color w:val="808080" w:themeColor="background1" w:themeShade="80"/>
            <w:sz w:val="16"/>
            <w:szCs w:val="16"/>
          </w:rPr>
          <w:fldChar w:fldCharType="end"/>
        </w:r>
        <w:r>
          <w:rPr>
            <w:b/>
            <w:color w:val="808080" w:themeColor="background1" w:themeShade="80"/>
            <w:sz w:val="20"/>
          </w:rPr>
          <w:tab/>
        </w:r>
        <w:r w:rsidRPr="00CB0D73">
          <w:rPr>
            <w:b/>
            <w:color w:val="808080" w:themeColor="background1" w:themeShade="80"/>
            <w:sz w:val="20"/>
          </w:rPr>
          <w:fldChar w:fldCharType="begin"/>
        </w:r>
        <w:r w:rsidRPr="00CB0D73">
          <w:rPr>
            <w:b/>
            <w:color w:val="808080" w:themeColor="background1" w:themeShade="80"/>
            <w:sz w:val="20"/>
          </w:rPr>
          <w:instrText>PAGE   \* MERGEFORMAT</w:instrText>
        </w:r>
        <w:r w:rsidRPr="00CB0D73">
          <w:rPr>
            <w:b/>
            <w:color w:val="808080" w:themeColor="background1" w:themeShade="80"/>
            <w:sz w:val="20"/>
          </w:rPr>
          <w:fldChar w:fldCharType="separate"/>
        </w:r>
        <w:r w:rsidRPr="00E136A1">
          <w:rPr>
            <w:b/>
            <w:color w:val="808080" w:themeColor="background1" w:themeShade="80"/>
            <w:sz w:val="20"/>
            <w:lang w:val="de-DE"/>
          </w:rPr>
          <w:t>2</w:t>
        </w:r>
        <w:r w:rsidRPr="00CB0D73">
          <w:rPr>
            <w:b/>
            <w:color w:val="808080" w:themeColor="background1" w:themeShade="80"/>
            <w:sz w:val="20"/>
          </w:rPr>
          <w:fldChar w:fldCharType="end"/>
        </w:r>
      </w:p>
    </w:sdtContent>
  </w:sdt>
  <w:p w14:paraId="0B5F6869" w14:textId="77777777" w:rsidR="00B07687" w:rsidRPr="00FD773C" w:rsidRDefault="00B07687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2517" w14:textId="6680B4C8" w:rsidR="00B07687" w:rsidRPr="00544F67" w:rsidRDefault="00826401" w:rsidP="00544F67">
    <w:pPr>
      <w:pStyle w:val="Fuzeile"/>
      <w:ind w:right="27"/>
      <w:rPr>
        <w:sz w:val="16"/>
        <w:lang w:val="it-CH"/>
      </w:rPr>
    </w:pPr>
    <w:r>
      <w:rPr>
        <w:sz w:val="16"/>
        <w:lang w:val="it-CH"/>
      </w:rPr>
      <w:t xml:space="preserve">Piano settoriale SAC - </w:t>
    </w:r>
    <w:r w:rsidR="00B07687" w:rsidRPr="005952C4">
      <w:rPr>
        <w:sz w:val="16"/>
        <w:lang w:val="it-CH"/>
      </w:rPr>
      <w:t xml:space="preserve">Versione </w:t>
    </w:r>
    <w:r w:rsidR="00B07687">
      <w:rPr>
        <w:sz w:val="16"/>
        <w:lang w:val="it-CH"/>
      </w:rPr>
      <w:fldChar w:fldCharType="begin"/>
    </w:r>
    <w:r w:rsidR="00B07687">
      <w:rPr>
        <w:sz w:val="16"/>
        <w:lang w:val="it-CH"/>
      </w:rPr>
      <w:instrText xml:space="preserve"> TIME  \@ "MMMM '’'yy" </w:instrText>
    </w:r>
    <w:r w:rsidR="00B07687">
      <w:rPr>
        <w:sz w:val="16"/>
        <w:lang w:val="it-CH"/>
      </w:rPr>
      <w:fldChar w:fldCharType="separate"/>
    </w:r>
    <w:r w:rsidR="002C06C6">
      <w:rPr>
        <w:sz w:val="16"/>
        <w:lang w:val="it-CH"/>
      </w:rPr>
      <w:t>dicembre ’18</w:t>
    </w:r>
    <w:r w:rsidR="00B07687">
      <w:rPr>
        <w:sz w:val="16"/>
        <w:lang w:val="it-CH"/>
      </w:rPr>
      <w:fldChar w:fldCharType="end"/>
    </w:r>
    <w:r w:rsidR="00544F67">
      <w:rPr>
        <w:sz w:val="16"/>
        <w:lang w:val="it-CH"/>
      </w:rPr>
      <w:tab/>
    </w:r>
    <w:r w:rsidR="00544F67">
      <w:rPr>
        <w:sz w:val="16"/>
        <w:lang w:val="it-CH"/>
      </w:rPr>
      <w:tab/>
    </w:r>
    <w:r w:rsidR="00544F67">
      <w:rPr>
        <w:sz w:val="16"/>
        <w:lang w:val="it-CH"/>
      </w:rPr>
      <w:tab/>
    </w:r>
    <w:r w:rsidR="00544F67">
      <w:rPr>
        <w:sz w:val="16"/>
        <w:lang w:val="it-CH"/>
      </w:rPr>
      <w:tab/>
    </w:r>
    <w:r w:rsidR="00544F67">
      <w:rPr>
        <w:sz w:val="16"/>
        <w:lang w:val="it-CH"/>
      </w:rPr>
      <w:tab/>
    </w:r>
    <w:r w:rsidR="00544F67">
      <w:rPr>
        <w:sz w:val="16"/>
        <w:lang w:val="it-CH"/>
      </w:rPr>
      <w:tab/>
    </w:r>
    <w:r w:rsidR="00B07687" w:rsidRPr="00826401">
      <w:rPr>
        <w:sz w:val="16"/>
        <w:lang w:val="it-CH"/>
      </w:rPr>
      <w:tab/>
    </w:r>
    <w:sdt>
      <w:sdtPr>
        <w:rPr>
          <w:sz w:val="16"/>
        </w:rPr>
        <w:id w:val="2042855560"/>
        <w:docPartObj>
          <w:docPartGallery w:val="Page Numbers (Bottom of Page)"/>
          <w:docPartUnique/>
        </w:docPartObj>
      </w:sdtPr>
      <w:sdtEndPr/>
      <w:sdtContent>
        <w:r w:rsidR="00544F67" w:rsidRPr="00544F67">
          <w:rPr>
            <w:sz w:val="16"/>
            <w:lang w:val="it-CH"/>
          </w:rPr>
          <w:tab/>
        </w:r>
        <w:r w:rsidR="00B07687" w:rsidRPr="00E136A1">
          <w:rPr>
            <w:sz w:val="16"/>
          </w:rPr>
          <w:fldChar w:fldCharType="begin"/>
        </w:r>
        <w:r w:rsidR="00B07687" w:rsidRPr="00826401">
          <w:rPr>
            <w:sz w:val="16"/>
            <w:lang w:val="it-CH"/>
          </w:rPr>
          <w:instrText>PAGE   \* MERGEFORMAT</w:instrText>
        </w:r>
        <w:r w:rsidR="00B07687" w:rsidRPr="00E136A1">
          <w:rPr>
            <w:sz w:val="16"/>
          </w:rPr>
          <w:fldChar w:fldCharType="separate"/>
        </w:r>
        <w:r w:rsidR="00BD32B4">
          <w:rPr>
            <w:sz w:val="16"/>
            <w:lang w:val="it-CH"/>
          </w:rPr>
          <w:t>22</w:t>
        </w:r>
        <w:r w:rsidR="00B07687" w:rsidRPr="00E136A1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4DBF1" w14:textId="77777777" w:rsidR="009271D1" w:rsidRDefault="009271D1" w:rsidP="005B17D7">
      <w:pPr>
        <w:spacing w:line="240" w:lineRule="auto"/>
      </w:pPr>
      <w:r>
        <w:separator/>
      </w:r>
    </w:p>
  </w:footnote>
  <w:footnote w:type="continuationSeparator" w:id="0">
    <w:p w14:paraId="139F7082" w14:textId="77777777" w:rsidR="009271D1" w:rsidRDefault="009271D1" w:rsidP="005B17D7">
      <w:pPr>
        <w:spacing w:line="240" w:lineRule="auto"/>
      </w:pPr>
      <w:r>
        <w:continuationSeparator/>
      </w:r>
    </w:p>
  </w:footnote>
  <w:footnote w:type="continuationNotice" w:id="1">
    <w:p w14:paraId="6E00C93A" w14:textId="77777777" w:rsidR="009271D1" w:rsidRDefault="009271D1">
      <w:pPr>
        <w:spacing w:after="0" w:line="240" w:lineRule="auto"/>
      </w:pPr>
    </w:p>
  </w:footnote>
  <w:footnote w:id="2">
    <w:p w14:paraId="27D1D13D" w14:textId="150663E1" w:rsidR="00B07687" w:rsidRPr="001E2443" w:rsidRDefault="00B07687" w:rsidP="003A38A5">
      <w:pPr>
        <w:pStyle w:val="KeinLeerraum"/>
        <w:rPr>
          <w:lang w:val="it-CH"/>
        </w:rPr>
      </w:pPr>
      <w:r>
        <w:rPr>
          <w:rStyle w:val="Funotenzeichen"/>
        </w:rPr>
        <w:footnoteRef/>
      </w:r>
      <w:r w:rsidRPr="00747536">
        <w:rPr>
          <w:lang w:val="it-CH"/>
        </w:rPr>
        <w:t xml:space="preserve"> </w:t>
      </w:r>
      <w:r w:rsidRPr="00747536">
        <w:rPr>
          <w:lang w:val="it-CH"/>
        </w:rPr>
        <w:tab/>
      </w:r>
      <w:r w:rsidRPr="008D52CB">
        <w:rPr>
          <w:lang w:val="it-CH"/>
        </w:rPr>
        <w:t>Ufficio federale della pianificazione del territorio, Ufficio federale dell</w:t>
      </w:r>
      <w:r>
        <w:rPr>
          <w:lang w:val="it-CH"/>
        </w:rPr>
        <w:t>’</w:t>
      </w:r>
      <w:r w:rsidRPr="008D52CB">
        <w:rPr>
          <w:lang w:val="it-CH"/>
        </w:rPr>
        <w:t xml:space="preserve">agricoltura, UFPT/UFAG (1992): </w:t>
      </w:r>
      <w:bookmarkStart w:id="3" w:name="_Hlk529526803"/>
      <w:r w:rsidRPr="008D52CB">
        <w:rPr>
          <w:lang w:val="it-CH"/>
        </w:rPr>
        <w:t>Piano settoriale</w:t>
      </w:r>
      <w:r>
        <w:rPr>
          <w:lang w:val="it-CH"/>
        </w:rPr>
        <w:t xml:space="preserve"> </w:t>
      </w:r>
      <w:r w:rsidRPr="008D52CB">
        <w:rPr>
          <w:lang w:val="it-CH"/>
        </w:rPr>
        <w:t xml:space="preserve">delle superfici per </w:t>
      </w:r>
      <w:r>
        <w:rPr>
          <w:lang w:val="it-CH"/>
        </w:rPr>
        <w:t>l’</w:t>
      </w:r>
      <w:r w:rsidRPr="008D52CB">
        <w:rPr>
          <w:lang w:val="it-CH"/>
        </w:rPr>
        <w:t xml:space="preserve">avvicendamento delle colture (SAC), </w:t>
      </w:r>
      <w:r w:rsidRPr="00921750">
        <w:rPr>
          <w:lang w:val="it-CH"/>
        </w:rPr>
        <w:t>Estensione totale minima delle</w:t>
      </w:r>
      <w:r>
        <w:rPr>
          <w:lang w:val="it-CH"/>
        </w:rPr>
        <w:t xml:space="preserve"> </w:t>
      </w:r>
      <w:r w:rsidRPr="00921750">
        <w:rPr>
          <w:lang w:val="it-CH"/>
        </w:rPr>
        <w:t>superfici per l</w:t>
      </w:r>
      <w:r>
        <w:rPr>
          <w:lang w:val="it-CH"/>
        </w:rPr>
        <w:t>’</w:t>
      </w:r>
      <w:r w:rsidRPr="00921750">
        <w:rPr>
          <w:lang w:val="it-CH"/>
        </w:rPr>
        <w:t>avvicen</w:t>
      </w:r>
      <w:r w:rsidRPr="00590124">
        <w:rPr>
          <w:lang w:val="it-CH"/>
        </w:rPr>
        <w:t>damento delle colture e relativa ripartizione tra i Cantoni</w:t>
      </w:r>
      <w:bookmarkEnd w:id="3"/>
      <w:r>
        <w:rPr>
          <w:lang w:val="it-CH"/>
        </w:rPr>
        <w:t>,</w:t>
      </w:r>
      <w:r w:rsidRPr="00590124">
        <w:rPr>
          <w:lang w:val="it-CH"/>
        </w:rPr>
        <w:t xml:space="preserve"> </w:t>
      </w:r>
      <w:r w:rsidRPr="001E2443">
        <w:rPr>
          <w:lang w:val="it-CH"/>
        </w:rPr>
        <w:t>Berna.</w:t>
      </w:r>
    </w:p>
  </w:footnote>
  <w:footnote w:id="3">
    <w:p w14:paraId="3754D246" w14:textId="5BCF96CB" w:rsidR="00B07687" w:rsidRPr="00860862" w:rsidRDefault="00B07687" w:rsidP="00727EB3">
      <w:pPr>
        <w:pStyle w:val="KeinLeerraum"/>
        <w:rPr>
          <w:lang w:val="it-CH"/>
        </w:rPr>
      </w:pPr>
      <w:r w:rsidRPr="00590124">
        <w:rPr>
          <w:rStyle w:val="Funotenzeichen"/>
        </w:rPr>
        <w:footnoteRef/>
      </w:r>
      <w:r w:rsidRPr="00590124">
        <w:rPr>
          <w:lang w:val="fr-CH"/>
        </w:rPr>
        <w:t xml:space="preserve">  </w:t>
      </w:r>
      <w:r w:rsidRPr="00590124">
        <w:rPr>
          <w:lang w:val="fr-CH"/>
        </w:rPr>
        <w:tab/>
      </w:r>
      <w:bookmarkStart w:id="4" w:name="_Hlk531676916"/>
      <w:r w:rsidRPr="00590124">
        <w:rPr>
          <w:lang w:val="fr-CH"/>
        </w:rPr>
        <w:t>Office fédéral de l’aménagement du territoire (1986), Relevé et garantie des surfaces d’assolement</w:t>
      </w:r>
      <w:r>
        <w:rPr>
          <w:lang w:val="fr-CH"/>
        </w:rPr>
        <w:t>. A</w:t>
      </w:r>
      <w:r w:rsidRPr="00590124">
        <w:rPr>
          <w:lang w:val="fr-CH"/>
        </w:rPr>
        <w:t>rt. 11 à 16 de l’ordonnance du 26 mars 1986 sur l’aménagement du territoire</w:t>
      </w:r>
      <w:r>
        <w:rPr>
          <w:lang w:val="fr-CH"/>
        </w:rPr>
        <w:t xml:space="preserve">. </w:t>
      </w:r>
      <w:proofErr w:type="spellStart"/>
      <w:r w:rsidRPr="00860862">
        <w:rPr>
          <w:lang w:val="it-CH"/>
        </w:rPr>
        <w:t>Rapport</w:t>
      </w:r>
      <w:proofErr w:type="spellEnd"/>
      <w:r w:rsidRPr="00860862">
        <w:rPr>
          <w:lang w:val="it-CH"/>
        </w:rPr>
        <w:t xml:space="preserve"> </w:t>
      </w:r>
      <w:proofErr w:type="spellStart"/>
      <w:r w:rsidRPr="00860862">
        <w:rPr>
          <w:lang w:val="it-CH"/>
        </w:rPr>
        <w:t>explicatif</w:t>
      </w:r>
      <w:proofErr w:type="spellEnd"/>
      <w:r w:rsidRPr="00860862">
        <w:rPr>
          <w:lang w:val="it-CH"/>
        </w:rPr>
        <w:t>, Berne</w:t>
      </w:r>
      <w:bookmarkEnd w:id="4"/>
      <w:r w:rsidRPr="00860862">
        <w:rPr>
          <w:lang w:val="it-CH"/>
        </w:rPr>
        <w:t>.</w:t>
      </w:r>
    </w:p>
  </w:footnote>
  <w:footnote w:id="4">
    <w:p w14:paraId="2615F804" w14:textId="77777777" w:rsidR="003435FE" w:rsidRPr="004300DE" w:rsidRDefault="003435FE" w:rsidP="003435FE">
      <w:pPr>
        <w:pStyle w:val="KeinLeerraum"/>
        <w:rPr>
          <w:lang w:val="it-IT"/>
        </w:rPr>
      </w:pPr>
      <w:r w:rsidRPr="00590124">
        <w:rPr>
          <w:rStyle w:val="Funotenzeichen"/>
        </w:rPr>
        <w:footnoteRef/>
      </w:r>
      <w:r w:rsidRPr="004300DE">
        <w:rPr>
          <w:lang w:val="it-IT"/>
        </w:rPr>
        <w:t xml:space="preserve"> </w:t>
      </w:r>
      <w:bookmarkStart w:id="5" w:name="_Hlk531441905"/>
      <w:r w:rsidRPr="004300DE">
        <w:rPr>
          <w:lang w:val="it-IT"/>
        </w:rPr>
        <w:tab/>
      </w:r>
      <w:bookmarkEnd w:id="5"/>
      <w:r w:rsidRPr="004300DE">
        <w:rPr>
          <w:lang w:val="it-IT"/>
        </w:rPr>
        <w:t>Ibid.</w:t>
      </w:r>
    </w:p>
  </w:footnote>
  <w:footnote w:id="5">
    <w:p w14:paraId="062DBC83" w14:textId="1B530065" w:rsidR="00B07687" w:rsidRPr="004300DE" w:rsidRDefault="00B07687" w:rsidP="00727EB3">
      <w:pPr>
        <w:pStyle w:val="Funotentext"/>
        <w:ind w:left="227" w:hanging="227"/>
        <w:jc w:val="both"/>
        <w:rPr>
          <w:rFonts w:eastAsia="Calibri"/>
          <w:sz w:val="18"/>
          <w:szCs w:val="22"/>
          <w:lang w:val="it-IT" w:eastAsia="en-US"/>
        </w:rPr>
      </w:pPr>
      <w:r w:rsidRPr="00657DD5">
        <w:rPr>
          <w:rStyle w:val="Funotenzeichen"/>
          <w:sz w:val="18"/>
        </w:rPr>
        <w:footnoteRef/>
      </w:r>
      <w:r w:rsidRPr="00657DD5">
        <w:rPr>
          <w:lang w:val="it-IT"/>
        </w:rPr>
        <w:t xml:space="preserve"> </w:t>
      </w:r>
      <w:r w:rsidRPr="00657DD5">
        <w:rPr>
          <w:lang w:val="it-IT"/>
        </w:rPr>
        <w:tab/>
      </w:r>
      <w:r w:rsidRPr="00657DD5">
        <w:rPr>
          <w:rFonts w:eastAsia="Calibri"/>
          <w:sz w:val="18"/>
          <w:szCs w:val="22"/>
          <w:lang w:val="it-IT" w:eastAsia="en-US"/>
        </w:rPr>
        <w:t xml:space="preserve">Le cifre si basano sui risultati della statistica della superficie tra 1979/85 e 2004/09. Il </w:t>
      </w:r>
      <w:r>
        <w:rPr>
          <w:rFonts w:eastAsia="Calibri"/>
          <w:sz w:val="18"/>
          <w:szCs w:val="22"/>
          <w:lang w:val="it-IT" w:eastAsia="en-US"/>
        </w:rPr>
        <w:t>prossimo</w:t>
      </w:r>
      <w:r w:rsidRPr="00657DD5">
        <w:rPr>
          <w:rFonts w:eastAsia="Calibri"/>
          <w:sz w:val="18"/>
          <w:szCs w:val="22"/>
          <w:lang w:val="it-IT" w:eastAsia="en-US"/>
        </w:rPr>
        <w:t xml:space="preserve"> aggiornamento della statistica della superficie riguard</w:t>
      </w:r>
      <w:r>
        <w:rPr>
          <w:rFonts w:eastAsia="Calibri"/>
          <w:sz w:val="18"/>
          <w:szCs w:val="22"/>
          <w:lang w:val="it-IT" w:eastAsia="en-US"/>
        </w:rPr>
        <w:t>erà</w:t>
      </w:r>
      <w:r w:rsidRPr="00657DD5">
        <w:rPr>
          <w:rFonts w:eastAsia="Calibri"/>
          <w:sz w:val="18"/>
          <w:szCs w:val="22"/>
          <w:lang w:val="it-IT" w:eastAsia="en-US"/>
        </w:rPr>
        <w:t xml:space="preserve"> il periodo 2013/18. I corrispondenti risultati non sono ancora disponibili.</w:t>
      </w:r>
    </w:p>
  </w:footnote>
  <w:footnote w:id="6">
    <w:p w14:paraId="490D5DC5" w14:textId="77777777" w:rsidR="003435FE" w:rsidRPr="00636AFE" w:rsidRDefault="003435FE" w:rsidP="003435FE">
      <w:pPr>
        <w:pStyle w:val="KeinLeerraum"/>
        <w:rPr>
          <w:lang w:val="it-IT"/>
        </w:rPr>
      </w:pPr>
      <w:r w:rsidRPr="00590124">
        <w:rPr>
          <w:rStyle w:val="Funotenzeichen"/>
        </w:rPr>
        <w:footnoteRef/>
      </w:r>
      <w:bookmarkStart w:id="6" w:name="_Hlk531441943"/>
      <w:r w:rsidRPr="00636AFE">
        <w:rPr>
          <w:lang w:val="it-IT"/>
        </w:rPr>
        <w:t xml:space="preserve"> </w:t>
      </w:r>
      <w:r w:rsidRPr="00636AFE">
        <w:rPr>
          <w:lang w:val="it-IT"/>
        </w:rPr>
        <w:tab/>
      </w:r>
      <w:bookmarkEnd w:id="6"/>
      <w:r w:rsidRPr="005572F8">
        <w:rPr>
          <w:lang w:val="it-IT"/>
        </w:rPr>
        <w:t xml:space="preserve">Ufficio federale di statistica UST (2013): Statistica della superficie. L'utilizzazione del suolo in Svizzera. Risultati della statistica della superficie. Ufficio federale di statistica UST, Neuchâtel. </w:t>
      </w:r>
      <w:hyperlink r:id="rId1" w:history="1">
        <w:r w:rsidRPr="00414D6A">
          <w:rPr>
            <w:rStyle w:val="Hyperlink"/>
            <w:lang w:val="it-IT"/>
          </w:rPr>
          <w:t>https://www.bfs.admin.ch/bfs/fr/home/statistiques/espace-environnement/utilisation-couverture-sol.assetdetail.348991.html</w:t>
        </w:r>
      </w:hyperlink>
      <w:r w:rsidRPr="005572F8">
        <w:rPr>
          <w:lang w:val="it-IT"/>
        </w:rPr>
        <w:t xml:space="preserve">, </w:t>
      </w:r>
      <w:r>
        <w:rPr>
          <w:lang w:val="it-IT"/>
        </w:rPr>
        <w:t>stato</w:t>
      </w:r>
      <w:r w:rsidRPr="005572F8">
        <w:rPr>
          <w:lang w:val="it-IT"/>
        </w:rPr>
        <w:t>: 18.10.2018.</w:t>
      </w:r>
    </w:p>
  </w:footnote>
  <w:footnote w:id="7">
    <w:p w14:paraId="422E9E8D" w14:textId="77777777" w:rsidR="003435FE" w:rsidRPr="0076118B" w:rsidRDefault="003435FE" w:rsidP="003435FE">
      <w:pPr>
        <w:pStyle w:val="KeinLeerraum"/>
        <w:rPr>
          <w:lang w:val="it-CH"/>
        </w:rPr>
      </w:pPr>
      <w:r w:rsidRPr="0076118B">
        <w:rPr>
          <w:rStyle w:val="Funotenzeichen"/>
        </w:rPr>
        <w:footnoteRef/>
      </w:r>
      <w:r w:rsidRPr="0076118B">
        <w:rPr>
          <w:lang w:val="it-CH"/>
        </w:rPr>
        <w:t xml:space="preserve"> </w:t>
      </w:r>
      <w:bookmarkStart w:id="9" w:name="_Hlk530750412"/>
      <w:r w:rsidRPr="0076118B">
        <w:rPr>
          <w:lang w:val="it-CH"/>
        </w:rPr>
        <w:tab/>
      </w:r>
      <w:bookmarkEnd w:id="9"/>
      <w:r w:rsidRPr="0076118B">
        <w:rPr>
          <w:lang w:val="it-CH"/>
        </w:rPr>
        <w:t>Ufficio federale per l’approvvigionamento economico del Paese</w:t>
      </w:r>
      <w:r>
        <w:rPr>
          <w:lang w:val="it-CH"/>
        </w:rPr>
        <w:t xml:space="preserve"> UFAE (2018): Strategia Settore alimentazione (viene aggiornata ogni quattro anni)</w:t>
      </w:r>
      <w:r w:rsidRPr="0076118B">
        <w:rPr>
          <w:lang w:val="it-CH"/>
        </w:rPr>
        <w:t>.</w:t>
      </w:r>
    </w:p>
  </w:footnote>
  <w:footnote w:id="8">
    <w:p w14:paraId="3E760634" w14:textId="77777777" w:rsidR="003435FE" w:rsidRPr="00301E80" w:rsidRDefault="003435FE" w:rsidP="003435FE">
      <w:pPr>
        <w:pStyle w:val="KeinLeerraum"/>
        <w:rPr>
          <w:lang w:val="fr-CH"/>
        </w:rPr>
      </w:pPr>
      <w:r w:rsidRPr="005221BC">
        <w:rPr>
          <w:rStyle w:val="Funotenzeichen"/>
        </w:rPr>
        <w:footnoteRef/>
      </w:r>
      <w:r w:rsidRPr="00301E80">
        <w:rPr>
          <w:lang w:val="fr-CH"/>
        </w:rPr>
        <w:t xml:space="preserve"> </w:t>
      </w:r>
      <w:r w:rsidRPr="00301E80">
        <w:rPr>
          <w:lang w:val="fr-CH"/>
        </w:rPr>
        <w:tab/>
      </w:r>
      <w:r w:rsidRPr="00380169">
        <w:rPr>
          <w:lang w:val="fr-CH"/>
        </w:rPr>
        <w:t>Office fédéral pour l’approvisionnement économique du pays OFAE (2017): Potentiel alimentaire des surfaces agricoles cultivées. Analyse d’optimisation de la production alimentaire</w:t>
      </w:r>
      <w:r>
        <w:rPr>
          <w:lang w:val="fr-CH"/>
        </w:rPr>
        <w:t xml:space="preserve"> </w:t>
      </w:r>
      <w:r w:rsidRPr="00380169">
        <w:rPr>
          <w:lang w:val="fr-CH"/>
        </w:rPr>
        <w:t>indigène suisse en cas de pénurie grave</w:t>
      </w:r>
      <w:r w:rsidRPr="00301E80">
        <w:rPr>
          <w:lang w:val="fr-CH"/>
        </w:rPr>
        <w:t>.</w:t>
      </w:r>
    </w:p>
  </w:footnote>
  <w:footnote w:id="9">
    <w:p w14:paraId="5773FF5C" w14:textId="77777777" w:rsidR="003435FE" w:rsidRPr="00F328BA" w:rsidRDefault="003435FE" w:rsidP="003435FE">
      <w:pPr>
        <w:pStyle w:val="KeinLeerraum"/>
        <w:rPr>
          <w:lang w:val="it-IT"/>
        </w:rPr>
      </w:pPr>
      <w:r>
        <w:rPr>
          <w:rStyle w:val="Funotenzeichen"/>
        </w:rPr>
        <w:footnoteRef/>
      </w:r>
      <w:r w:rsidRPr="003269AE">
        <w:rPr>
          <w:lang w:val="it-CH"/>
        </w:rPr>
        <w:t xml:space="preserve"> </w:t>
      </w:r>
      <w:r w:rsidRPr="003269AE">
        <w:rPr>
          <w:lang w:val="it-CH"/>
        </w:rPr>
        <w:tab/>
      </w:r>
      <w:bookmarkStart w:id="10" w:name="_Hlk529432476"/>
      <w:r w:rsidRPr="003269AE">
        <w:rPr>
          <w:lang w:val="it-CH"/>
        </w:rPr>
        <w:t>Ufficio federale di statistica UST (2015): Scenari dell'evoluzione della popolazione in Svizzera 2015-2045</w:t>
      </w:r>
      <w:r>
        <w:rPr>
          <w:lang w:val="it-CH"/>
        </w:rPr>
        <w:t>,</w:t>
      </w:r>
      <w:r w:rsidRPr="003269AE">
        <w:rPr>
          <w:lang w:val="it-CH"/>
        </w:rPr>
        <w:t xml:space="preserve"> </w:t>
      </w:r>
      <w:r w:rsidRPr="00F328BA">
        <w:rPr>
          <w:lang w:val="it-IT"/>
        </w:rPr>
        <w:t>Neuchâtel</w:t>
      </w:r>
      <w:bookmarkEnd w:id="10"/>
      <w:r w:rsidRPr="00F328BA">
        <w:rPr>
          <w:lang w:val="it-IT"/>
        </w:rPr>
        <w:t>.</w:t>
      </w:r>
    </w:p>
  </w:footnote>
  <w:footnote w:id="10">
    <w:p w14:paraId="632A44F1" w14:textId="77777777" w:rsidR="003435FE" w:rsidRPr="004300DE" w:rsidRDefault="003435FE" w:rsidP="003435FE">
      <w:pPr>
        <w:pStyle w:val="KeinLeerraum"/>
        <w:rPr>
          <w:lang w:val="en-US"/>
        </w:rPr>
      </w:pPr>
      <w:r>
        <w:rPr>
          <w:rStyle w:val="Funotenzeichen"/>
        </w:rPr>
        <w:footnoteRef/>
      </w:r>
      <w:r w:rsidRPr="29D59492">
        <w:t xml:space="preserve"> </w:t>
      </w:r>
      <w:r>
        <w:tab/>
      </w:r>
      <w:r w:rsidRPr="00581454">
        <w:t xml:space="preserve">Schuffenhauer, A., Maier, M., </w:t>
      </w:r>
      <w:proofErr w:type="spellStart"/>
      <w:r w:rsidRPr="00581454">
        <w:t>Goldhofer</w:t>
      </w:r>
      <w:proofErr w:type="spellEnd"/>
      <w:r w:rsidRPr="00581454">
        <w:t xml:space="preserve">, H., </w:t>
      </w:r>
      <w:proofErr w:type="spellStart"/>
      <w:r w:rsidRPr="00581454">
        <w:t>Sutor</w:t>
      </w:r>
      <w:proofErr w:type="spellEnd"/>
      <w:r w:rsidRPr="00581454">
        <w:t>, P (2012): Auswirkungen internationaler Märkte auf die bayerische</w:t>
      </w:r>
      <w:r w:rsidRPr="29D59492">
        <w:t xml:space="preserve"> </w:t>
      </w:r>
      <w:r w:rsidRPr="00581454">
        <w:t>Land- und Ernährungswirtschaft. Weizen. Schriftenreihe der Bayerischen Lande</w:t>
      </w:r>
      <w:r>
        <w:t xml:space="preserve">sanstalt für Landwirtschaft. </w:t>
      </w:r>
      <w:r w:rsidRPr="29D59492">
        <w:t xml:space="preserve">/ </w:t>
      </w:r>
      <w:proofErr w:type="spellStart"/>
      <w:r w:rsidRPr="00581454">
        <w:t>Brisson</w:t>
      </w:r>
      <w:proofErr w:type="spellEnd"/>
      <w:r w:rsidRPr="29D59492">
        <w:t>,</w:t>
      </w:r>
      <w:r w:rsidRPr="00581454">
        <w:t xml:space="preserve"> N., Gate, P., Gouache, D., </w:t>
      </w:r>
      <w:proofErr w:type="spellStart"/>
      <w:r w:rsidRPr="00581454">
        <w:t>Charmet</w:t>
      </w:r>
      <w:proofErr w:type="spellEnd"/>
      <w:r w:rsidRPr="00581454">
        <w:t xml:space="preserve">, G., </w:t>
      </w:r>
      <w:proofErr w:type="spellStart"/>
      <w:r w:rsidRPr="00581454">
        <w:t>Oury</w:t>
      </w:r>
      <w:proofErr w:type="spellEnd"/>
      <w:r w:rsidRPr="00581454">
        <w:t>, F.X.</w:t>
      </w:r>
      <w:r w:rsidRPr="29D59492">
        <w:t xml:space="preserve">, </w:t>
      </w:r>
      <w:proofErr w:type="spellStart"/>
      <w:r w:rsidRPr="00581454">
        <w:t>Huard</w:t>
      </w:r>
      <w:proofErr w:type="spellEnd"/>
      <w:r w:rsidRPr="00581454">
        <w:t xml:space="preserve">, F. (2010): </w:t>
      </w:r>
      <w:proofErr w:type="spellStart"/>
      <w:r w:rsidRPr="007D1905">
        <w:t>Why</w:t>
      </w:r>
      <w:proofErr w:type="spellEnd"/>
      <w:r w:rsidRPr="29D59492">
        <w:t xml:space="preserve"> </w:t>
      </w:r>
      <w:proofErr w:type="spellStart"/>
      <w:r w:rsidRPr="007D1905">
        <w:t>are</w:t>
      </w:r>
      <w:proofErr w:type="spellEnd"/>
      <w:r w:rsidRPr="29D59492">
        <w:t xml:space="preserve"> </w:t>
      </w:r>
      <w:proofErr w:type="spellStart"/>
      <w:r w:rsidRPr="007D1905">
        <w:t>wheat</w:t>
      </w:r>
      <w:proofErr w:type="spellEnd"/>
      <w:r w:rsidRPr="29D59492">
        <w:t xml:space="preserve"> </w:t>
      </w:r>
      <w:proofErr w:type="spellStart"/>
      <w:r w:rsidRPr="007D1905">
        <w:t>yields</w:t>
      </w:r>
      <w:proofErr w:type="spellEnd"/>
      <w:r w:rsidRPr="29D59492">
        <w:t xml:space="preserve"> </w:t>
      </w:r>
      <w:proofErr w:type="spellStart"/>
      <w:r w:rsidRPr="007D1905">
        <w:t>stagnating</w:t>
      </w:r>
      <w:proofErr w:type="spellEnd"/>
      <w:r w:rsidRPr="007D1905">
        <w:t xml:space="preserve"> in Europe? </w:t>
      </w:r>
      <w:r w:rsidRPr="00825030">
        <w:rPr>
          <w:lang w:val="en-GB"/>
        </w:rPr>
        <w:t>A comprehensive data analysis for France</w:t>
      </w:r>
      <w:r w:rsidRPr="00581454">
        <w:rPr>
          <w:lang w:val="en-US"/>
        </w:rPr>
        <w:t>.</w:t>
      </w:r>
      <w:r>
        <w:rPr>
          <w:lang w:val="en-US"/>
        </w:rPr>
        <w:t xml:space="preserve"> </w:t>
      </w:r>
      <w:r w:rsidRPr="004300DE">
        <w:rPr>
          <w:lang w:val="en-US"/>
        </w:rPr>
        <w:t xml:space="preserve">Field Crops Res., vol. 119, </w:t>
      </w:r>
      <w:proofErr w:type="spellStart"/>
      <w:r w:rsidRPr="004300DE">
        <w:rPr>
          <w:lang w:val="en-US"/>
        </w:rPr>
        <w:t>pagg</w:t>
      </w:r>
      <w:proofErr w:type="spellEnd"/>
      <w:r w:rsidRPr="004300DE">
        <w:rPr>
          <w:lang w:val="en-US"/>
        </w:rPr>
        <w:t>. 201-212.</w:t>
      </w:r>
    </w:p>
  </w:footnote>
  <w:footnote w:id="11">
    <w:p w14:paraId="1D442F95" w14:textId="5DD838E8" w:rsidR="00B07687" w:rsidRPr="00590124" w:rsidRDefault="00B07687" w:rsidP="00F328BA">
      <w:pPr>
        <w:pStyle w:val="KeinLeerraum"/>
      </w:pPr>
      <w:r w:rsidRPr="00B93523">
        <w:rPr>
          <w:rStyle w:val="Funotenzeichen"/>
        </w:rPr>
        <w:footnoteRef/>
      </w:r>
      <w:r w:rsidRPr="00B93523">
        <w:t xml:space="preserve"> </w:t>
      </w:r>
      <w:r w:rsidRPr="00B93523">
        <w:tab/>
        <w:t>Bundesamt für Raumplanung/Bundesamt für Landwirtschaft (1983): Raumplanung und Landwirtschaft - Vollzugs</w:t>
      </w:r>
      <w:r w:rsidRPr="00590124">
        <w:t>hilfe, Bern.</w:t>
      </w:r>
    </w:p>
  </w:footnote>
  <w:footnote w:id="12">
    <w:p w14:paraId="5BE22A57" w14:textId="303BF241" w:rsidR="00B07687" w:rsidRPr="00860862" w:rsidRDefault="00B07687" w:rsidP="003D52F7">
      <w:pPr>
        <w:pStyle w:val="KeinLeerraum"/>
      </w:pPr>
      <w:r w:rsidRPr="00590124">
        <w:rPr>
          <w:rStyle w:val="Funotenzeichen"/>
        </w:rPr>
        <w:footnoteRef/>
      </w:r>
      <w:r w:rsidRPr="00590124">
        <w:rPr>
          <w:lang w:val="fr-CH"/>
        </w:rPr>
        <w:t xml:space="preserve"> </w:t>
      </w:r>
      <w:r w:rsidRPr="00590124">
        <w:rPr>
          <w:lang w:val="fr-CH"/>
        </w:rPr>
        <w:tab/>
      </w:r>
      <w:r w:rsidRPr="00657DD5">
        <w:rPr>
          <w:lang w:val="fr-CH"/>
        </w:rPr>
        <w:t xml:space="preserve">Office fédéral de l’aménagement du territoire (1986), Relevé et garantie des surfaces d’assolement. Art. 11 à 16 de l’ordonnance du 26 mars 1986 sur l’aménagement du territoire. </w:t>
      </w:r>
      <w:r w:rsidRPr="00860862">
        <w:t xml:space="preserve">Rapport </w:t>
      </w:r>
      <w:proofErr w:type="spellStart"/>
      <w:r w:rsidRPr="00860862">
        <w:t>explicatif</w:t>
      </w:r>
      <w:proofErr w:type="spellEnd"/>
      <w:r w:rsidRPr="00860862">
        <w:t xml:space="preserve">, </w:t>
      </w:r>
      <w:proofErr w:type="spellStart"/>
      <w:r w:rsidRPr="00860862">
        <w:t>Berne</w:t>
      </w:r>
      <w:proofErr w:type="spellEnd"/>
      <w:r w:rsidRPr="00860862">
        <w:t>.</w:t>
      </w:r>
    </w:p>
  </w:footnote>
  <w:footnote w:id="13">
    <w:p w14:paraId="5EF4D3FE" w14:textId="77777777" w:rsidR="003435FE" w:rsidRPr="00263175" w:rsidRDefault="003435FE" w:rsidP="003435FE">
      <w:pPr>
        <w:pStyle w:val="KeinLeerraum"/>
        <w:rPr>
          <w:rFonts w:cs="Arial"/>
        </w:rPr>
      </w:pPr>
      <w:r w:rsidRPr="009804CF">
        <w:rPr>
          <w:rStyle w:val="Funotenzeichen"/>
        </w:rPr>
        <w:footnoteRef/>
      </w:r>
      <w:r w:rsidRPr="29D59492">
        <w:t xml:space="preserve"> </w:t>
      </w:r>
      <w:r>
        <w:tab/>
        <w:t xml:space="preserve">Messer, A.M., </w:t>
      </w:r>
      <w:proofErr w:type="spellStart"/>
      <w:r>
        <w:t>Bonriposi</w:t>
      </w:r>
      <w:proofErr w:type="spellEnd"/>
      <w:r>
        <w:t xml:space="preserve">, M., </w:t>
      </w:r>
      <w:proofErr w:type="spellStart"/>
      <w:r>
        <w:t>Chenal</w:t>
      </w:r>
      <w:proofErr w:type="spellEnd"/>
      <w:r>
        <w:t xml:space="preserve">, J., Hasler, S., </w:t>
      </w:r>
      <w:proofErr w:type="spellStart"/>
      <w:r>
        <w:t>Niederoest</w:t>
      </w:r>
      <w:proofErr w:type="spellEnd"/>
      <w:r>
        <w:t xml:space="preserve">, R. (2016): Bewirtschaftung der besten landwirtschaftlichen Flächen in der Schweiz; Kantonale Praktiken und Entwicklungsperspektiven. Lausanne: CEAT [118 </w:t>
      </w:r>
      <w:proofErr w:type="spellStart"/>
      <w:r>
        <w:t>pagg</w:t>
      </w:r>
      <w:proofErr w:type="spellEnd"/>
      <w:r>
        <w:t>.</w:t>
      </w:r>
      <w:proofErr w:type="gramStart"/>
      <w:r>
        <w:t>]./</w:t>
      </w:r>
      <w:proofErr w:type="gramEnd"/>
      <w:r>
        <w:t xml:space="preserve"> </w:t>
      </w:r>
      <w:proofErr w:type="spellStart"/>
      <w:r w:rsidRPr="45821094">
        <w:t>myx</w:t>
      </w:r>
      <w:proofErr w:type="spellEnd"/>
      <w:r w:rsidRPr="45821094">
        <w:t xml:space="preserve"> GmbH (2016</w:t>
      </w:r>
      <w:r w:rsidRPr="29D59492">
        <w:t xml:space="preserve">): </w:t>
      </w:r>
      <w:r w:rsidRPr="45821094">
        <w:t>Agrarpedologische Analyse der Fruchtfolgeflächen. Im Auftrag des Bundesamts für Raumentwicklung (ARE)</w:t>
      </w:r>
      <w:r w:rsidRPr="29D59492">
        <w:t xml:space="preserve">/ </w:t>
      </w:r>
      <w:proofErr w:type="spellStart"/>
      <w:r w:rsidRPr="45821094">
        <w:rPr>
          <w:rFonts w:cs="Arial"/>
        </w:rPr>
        <w:t>Planteam</w:t>
      </w:r>
      <w:proofErr w:type="spellEnd"/>
      <w:r w:rsidRPr="45821094">
        <w:rPr>
          <w:rFonts w:cs="Arial"/>
        </w:rPr>
        <w:t xml:space="preserve"> S AG, </w:t>
      </w:r>
      <w:proofErr w:type="spellStart"/>
      <w:r w:rsidRPr="45821094">
        <w:rPr>
          <w:rFonts w:cs="Arial"/>
        </w:rPr>
        <w:t>Boden+Landwirtschaft</w:t>
      </w:r>
      <w:proofErr w:type="spellEnd"/>
      <w:r w:rsidRPr="45821094">
        <w:rPr>
          <w:rFonts w:cs="Arial"/>
        </w:rPr>
        <w:t xml:space="preserve"> Vogt (2013): </w:t>
      </w:r>
      <w:proofErr w:type="spellStart"/>
      <w:r w:rsidRPr="45821094">
        <w:rPr>
          <w:rFonts w:cs="Arial"/>
        </w:rPr>
        <w:t>Sachplan</w:t>
      </w:r>
      <w:proofErr w:type="spellEnd"/>
      <w:r w:rsidRPr="45821094">
        <w:rPr>
          <w:rFonts w:cs="Arial"/>
        </w:rPr>
        <w:t xml:space="preserve"> Fruchtfolgeflächen: Bericht zum Stand der Umsetzung des Sachplanes</w:t>
      </w:r>
      <w:r>
        <w:rPr>
          <w:rFonts w:cs="Arial"/>
        </w:rPr>
        <w:t>,</w:t>
      </w:r>
      <w:r w:rsidRPr="45821094">
        <w:rPr>
          <w:rFonts w:cs="Arial"/>
        </w:rPr>
        <w:t xml:space="preserve"> Bern. Bericht zuhanden des Bundesamtes für Raumentwicklung (ARE).</w:t>
      </w:r>
    </w:p>
  </w:footnote>
  <w:footnote w:id="14">
    <w:p w14:paraId="6519AAFA" w14:textId="77777777" w:rsidR="003435FE" w:rsidRDefault="003435FE" w:rsidP="003435FE">
      <w:pPr>
        <w:pStyle w:val="Funotentext"/>
        <w:spacing w:after="60"/>
        <w:ind w:left="227" w:hanging="227"/>
      </w:pPr>
      <w:r w:rsidRPr="45821094">
        <w:rPr>
          <w:rStyle w:val="Funotenzeichen"/>
          <w:sz w:val="18"/>
          <w:szCs w:val="18"/>
        </w:rPr>
        <w:footnoteRef/>
      </w:r>
      <w:r w:rsidRPr="29D59492">
        <w:t xml:space="preserve"> </w:t>
      </w:r>
      <w:r w:rsidRPr="00E774ED">
        <w:rPr>
          <w:sz w:val="18"/>
          <w:szCs w:val="18"/>
        </w:rPr>
        <w:t>Grob</w:t>
      </w:r>
      <w:r>
        <w:rPr>
          <w:sz w:val="18"/>
          <w:szCs w:val="18"/>
        </w:rPr>
        <w:t>,</w:t>
      </w:r>
      <w:r w:rsidRPr="00E774ED">
        <w:rPr>
          <w:sz w:val="18"/>
          <w:szCs w:val="18"/>
        </w:rPr>
        <w:t xml:space="preserve"> U., </w:t>
      </w:r>
      <w:proofErr w:type="spellStart"/>
      <w:r w:rsidRPr="00E774ED">
        <w:rPr>
          <w:sz w:val="18"/>
          <w:szCs w:val="18"/>
        </w:rPr>
        <w:t>Ruef</w:t>
      </w:r>
      <w:proofErr w:type="spellEnd"/>
      <w:r w:rsidRPr="00E774ED">
        <w:rPr>
          <w:sz w:val="18"/>
          <w:szCs w:val="18"/>
        </w:rPr>
        <w:t>., A.</w:t>
      </w:r>
      <w:r>
        <w:rPr>
          <w:sz w:val="18"/>
          <w:szCs w:val="18"/>
        </w:rPr>
        <w:t xml:space="preserve">, </w:t>
      </w:r>
      <w:proofErr w:type="spellStart"/>
      <w:r w:rsidRPr="00E774ED">
        <w:rPr>
          <w:sz w:val="18"/>
          <w:szCs w:val="18"/>
        </w:rPr>
        <w:t>Zihlmann</w:t>
      </w:r>
      <w:proofErr w:type="spellEnd"/>
      <w:r w:rsidRPr="00E774ED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U., </w:t>
      </w:r>
      <w:proofErr w:type="spellStart"/>
      <w:r w:rsidRPr="00E774ED">
        <w:rPr>
          <w:sz w:val="18"/>
          <w:szCs w:val="18"/>
        </w:rPr>
        <w:t>Klauser</w:t>
      </w:r>
      <w:proofErr w:type="spellEnd"/>
      <w:r>
        <w:rPr>
          <w:sz w:val="18"/>
          <w:szCs w:val="18"/>
        </w:rPr>
        <w:t>, L.,</w:t>
      </w:r>
      <w:r w:rsidRPr="00E774ED">
        <w:rPr>
          <w:sz w:val="18"/>
          <w:szCs w:val="18"/>
        </w:rPr>
        <w:t xml:space="preserve"> Kel</w:t>
      </w:r>
      <w:r>
        <w:rPr>
          <w:sz w:val="18"/>
          <w:szCs w:val="18"/>
        </w:rPr>
        <w:t>ler, A.</w:t>
      </w:r>
      <w:r w:rsidRPr="00E774ED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E774ED">
        <w:rPr>
          <w:sz w:val="18"/>
          <w:szCs w:val="18"/>
        </w:rPr>
        <w:t>2015</w:t>
      </w:r>
      <w:r>
        <w:rPr>
          <w:sz w:val="18"/>
          <w:szCs w:val="18"/>
        </w:rPr>
        <w:t>):</w:t>
      </w:r>
      <w:r w:rsidRPr="00E774ED">
        <w:rPr>
          <w:sz w:val="18"/>
          <w:szCs w:val="18"/>
        </w:rPr>
        <w:t xml:space="preserve"> Inventarisierung Agroscope Bodendatenarchiv. Institut für Nachhaltigkeitswissenschaften, Agroscope Science.</w:t>
      </w:r>
    </w:p>
  </w:footnote>
  <w:footnote w:id="15">
    <w:p w14:paraId="1318B988" w14:textId="77777777" w:rsidR="003435FE" w:rsidRPr="005C3671" w:rsidRDefault="003435FE" w:rsidP="003435FE">
      <w:pPr>
        <w:pStyle w:val="KeinLeerraum"/>
        <w:rPr>
          <w:lang w:val="it-CH"/>
        </w:rPr>
      </w:pPr>
      <w:r>
        <w:rPr>
          <w:rStyle w:val="Funotenzeichen"/>
        </w:rPr>
        <w:footnoteRef/>
      </w:r>
      <w:r w:rsidRPr="00665CA4">
        <w:rPr>
          <w:lang w:val="it-CH"/>
        </w:rPr>
        <w:t xml:space="preserve"> </w:t>
      </w:r>
      <w:r w:rsidRPr="00665CA4">
        <w:rPr>
          <w:lang w:val="it-CH"/>
        </w:rPr>
        <w:tab/>
        <w:t>Ufficio federale della pianificazione del territorio, Ufficio federale dell’agricoltura, UFPT/UFAG (1992): Piano settoriale delle superfici per l’avvicendamento delle colture (SAC), Estensione totale minima delle superfici per l’avvicendamento delle colture e relativa ripartizione tra i Cantoni</w:t>
      </w:r>
      <w:r>
        <w:rPr>
          <w:lang w:val="it-CH"/>
        </w:rPr>
        <w:t>,</w:t>
      </w:r>
      <w:r w:rsidRPr="00665CA4">
        <w:rPr>
          <w:lang w:val="it-CH"/>
        </w:rPr>
        <w:t xml:space="preserve"> </w:t>
      </w:r>
      <w:r w:rsidRPr="005C3671">
        <w:rPr>
          <w:lang w:val="it-CH"/>
        </w:rPr>
        <w:t>Berna.</w:t>
      </w:r>
    </w:p>
  </w:footnote>
  <w:footnote w:id="16">
    <w:p w14:paraId="3AE6C9CD" w14:textId="77777777" w:rsidR="003435FE" w:rsidRPr="00466CD2" w:rsidRDefault="003435FE" w:rsidP="003435FE">
      <w:pPr>
        <w:pStyle w:val="KeinLeerraum"/>
        <w:rPr>
          <w:lang w:val="it-CH"/>
        </w:rPr>
      </w:pPr>
      <w:r>
        <w:rPr>
          <w:rStyle w:val="Funotenzeichen"/>
        </w:rPr>
        <w:footnoteRef/>
      </w:r>
      <w:r w:rsidRPr="00466CD2">
        <w:rPr>
          <w:lang w:val="it-CH"/>
        </w:rPr>
        <w:t xml:space="preserve"> Oltre alla funzione di produzione, il suolo può assicurare numerose altre funzioni tra cui, ad esempio, la regolazio</w:t>
      </w:r>
      <w:r>
        <w:rPr>
          <w:lang w:val="it-CH"/>
        </w:rPr>
        <w:t>n</w:t>
      </w:r>
      <w:r w:rsidRPr="00466CD2">
        <w:rPr>
          <w:lang w:val="it-CH"/>
        </w:rPr>
        <w:t>e del ciclo dei nutrienti e dell’acqua o la conservazione della biodiversità.</w:t>
      </w:r>
    </w:p>
  </w:footnote>
  <w:footnote w:id="17">
    <w:p w14:paraId="33E6A6D0" w14:textId="7EE08AB1" w:rsidR="00B07687" w:rsidRPr="00A844B4" w:rsidRDefault="00B07687" w:rsidP="00737039">
      <w:pPr>
        <w:pStyle w:val="KeinLeerraum"/>
        <w:rPr>
          <w:lang w:val="it-CH"/>
        </w:rPr>
      </w:pPr>
      <w:r w:rsidRPr="003E57E9">
        <w:rPr>
          <w:rStyle w:val="Funotenzeichen"/>
        </w:rPr>
        <w:footnoteRef/>
      </w:r>
      <w:r w:rsidRPr="00A844B4">
        <w:rPr>
          <w:lang w:val="it-CH"/>
        </w:rPr>
        <w:t xml:space="preserve"> </w:t>
      </w:r>
      <w:r w:rsidRPr="003E5B70">
        <w:rPr>
          <w:lang w:val="it-CH"/>
        </w:rPr>
        <w:t>La motivazione per cui queste superfici poss</w:t>
      </w:r>
      <w:r>
        <w:rPr>
          <w:lang w:val="it-CH"/>
        </w:rPr>
        <w:t>on</w:t>
      </w:r>
      <w:r w:rsidRPr="003E5B70">
        <w:rPr>
          <w:lang w:val="it-CH"/>
        </w:rPr>
        <w:t>o essere utilizzate per la compensazione non</w:t>
      </w:r>
      <w:r>
        <w:rPr>
          <w:lang w:val="it-CH"/>
        </w:rPr>
        <w:t>o</w:t>
      </w:r>
      <w:r w:rsidRPr="003E5B70">
        <w:rPr>
          <w:lang w:val="it-CH"/>
        </w:rPr>
        <w:t>stante la normativa contenuta nel principio</w:t>
      </w:r>
      <w:r w:rsidRPr="00A844B4">
        <w:rPr>
          <w:lang w:val="it-CH"/>
        </w:rPr>
        <w:t xml:space="preserve"> </w:t>
      </w:r>
      <w:r w:rsidRPr="003E57E9">
        <w:fldChar w:fldCharType="begin"/>
      </w:r>
      <w:r w:rsidRPr="00A844B4">
        <w:rPr>
          <w:lang w:val="it-CH"/>
        </w:rPr>
        <w:instrText xml:space="preserve"> REF _Ref525227301 \r \h  \* MERGEFORMAT </w:instrText>
      </w:r>
      <w:r w:rsidRPr="003E57E9">
        <w:fldChar w:fldCharType="separate"/>
      </w:r>
      <w:r>
        <w:rPr>
          <w:lang w:val="it-CH"/>
        </w:rPr>
        <w:t>P4</w:t>
      </w:r>
      <w:r w:rsidRPr="003E57E9">
        <w:fldChar w:fldCharType="end"/>
      </w:r>
      <w:r w:rsidRPr="00A844B4">
        <w:rPr>
          <w:lang w:val="it-CH"/>
        </w:rPr>
        <w:t xml:space="preserve">, </w:t>
      </w:r>
      <w:r>
        <w:rPr>
          <w:lang w:val="it-CH"/>
        </w:rPr>
        <w:t>è riportata nel rapporto esplicativo</w:t>
      </w:r>
      <w:r w:rsidRPr="00A844B4">
        <w:rPr>
          <w:lang w:val="it-CH"/>
        </w:rPr>
        <w:t>.</w:t>
      </w:r>
    </w:p>
  </w:footnote>
  <w:footnote w:id="18">
    <w:p w14:paraId="3BC6FD1E" w14:textId="7A0283A6" w:rsidR="00AE7285" w:rsidRPr="004D2F23" w:rsidRDefault="00B07687" w:rsidP="00AE7285">
      <w:pPr>
        <w:pStyle w:val="Kommentartext"/>
        <w:rPr>
          <w:lang w:val="it-CH"/>
        </w:rPr>
      </w:pPr>
      <w:r>
        <w:rPr>
          <w:rStyle w:val="Funotenzeichen"/>
        </w:rPr>
        <w:footnoteRef/>
      </w:r>
      <w:r>
        <w:t xml:space="preserve"> </w:t>
      </w:r>
      <w:r w:rsidR="00AE7285" w:rsidRPr="00155F70">
        <w:rPr>
          <w:lang w:val="it-CH"/>
        </w:rPr>
        <w:t xml:space="preserve">Secondo l’articolo 22 capoverso 2 OPT le concezioni </w:t>
      </w:r>
      <w:r w:rsidR="00AE7285" w:rsidRPr="00544F67">
        <w:rPr>
          <w:lang w:val="it-CH"/>
        </w:rPr>
        <w:t>e i piani settoriali vincolano inoltre organizzazioni e persone di diritto pubblico e privato che non appartengono all'amministrazione sempreché siano affidati loro compiti pubblici. Il Piano settoriale SAC e le relative indicazioni sono quindi vincolanti anche per gli enti organizzati secondo il diritto privato che riprendono compiti pubblici, come l’aeroporto, le FFS o l’approvvigionamento di energia elettrica.</w:t>
      </w:r>
      <w:r w:rsidR="00AE7285">
        <w:rPr>
          <w:rFonts w:ascii="Frutiger Neue" w:hAnsi="Frutiger Neue" w:cs="Arial"/>
          <w:color w:val="454545"/>
          <w:sz w:val="23"/>
          <w:szCs w:val="23"/>
          <w:lang w:val="it-IT"/>
        </w:rPr>
        <w:t xml:space="preserve"> </w:t>
      </w:r>
    </w:p>
    <w:p w14:paraId="75020DF1" w14:textId="1A4F0045" w:rsidR="00B07687" w:rsidRPr="00155F70" w:rsidRDefault="00B07687">
      <w:pPr>
        <w:pStyle w:val="Funotentext"/>
        <w:rPr>
          <w:sz w:val="20"/>
          <w:szCs w:val="20"/>
          <w:lang w:val="it-CH"/>
        </w:rPr>
      </w:pPr>
    </w:p>
  </w:footnote>
  <w:footnote w:id="19">
    <w:p w14:paraId="6292E97A" w14:textId="3C09448B" w:rsidR="00544F67" w:rsidRPr="00544F67" w:rsidRDefault="00544F6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44F67">
        <w:rPr>
          <w:sz w:val="20"/>
          <w:szCs w:val="20"/>
          <w:lang w:val="it-CH"/>
        </w:rPr>
        <w:t>I criteri sono descritti dettagliatamente nel rapporto esplicativo.</w:t>
      </w:r>
    </w:p>
  </w:footnote>
  <w:footnote w:id="20">
    <w:p w14:paraId="12CB89FA" w14:textId="77777777" w:rsidR="003435FE" w:rsidRPr="00960646" w:rsidRDefault="003435FE" w:rsidP="003435FE">
      <w:pPr>
        <w:pStyle w:val="KeinLeerraum"/>
        <w:rPr>
          <w:lang w:val="it-CH"/>
        </w:rPr>
      </w:pPr>
      <w:r>
        <w:rPr>
          <w:rStyle w:val="Funotenzeichen"/>
        </w:rPr>
        <w:footnoteRef/>
      </w:r>
      <w:r w:rsidRPr="00960646">
        <w:rPr>
          <w:lang w:val="it-CH"/>
        </w:rPr>
        <w:t xml:space="preserve">  Art. 22 cpv. 1 </w:t>
      </w:r>
      <w:proofErr w:type="spellStart"/>
      <w:r w:rsidRPr="00960646">
        <w:rPr>
          <w:lang w:val="it-CH"/>
        </w:rPr>
        <w:t>OTerm</w:t>
      </w:r>
      <w:proofErr w:type="spellEnd"/>
      <w:r w:rsidRPr="00960646">
        <w:rPr>
          <w:lang w:val="it-CH"/>
        </w:rPr>
        <w:t>: Per colture perenni s</w:t>
      </w:r>
      <w:r>
        <w:rPr>
          <w:lang w:val="it-CH"/>
        </w:rPr>
        <w:t>’</w:t>
      </w:r>
      <w:r w:rsidRPr="00960646">
        <w:rPr>
          <w:lang w:val="it-CH"/>
        </w:rPr>
        <w:t xml:space="preserve">intendono: vigneti; frutteti; colture pluriennali di bacche; piante medicinali e aromatiche pluriennali; luppolo; </w:t>
      </w:r>
      <w:r>
        <w:rPr>
          <w:lang w:val="it-CH"/>
        </w:rPr>
        <w:t>c</w:t>
      </w:r>
      <w:r w:rsidRPr="00960646">
        <w:rPr>
          <w:lang w:val="it-CH"/>
        </w:rPr>
        <w:t xml:space="preserve">olture pluriennali di ortaggi quali asparagi, rabarbaro e funghi in pieno campo; colture </w:t>
      </w:r>
      <w:proofErr w:type="spellStart"/>
      <w:r w:rsidRPr="00960646">
        <w:rPr>
          <w:lang w:val="it-CH"/>
        </w:rPr>
        <w:t>floriorticole</w:t>
      </w:r>
      <w:proofErr w:type="spellEnd"/>
      <w:r w:rsidRPr="00960646">
        <w:rPr>
          <w:lang w:val="it-CH"/>
        </w:rPr>
        <w:t xml:space="preserve"> in pieno campo quali vivai e arboreti al di fuori delle superfici boschive; selve curate di castagni con al massimo 100 alberi per ettaro; colture pluriennali quali alberi di Natale e canne (</w:t>
      </w:r>
      <w:proofErr w:type="spellStart"/>
      <w:r w:rsidRPr="00960646">
        <w:rPr>
          <w:lang w:val="it-CH"/>
        </w:rPr>
        <w:t>Miscanthus</w:t>
      </w:r>
      <w:proofErr w:type="spellEnd"/>
      <w:r w:rsidRPr="00960646">
        <w:rPr>
          <w:lang w:val="it-CH"/>
        </w:rPr>
        <w:t>).</w:t>
      </w:r>
    </w:p>
    <w:p w14:paraId="2578FD3C" w14:textId="77777777" w:rsidR="003435FE" w:rsidRPr="00960646" w:rsidRDefault="003435FE" w:rsidP="003435FE">
      <w:pPr>
        <w:pStyle w:val="Funotentext"/>
        <w:rPr>
          <w:lang w:val="it-CH"/>
        </w:rPr>
      </w:pPr>
    </w:p>
  </w:footnote>
  <w:footnote w:id="21">
    <w:p w14:paraId="22022DB4" w14:textId="77777777" w:rsidR="00826401" w:rsidRPr="00D66ED5" w:rsidRDefault="00826401" w:rsidP="00514917">
      <w:pPr>
        <w:pStyle w:val="KeinLeerraum"/>
        <w:rPr>
          <w:lang w:val="it-CH"/>
        </w:rPr>
      </w:pPr>
      <w:r>
        <w:rPr>
          <w:rStyle w:val="Funotenzeichen"/>
        </w:rPr>
        <w:footnoteRef/>
      </w:r>
      <w:r w:rsidRPr="00D66ED5">
        <w:rPr>
          <w:lang w:val="it-CH"/>
        </w:rPr>
        <w:t xml:space="preserve"> </w:t>
      </w:r>
      <w:r w:rsidRPr="00D66ED5">
        <w:rPr>
          <w:lang w:val="it-CH"/>
        </w:rPr>
        <w:tab/>
        <w:t>Uf</w:t>
      </w:r>
      <w:r>
        <w:rPr>
          <w:lang w:val="it-CH"/>
        </w:rPr>
        <w:t>ficio federale della statistica</w:t>
      </w:r>
      <w:r w:rsidRPr="00D66ED5">
        <w:rPr>
          <w:lang w:val="it-CH"/>
        </w:rPr>
        <w:t xml:space="preserve"> </w:t>
      </w:r>
      <w:r>
        <w:rPr>
          <w:lang w:val="it-CH"/>
        </w:rPr>
        <w:t>UST</w:t>
      </w:r>
      <w:r w:rsidRPr="00D66ED5">
        <w:rPr>
          <w:lang w:val="it-CH"/>
        </w:rPr>
        <w:t xml:space="preserve">: </w:t>
      </w:r>
      <w:r w:rsidRPr="00D66ED5">
        <w:rPr>
          <w:bCs/>
          <w:lang w:val="it-CH"/>
        </w:rPr>
        <w:t xml:space="preserve">Statistica della superficie </w:t>
      </w:r>
      <w:r w:rsidRPr="00D66ED5">
        <w:rPr>
          <w:lang w:val="it-CH"/>
        </w:rPr>
        <w:t xml:space="preserve">(stato 2004/09). (Nella statistica della superficie i terreni coltivi vengono definiti </w:t>
      </w:r>
      <w:r>
        <w:rPr>
          <w:lang w:val="it-CH"/>
        </w:rPr>
        <w:t>superfici</w:t>
      </w:r>
      <w:r w:rsidRPr="00D66ED5">
        <w:rPr>
          <w:lang w:val="it-CH"/>
        </w:rPr>
        <w:t xml:space="preserve"> agri</w:t>
      </w:r>
      <w:r>
        <w:rPr>
          <w:lang w:val="it-CH"/>
        </w:rPr>
        <w:t>cole</w:t>
      </w:r>
      <w:r w:rsidRPr="00D66ED5">
        <w:rPr>
          <w:lang w:val="it-CH"/>
        </w:rPr>
        <w:t>.)</w:t>
      </w:r>
    </w:p>
  </w:footnote>
  <w:footnote w:id="22">
    <w:p w14:paraId="48A0057E" w14:textId="109A2A00" w:rsidR="00826401" w:rsidRPr="00960646" w:rsidRDefault="00826401" w:rsidP="00514917">
      <w:pPr>
        <w:pStyle w:val="KeinLeerraum"/>
        <w:rPr>
          <w:lang w:val="it-CH"/>
        </w:rPr>
      </w:pPr>
      <w:r>
        <w:rPr>
          <w:rStyle w:val="Funotenzeichen"/>
        </w:rPr>
        <w:footnoteRef/>
      </w:r>
      <w:r w:rsidRPr="00960646">
        <w:rPr>
          <w:lang w:val="it-CH"/>
        </w:rPr>
        <w:t xml:space="preserve"> </w:t>
      </w:r>
      <w:r w:rsidRPr="00960646">
        <w:rPr>
          <w:lang w:val="it-CH"/>
        </w:rPr>
        <w:tab/>
        <w:t>Ufficio federale dell’agricoltura UF</w:t>
      </w:r>
      <w:r>
        <w:rPr>
          <w:lang w:val="it-CH"/>
        </w:rPr>
        <w:t xml:space="preserve">AG </w:t>
      </w:r>
      <w:r w:rsidRPr="00960646">
        <w:rPr>
          <w:lang w:val="it-CH"/>
        </w:rPr>
        <w:t xml:space="preserve">(2017): </w:t>
      </w:r>
      <w:r>
        <w:rPr>
          <w:lang w:val="it-CH"/>
        </w:rPr>
        <w:t>Rapporto agricolo</w:t>
      </w:r>
      <w:r w:rsidRPr="00960646">
        <w:rPr>
          <w:lang w:val="it-CH"/>
        </w:rPr>
        <w:t xml:space="preserve"> 2017. </w:t>
      </w:r>
      <w:hyperlink r:id="rId2" w:history="1">
        <w:r w:rsidRPr="00B35221">
          <w:rPr>
            <w:rStyle w:val="Hyperlink"/>
            <w:lang w:val="it-CH"/>
          </w:rPr>
          <w:t>https://agrarbericht.ch/it/azienda/strutture/superficie-agricola-utile</w:t>
        </w:r>
      </w:hyperlink>
      <w:r w:rsidRPr="00960646">
        <w:rPr>
          <w:lang w:val="it-CH"/>
        </w:rPr>
        <w:t>,</w:t>
      </w:r>
      <w:r>
        <w:rPr>
          <w:lang w:val="it-CH"/>
        </w:rPr>
        <w:t xml:space="preserve"> stato</w:t>
      </w:r>
      <w:r w:rsidRPr="00960646">
        <w:rPr>
          <w:lang w:val="it-CH"/>
        </w:rPr>
        <w:t>: 15.11.2017.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8FCC7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03DC84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1A6D1B"/>
    <w:multiLevelType w:val="hybridMultilevel"/>
    <w:tmpl w:val="EC368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62EAD"/>
    <w:multiLevelType w:val="hybridMultilevel"/>
    <w:tmpl w:val="BF4676B8"/>
    <w:lvl w:ilvl="0" w:tplc="E2962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0A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01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8D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D07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4D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6C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36A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89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15393A"/>
    <w:multiLevelType w:val="hybridMultilevel"/>
    <w:tmpl w:val="47BA0E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269E7"/>
    <w:multiLevelType w:val="hybridMultilevel"/>
    <w:tmpl w:val="41E8E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0155"/>
    <w:multiLevelType w:val="hybridMultilevel"/>
    <w:tmpl w:val="2174AB8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807DF"/>
    <w:multiLevelType w:val="hybridMultilevel"/>
    <w:tmpl w:val="5EC4DABA"/>
    <w:lvl w:ilvl="0" w:tplc="C2D26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E65A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49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6A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4C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383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6C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EC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89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2D65AFD"/>
    <w:multiLevelType w:val="multilevel"/>
    <w:tmpl w:val="67C6A2C6"/>
    <w:lvl w:ilvl="0">
      <w:start w:val="1"/>
      <w:numFmt w:val="lowerLetter"/>
      <w:pStyle w:val="ListeAlphabet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0"/>
        <w:u w:color="00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0"/>
        <w:u w:color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FD30AB"/>
    <w:multiLevelType w:val="hybridMultilevel"/>
    <w:tmpl w:val="A8F06932"/>
    <w:lvl w:ilvl="0" w:tplc="3710C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24860">
      <w:start w:val="11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44A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26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A4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48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0B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C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61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3C0FE5"/>
    <w:multiLevelType w:val="hybridMultilevel"/>
    <w:tmpl w:val="F166643C"/>
    <w:lvl w:ilvl="0" w:tplc="0807000B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774FC"/>
    <w:multiLevelType w:val="multilevel"/>
    <w:tmpl w:val="AA089410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5"/>
        </w:tabs>
        <w:ind w:left="1135" w:hanging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AD84C42"/>
    <w:multiLevelType w:val="hybridMultilevel"/>
    <w:tmpl w:val="B00401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313DF"/>
    <w:multiLevelType w:val="hybridMultilevel"/>
    <w:tmpl w:val="720E14AE"/>
    <w:lvl w:ilvl="0" w:tplc="0807000B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C3811"/>
    <w:multiLevelType w:val="hybridMultilevel"/>
    <w:tmpl w:val="B9F0C124"/>
    <w:lvl w:ilvl="0" w:tplc="F6C80248">
      <w:start w:val="1"/>
      <w:numFmt w:val="decimal"/>
      <w:lvlText w:val="P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E05DAF"/>
    <w:multiLevelType w:val="hybridMultilevel"/>
    <w:tmpl w:val="A6C4294A"/>
    <w:lvl w:ilvl="0" w:tplc="76540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7834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660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BAA1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08C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CD7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42D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CAA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65B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3D6F12C4"/>
    <w:multiLevelType w:val="hybridMultilevel"/>
    <w:tmpl w:val="58F4DF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D14"/>
    <w:multiLevelType w:val="hybridMultilevel"/>
    <w:tmpl w:val="634A8656"/>
    <w:lvl w:ilvl="0" w:tplc="0918276C">
      <w:start w:val="1"/>
      <w:numFmt w:val="decimal"/>
      <w:lvlText w:val="P%1"/>
      <w:lvlJc w:val="left"/>
      <w:pPr>
        <w:ind w:left="360" w:hanging="360"/>
      </w:pPr>
      <w:rPr>
        <w:rFonts w:ascii="Arial" w:hAnsi="Arial" w:hint="default"/>
        <w:b/>
        <w:i/>
        <w:caps w:val="0"/>
        <w:strike w:val="0"/>
        <w:dstrike w:val="0"/>
        <w:vanish w:val="0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5643FF"/>
    <w:multiLevelType w:val="hybridMultilevel"/>
    <w:tmpl w:val="1D1076A4"/>
    <w:lvl w:ilvl="0" w:tplc="207CA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61FAC"/>
    <w:multiLevelType w:val="hybridMultilevel"/>
    <w:tmpl w:val="A878804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ED0F1D"/>
    <w:multiLevelType w:val="hybridMultilevel"/>
    <w:tmpl w:val="EC88B0BC"/>
    <w:lvl w:ilvl="0" w:tplc="E6F86B18">
      <w:start w:val="1"/>
      <w:numFmt w:val="bullet"/>
      <w:pStyle w:val="ListePunk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E302B"/>
    <w:multiLevelType w:val="hybridMultilevel"/>
    <w:tmpl w:val="19508E06"/>
    <w:lvl w:ilvl="0" w:tplc="E3A49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E82D0">
      <w:start w:val="11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23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E69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0E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26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B6E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A2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B4A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7F670D"/>
    <w:multiLevelType w:val="hybridMultilevel"/>
    <w:tmpl w:val="6C08D64C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41EF6"/>
    <w:multiLevelType w:val="hybridMultilevel"/>
    <w:tmpl w:val="E7E27A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04DBF"/>
    <w:multiLevelType w:val="hybridMultilevel"/>
    <w:tmpl w:val="A4641C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C5985"/>
    <w:multiLevelType w:val="hybridMultilevel"/>
    <w:tmpl w:val="A22E66EC"/>
    <w:lvl w:ilvl="0" w:tplc="3E60416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058A0"/>
    <w:multiLevelType w:val="hybridMultilevel"/>
    <w:tmpl w:val="92D0B58E"/>
    <w:lvl w:ilvl="0" w:tplc="0D2463B6">
      <w:start w:val="1"/>
      <w:numFmt w:val="decimal"/>
      <w:lvlText w:val="I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487266"/>
    <w:multiLevelType w:val="hybridMultilevel"/>
    <w:tmpl w:val="553C42F4"/>
    <w:lvl w:ilvl="0" w:tplc="9C14301A">
      <w:start w:val="1"/>
      <w:numFmt w:val="bullet"/>
      <w:pStyle w:val="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8"/>
  </w:num>
  <w:num w:numId="5">
    <w:abstractNumId w:val="29"/>
  </w:num>
  <w:num w:numId="6">
    <w:abstractNumId w:val="21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8"/>
  </w:num>
  <w:num w:numId="11">
    <w:abstractNumId w:val="15"/>
  </w:num>
  <w:num w:numId="12">
    <w:abstractNumId w:val="26"/>
  </w:num>
  <w:num w:numId="13">
    <w:abstractNumId w:val="6"/>
  </w:num>
  <w:num w:numId="14">
    <w:abstractNumId w:val="20"/>
  </w:num>
  <w:num w:numId="15">
    <w:abstractNumId w:val="23"/>
  </w:num>
  <w:num w:numId="16">
    <w:abstractNumId w:val="17"/>
  </w:num>
  <w:num w:numId="17">
    <w:abstractNumId w:val="16"/>
  </w:num>
  <w:num w:numId="18">
    <w:abstractNumId w:val="19"/>
  </w:num>
  <w:num w:numId="19">
    <w:abstractNumId w:val="7"/>
  </w:num>
  <w:num w:numId="20">
    <w:abstractNumId w:val="9"/>
  </w:num>
  <w:num w:numId="21">
    <w:abstractNumId w:val="22"/>
  </w:num>
  <w:num w:numId="22">
    <w:abstractNumId w:val="3"/>
  </w:num>
  <w:num w:numId="23">
    <w:abstractNumId w:val="25"/>
  </w:num>
  <w:num w:numId="24">
    <w:abstractNumId w:val="4"/>
  </w:num>
  <w:num w:numId="25">
    <w:abstractNumId w:val="5"/>
  </w:num>
  <w:num w:numId="26">
    <w:abstractNumId w:val="27"/>
  </w:num>
  <w:num w:numId="27">
    <w:abstractNumId w:val="10"/>
  </w:num>
  <w:num w:numId="28">
    <w:abstractNumId w:val="13"/>
  </w:num>
  <w:num w:numId="29">
    <w:abstractNumId w:val="18"/>
  </w:num>
  <w:num w:numId="30">
    <w:abstractNumId w:val="12"/>
  </w:num>
  <w:num w:numId="31">
    <w:abstractNumId w:val="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mirrorMargins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D7"/>
    <w:rsid w:val="000001B4"/>
    <w:rsid w:val="000016A8"/>
    <w:rsid w:val="0000179F"/>
    <w:rsid w:val="0000229A"/>
    <w:rsid w:val="00002807"/>
    <w:rsid w:val="000028BB"/>
    <w:rsid w:val="00002DF8"/>
    <w:rsid w:val="00002E06"/>
    <w:rsid w:val="00003674"/>
    <w:rsid w:val="000036BA"/>
    <w:rsid w:val="00003A16"/>
    <w:rsid w:val="00003A70"/>
    <w:rsid w:val="00004862"/>
    <w:rsid w:val="000048B9"/>
    <w:rsid w:val="000048F0"/>
    <w:rsid w:val="0000570A"/>
    <w:rsid w:val="00005784"/>
    <w:rsid w:val="00005C0E"/>
    <w:rsid w:val="0000614B"/>
    <w:rsid w:val="000065FE"/>
    <w:rsid w:val="0000663E"/>
    <w:rsid w:val="000066B7"/>
    <w:rsid w:val="00006D70"/>
    <w:rsid w:val="00006F94"/>
    <w:rsid w:val="00007049"/>
    <w:rsid w:val="000071CB"/>
    <w:rsid w:val="000072B4"/>
    <w:rsid w:val="00007793"/>
    <w:rsid w:val="00007C7E"/>
    <w:rsid w:val="00007DB0"/>
    <w:rsid w:val="00007EE0"/>
    <w:rsid w:val="00007EF9"/>
    <w:rsid w:val="0001070B"/>
    <w:rsid w:val="00010942"/>
    <w:rsid w:val="000119E3"/>
    <w:rsid w:val="00011B41"/>
    <w:rsid w:val="00011F6A"/>
    <w:rsid w:val="00012211"/>
    <w:rsid w:val="00012292"/>
    <w:rsid w:val="00012BF8"/>
    <w:rsid w:val="00012DD4"/>
    <w:rsid w:val="00014429"/>
    <w:rsid w:val="00014B95"/>
    <w:rsid w:val="00014D09"/>
    <w:rsid w:val="00014FF6"/>
    <w:rsid w:val="0001598B"/>
    <w:rsid w:val="00016313"/>
    <w:rsid w:val="0001640A"/>
    <w:rsid w:val="0001655A"/>
    <w:rsid w:val="00016B6C"/>
    <w:rsid w:val="00016F82"/>
    <w:rsid w:val="000173AB"/>
    <w:rsid w:val="0001778C"/>
    <w:rsid w:val="00020624"/>
    <w:rsid w:val="00020D88"/>
    <w:rsid w:val="000210B1"/>
    <w:rsid w:val="00021C91"/>
    <w:rsid w:val="00021DC6"/>
    <w:rsid w:val="00022779"/>
    <w:rsid w:val="0002299F"/>
    <w:rsid w:val="00022E2A"/>
    <w:rsid w:val="00022FE3"/>
    <w:rsid w:val="000230E6"/>
    <w:rsid w:val="000232DA"/>
    <w:rsid w:val="00023C79"/>
    <w:rsid w:val="00023CBB"/>
    <w:rsid w:val="000241C4"/>
    <w:rsid w:val="00025238"/>
    <w:rsid w:val="00025C8F"/>
    <w:rsid w:val="00026E0E"/>
    <w:rsid w:val="00026E17"/>
    <w:rsid w:val="00026E20"/>
    <w:rsid w:val="00026EF6"/>
    <w:rsid w:val="000300E6"/>
    <w:rsid w:val="00030261"/>
    <w:rsid w:val="00030287"/>
    <w:rsid w:val="000319AE"/>
    <w:rsid w:val="00031A67"/>
    <w:rsid w:val="00031AFB"/>
    <w:rsid w:val="0003288C"/>
    <w:rsid w:val="00032C96"/>
    <w:rsid w:val="00032D3D"/>
    <w:rsid w:val="00033AB5"/>
    <w:rsid w:val="00034817"/>
    <w:rsid w:val="000349EF"/>
    <w:rsid w:val="00035024"/>
    <w:rsid w:val="00035D75"/>
    <w:rsid w:val="00036154"/>
    <w:rsid w:val="00036237"/>
    <w:rsid w:val="00036635"/>
    <w:rsid w:val="00037139"/>
    <w:rsid w:val="00037BBE"/>
    <w:rsid w:val="0004055D"/>
    <w:rsid w:val="00040714"/>
    <w:rsid w:val="00040A46"/>
    <w:rsid w:val="0004150F"/>
    <w:rsid w:val="00041DC3"/>
    <w:rsid w:val="00042346"/>
    <w:rsid w:val="00043073"/>
    <w:rsid w:val="00043846"/>
    <w:rsid w:val="00043A97"/>
    <w:rsid w:val="000441EB"/>
    <w:rsid w:val="00044221"/>
    <w:rsid w:val="0004503F"/>
    <w:rsid w:val="0004527B"/>
    <w:rsid w:val="0004550A"/>
    <w:rsid w:val="00045D56"/>
    <w:rsid w:val="00046B5E"/>
    <w:rsid w:val="00046D30"/>
    <w:rsid w:val="00046DC8"/>
    <w:rsid w:val="000470F0"/>
    <w:rsid w:val="0004728C"/>
    <w:rsid w:val="00047716"/>
    <w:rsid w:val="000504C9"/>
    <w:rsid w:val="0005087B"/>
    <w:rsid w:val="00051DA6"/>
    <w:rsid w:val="00051EC4"/>
    <w:rsid w:val="00052635"/>
    <w:rsid w:val="00052943"/>
    <w:rsid w:val="00053C84"/>
    <w:rsid w:val="000547DE"/>
    <w:rsid w:val="00056029"/>
    <w:rsid w:val="00057967"/>
    <w:rsid w:val="00057FA3"/>
    <w:rsid w:val="0006003C"/>
    <w:rsid w:val="000601BC"/>
    <w:rsid w:val="000603E2"/>
    <w:rsid w:val="0006051C"/>
    <w:rsid w:val="000616BC"/>
    <w:rsid w:val="000619DF"/>
    <w:rsid w:val="00061B22"/>
    <w:rsid w:val="00061BB2"/>
    <w:rsid w:val="000620EC"/>
    <w:rsid w:val="00062480"/>
    <w:rsid w:val="000625FF"/>
    <w:rsid w:val="0006314E"/>
    <w:rsid w:val="000631D1"/>
    <w:rsid w:val="0006394E"/>
    <w:rsid w:val="00063EC8"/>
    <w:rsid w:val="0006460C"/>
    <w:rsid w:val="000646C2"/>
    <w:rsid w:val="00064E3E"/>
    <w:rsid w:val="00065ACA"/>
    <w:rsid w:val="00065E61"/>
    <w:rsid w:val="00065F24"/>
    <w:rsid w:val="000672B7"/>
    <w:rsid w:val="0006746E"/>
    <w:rsid w:val="0006770F"/>
    <w:rsid w:val="00067EBB"/>
    <w:rsid w:val="0007017F"/>
    <w:rsid w:val="00071756"/>
    <w:rsid w:val="000717DA"/>
    <w:rsid w:val="00071D1F"/>
    <w:rsid w:val="00072DDF"/>
    <w:rsid w:val="00072E10"/>
    <w:rsid w:val="000738B2"/>
    <w:rsid w:val="00073CF5"/>
    <w:rsid w:val="000746BD"/>
    <w:rsid w:val="00074949"/>
    <w:rsid w:val="00074B94"/>
    <w:rsid w:val="00074FD4"/>
    <w:rsid w:val="000756CF"/>
    <w:rsid w:val="00076595"/>
    <w:rsid w:val="000765A4"/>
    <w:rsid w:val="00076643"/>
    <w:rsid w:val="00076A20"/>
    <w:rsid w:val="00076CA7"/>
    <w:rsid w:val="00080596"/>
    <w:rsid w:val="00080809"/>
    <w:rsid w:val="00080DE0"/>
    <w:rsid w:val="00080EFC"/>
    <w:rsid w:val="00081177"/>
    <w:rsid w:val="00081244"/>
    <w:rsid w:val="00081609"/>
    <w:rsid w:val="00081A6C"/>
    <w:rsid w:val="000820D1"/>
    <w:rsid w:val="000822A1"/>
    <w:rsid w:val="00082AB6"/>
    <w:rsid w:val="00082C84"/>
    <w:rsid w:val="00082D1F"/>
    <w:rsid w:val="00082F30"/>
    <w:rsid w:val="00083717"/>
    <w:rsid w:val="00083885"/>
    <w:rsid w:val="000838B5"/>
    <w:rsid w:val="00084BE2"/>
    <w:rsid w:val="00085185"/>
    <w:rsid w:val="000851E8"/>
    <w:rsid w:val="000859CB"/>
    <w:rsid w:val="00085EA5"/>
    <w:rsid w:val="00086D19"/>
    <w:rsid w:val="00086E74"/>
    <w:rsid w:val="000872A3"/>
    <w:rsid w:val="00087781"/>
    <w:rsid w:val="000878FA"/>
    <w:rsid w:val="00087AD3"/>
    <w:rsid w:val="0009014A"/>
    <w:rsid w:val="00090161"/>
    <w:rsid w:val="00090612"/>
    <w:rsid w:val="00090FFF"/>
    <w:rsid w:val="00091266"/>
    <w:rsid w:val="00091EA5"/>
    <w:rsid w:val="00092A4D"/>
    <w:rsid w:val="000930E9"/>
    <w:rsid w:val="00093244"/>
    <w:rsid w:val="00093C03"/>
    <w:rsid w:val="000941C2"/>
    <w:rsid w:val="00094681"/>
    <w:rsid w:val="00095B84"/>
    <w:rsid w:val="00096AAD"/>
    <w:rsid w:val="000A0086"/>
    <w:rsid w:val="000A0484"/>
    <w:rsid w:val="000A05D0"/>
    <w:rsid w:val="000A0A3A"/>
    <w:rsid w:val="000A102E"/>
    <w:rsid w:val="000A2B94"/>
    <w:rsid w:val="000A59AC"/>
    <w:rsid w:val="000A5C95"/>
    <w:rsid w:val="000A6F53"/>
    <w:rsid w:val="000A6FD1"/>
    <w:rsid w:val="000A7143"/>
    <w:rsid w:val="000A7D67"/>
    <w:rsid w:val="000B0C07"/>
    <w:rsid w:val="000B0FD6"/>
    <w:rsid w:val="000B144E"/>
    <w:rsid w:val="000B23A4"/>
    <w:rsid w:val="000B3E93"/>
    <w:rsid w:val="000B42A6"/>
    <w:rsid w:val="000B4619"/>
    <w:rsid w:val="000B4803"/>
    <w:rsid w:val="000B4C79"/>
    <w:rsid w:val="000B53DC"/>
    <w:rsid w:val="000B53EC"/>
    <w:rsid w:val="000B546B"/>
    <w:rsid w:val="000B56B2"/>
    <w:rsid w:val="000B5E89"/>
    <w:rsid w:val="000B6288"/>
    <w:rsid w:val="000B651B"/>
    <w:rsid w:val="000B67D6"/>
    <w:rsid w:val="000B7166"/>
    <w:rsid w:val="000B7B54"/>
    <w:rsid w:val="000C093D"/>
    <w:rsid w:val="000C14A1"/>
    <w:rsid w:val="000C15CD"/>
    <w:rsid w:val="000C1671"/>
    <w:rsid w:val="000C1D9A"/>
    <w:rsid w:val="000C2B83"/>
    <w:rsid w:val="000C2ECF"/>
    <w:rsid w:val="000C3832"/>
    <w:rsid w:val="000C3A22"/>
    <w:rsid w:val="000C448E"/>
    <w:rsid w:val="000C4B33"/>
    <w:rsid w:val="000C5A6F"/>
    <w:rsid w:val="000C5BC0"/>
    <w:rsid w:val="000C5F6F"/>
    <w:rsid w:val="000C5FC5"/>
    <w:rsid w:val="000C6BA4"/>
    <w:rsid w:val="000C70F0"/>
    <w:rsid w:val="000D21B1"/>
    <w:rsid w:val="000D2276"/>
    <w:rsid w:val="000D2786"/>
    <w:rsid w:val="000D27F7"/>
    <w:rsid w:val="000D291E"/>
    <w:rsid w:val="000D3C44"/>
    <w:rsid w:val="000D406B"/>
    <w:rsid w:val="000D42AC"/>
    <w:rsid w:val="000D45C0"/>
    <w:rsid w:val="000D45CA"/>
    <w:rsid w:val="000D47F6"/>
    <w:rsid w:val="000D52EB"/>
    <w:rsid w:val="000D564C"/>
    <w:rsid w:val="000D6B4E"/>
    <w:rsid w:val="000D725F"/>
    <w:rsid w:val="000D785F"/>
    <w:rsid w:val="000D7DEA"/>
    <w:rsid w:val="000E0797"/>
    <w:rsid w:val="000E07F0"/>
    <w:rsid w:val="000E0979"/>
    <w:rsid w:val="000E1110"/>
    <w:rsid w:val="000E14A2"/>
    <w:rsid w:val="000E1E7C"/>
    <w:rsid w:val="000E2609"/>
    <w:rsid w:val="000E2827"/>
    <w:rsid w:val="000E2C0A"/>
    <w:rsid w:val="000E2FDA"/>
    <w:rsid w:val="000E37DE"/>
    <w:rsid w:val="000E382B"/>
    <w:rsid w:val="000E3B15"/>
    <w:rsid w:val="000E4EB6"/>
    <w:rsid w:val="000E5628"/>
    <w:rsid w:val="000E58B2"/>
    <w:rsid w:val="000E6BC1"/>
    <w:rsid w:val="000E7334"/>
    <w:rsid w:val="000E74E3"/>
    <w:rsid w:val="000E766A"/>
    <w:rsid w:val="000E7C18"/>
    <w:rsid w:val="000F0B99"/>
    <w:rsid w:val="000F14B4"/>
    <w:rsid w:val="000F14E5"/>
    <w:rsid w:val="000F2785"/>
    <w:rsid w:val="000F2A74"/>
    <w:rsid w:val="000F2C72"/>
    <w:rsid w:val="000F2C84"/>
    <w:rsid w:val="000F39AC"/>
    <w:rsid w:val="000F462A"/>
    <w:rsid w:val="000F4684"/>
    <w:rsid w:val="000F4B0B"/>
    <w:rsid w:val="000F4FEE"/>
    <w:rsid w:val="000F66E9"/>
    <w:rsid w:val="000F68D2"/>
    <w:rsid w:val="000F6E9C"/>
    <w:rsid w:val="000F6EA2"/>
    <w:rsid w:val="001005CF"/>
    <w:rsid w:val="001006BD"/>
    <w:rsid w:val="00100B42"/>
    <w:rsid w:val="001011EA"/>
    <w:rsid w:val="0010172D"/>
    <w:rsid w:val="0010190C"/>
    <w:rsid w:val="00101EB1"/>
    <w:rsid w:val="0010256F"/>
    <w:rsid w:val="00102578"/>
    <w:rsid w:val="00102A2F"/>
    <w:rsid w:val="00102BB4"/>
    <w:rsid w:val="00102C52"/>
    <w:rsid w:val="00103447"/>
    <w:rsid w:val="001035C5"/>
    <w:rsid w:val="0010397C"/>
    <w:rsid w:val="0010457E"/>
    <w:rsid w:val="0010465D"/>
    <w:rsid w:val="001057C2"/>
    <w:rsid w:val="00105DAD"/>
    <w:rsid w:val="001065E9"/>
    <w:rsid w:val="00107C49"/>
    <w:rsid w:val="00107E36"/>
    <w:rsid w:val="0011007A"/>
    <w:rsid w:val="00110209"/>
    <w:rsid w:val="00110CFA"/>
    <w:rsid w:val="00110F49"/>
    <w:rsid w:val="00110F83"/>
    <w:rsid w:val="00111115"/>
    <w:rsid w:val="0011118E"/>
    <w:rsid w:val="001119D0"/>
    <w:rsid w:val="00112DEE"/>
    <w:rsid w:val="001135FA"/>
    <w:rsid w:val="0011394E"/>
    <w:rsid w:val="00113B91"/>
    <w:rsid w:val="00113DFF"/>
    <w:rsid w:val="0011418E"/>
    <w:rsid w:val="00114907"/>
    <w:rsid w:val="00114B9D"/>
    <w:rsid w:val="0011595A"/>
    <w:rsid w:val="00115ACA"/>
    <w:rsid w:val="00116D99"/>
    <w:rsid w:val="00117696"/>
    <w:rsid w:val="0011770A"/>
    <w:rsid w:val="00117F25"/>
    <w:rsid w:val="00120BD6"/>
    <w:rsid w:val="00120FDC"/>
    <w:rsid w:val="00121292"/>
    <w:rsid w:val="001222BD"/>
    <w:rsid w:val="001223D0"/>
    <w:rsid w:val="0012284C"/>
    <w:rsid w:val="001229D8"/>
    <w:rsid w:val="00122CC4"/>
    <w:rsid w:val="00122E33"/>
    <w:rsid w:val="00123481"/>
    <w:rsid w:val="0012368F"/>
    <w:rsid w:val="00123C88"/>
    <w:rsid w:val="00124B07"/>
    <w:rsid w:val="00124FFA"/>
    <w:rsid w:val="001259B6"/>
    <w:rsid w:val="00126043"/>
    <w:rsid w:val="00126C5B"/>
    <w:rsid w:val="00127107"/>
    <w:rsid w:val="00127D0A"/>
    <w:rsid w:val="001303F7"/>
    <w:rsid w:val="001305B5"/>
    <w:rsid w:val="00130837"/>
    <w:rsid w:val="00130B97"/>
    <w:rsid w:val="00130CF1"/>
    <w:rsid w:val="001316A8"/>
    <w:rsid w:val="001319F7"/>
    <w:rsid w:val="00132382"/>
    <w:rsid w:val="00133E92"/>
    <w:rsid w:val="00134157"/>
    <w:rsid w:val="00134B66"/>
    <w:rsid w:val="00134D89"/>
    <w:rsid w:val="001351FB"/>
    <w:rsid w:val="00135388"/>
    <w:rsid w:val="00135409"/>
    <w:rsid w:val="00135878"/>
    <w:rsid w:val="001358BF"/>
    <w:rsid w:val="0013632D"/>
    <w:rsid w:val="001363AD"/>
    <w:rsid w:val="00136C50"/>
    <w:rsid w:val="00137455"/>
    <w:rsid w:val="00137461"/>
    <w:rsid w:val="00137D76"/>
    <w:rsid w:val="00137D84"/>
    <w:rsid w:val="00137ED5"/>
    <w:rsid w:val="001400B4"/>
    <w:rsid w:val="0014085E"/>
    <w:rsid w:val="00140C03"/>
    <w:rsid w:val="00140F9D"/>
    <w:rsid w:val="0014150F"/>
    <w:rsid w:val="001415C9"/>
    <w:rsid w:val="00141638"/>
    <w:rsid w:val="00141DC8"/>
    <w:rsid w:val="00142196"/>
    <w:rsid w:val="00142697"/>
    <w:rsid w:val="001429C0"/>
    <w:rsid w:val="001433C7"/>
    <w:rsid w:val="00143618"/>
    <w:rsid w:val="001436F4"/>
    <w:rsid w:val="00143CBA"/>
    <w:rsid w:val="00143DAD"/>
    <w:rsid w:val="001440FA"/>
    <w:rsid w:val="00144398"/>
    <w:rsid w:val="001445E3"/>
    <w:rsid w:val="001447BE"/>
    <w:rsid w:val="00144862"/>
    <w:rsid w:val="00144FAB"/>
    <w:rsid w:val="0014540C"/>
    <w:rsid w:val="0014558D"/>
    <w:rsid w:val="00146054"/>
    <w:rsid w:val="001464BC"/>
    <w:rsid w:val="00146614"/>
    <w:rsid w:val="00146E3B"/>
    <w:rsid w:val="00147031"/>
    <w:rsid w:val="001472EC"/>
    <w:rsid w:val="001473E0"/>
    <w:rsid w:val="00150BAB"/>
    <w:rsid w:val="00152843"/>
    <w:rsid w:val="00152856"/>
    <w:rsid w:val="0015335A"/>
    <w:rsid w:val="0015355A"/>
    <w:rsid w:val="0015364F"/>
    <w:rsid w:val="00153669"/>
    <w:rsid w:val="0015387A"/>
    <w:rsid w:val="00153FAD"/>
    <w:rsid w:val="00155F70"/>
    <w:rsid w:val="001561AB"/>
    <w:rsid w:val="00157509"/>
    <w:rsid w:val="00157943"/>
    <w:rsid w:val="0016016D"/>
    <w:rsid w:val="00160F53"/>
    <w:rsid w:val="00162A09"/>
    <w:rsid w:val="00162C4B"/>
    <w:rsid w:val="00162D33"/>
    <w:rsid w:val="00166649"/>
    <w:rsid w:val="00166797"/>
    <w:rsid w:val="00166A00"/>
    <w:rsid w:val="00166C10"/>
    <w:rsid w:val="00166D5C"/>
    <w:rsid w:val="001671FB"/>
    <w:rsid w:val="0016725D"/>
    <w:rsid w:val="001672BC"/>
    <w:rsid w:val="001677A1"/>
    <w:rsid w:val="00167F3B"/>
    <w:rsid w:val="0017052C"/>
    <w:rsid w:val="001705A4"/>
    <w:rsid w:val="001710B9"/>
    <w:rsid w:val="00171B40"/>
    <w:rsid w:val="00171CF7"/>
    <w:rsid w:val="0017204A"/>
    <w:rsid w:val="00172FD9"/>
    <w:rsid w:val="001741A6"/>
    <w:rsid w:val="001742A2"/>
    <w:rsid w:val="00174C02"/>
    <w:rsid w:val="00174D86"/>
    <w:rsid w:val="00175823"/>
    <w:rsid w:val="00175864"/>
    <w:rsid w:val="00175A97"/>
    <w:rsid w:val="00175B9F"/>
    <w:rsid w:val="00175C94"/>
    <w:rsid w:val="00176186"/>
    <w:rsid w:val="0017692D"/>
    <w:rsid w:val="00177EEE"/>
    <w:rsid w:val="001805F6"/>
    <w:rsid w:val="00180761"/>
    <w:rsid w:val="00180AA0"/>
    <w:rsid w:val="00180FA8"/>
    <w:rsid w:val="001815B2"/>
    <w:rsid w:val="00181780"/>
    <w:rsid w:val="001823C5"/>
    <w:rsid w:val="001825D3"/>
    <w:rsid w:val="00182D8D"/>
    <w:rsid w:val="00183A92"/>
    <w:rsid w:val="00183B4E"/>
    <w:rsid w:val="00183BC1"/>
    <w:rsid w:val="00183CC3"/>
    <w:rsid w:val="001842F9"/>
    <w:rsid w:val="00185341"/>
    <w:rsid w:val="0018713B"/>
    <w:rsid w:val="00187A29"/>
    <w:rsid w:val="00187D4D"/>
    <w:rsid w:val="00187EF1"/>
    <w:rsid w:val="00187F5F"/>
    <w:rsid w:val="0019076A"/>
    <w:rsid w:val="00192204"/>
    <w:rsid w:val="001922F4"/>
    <w:rsid w:val="0019267B"/>
    <w:rsid w:val="00192AFE"/>
    <w:rsid w:val="00192FA2"/>
    <w:rsid w:val="00193345"/>
    <w:rsid w:val="001942E3"/>
    <w:rsid w:val="00194583"/>
    <w:rsid w:val="00194CEA"/>
    <w:rsid w:val="00195738"/>
    <w:rsid w:val="00195E03"/>
    <w:rsid w:val="00196119"/>
    <w:rsid w:val="0019625A"/>
    <w:rsid w:val="00197F76"/>
    <w:rsid w:val="00197F7F"/>
    <w:rsid w:val="001A01CF"/>
    <w:rsid w:val="001A0C33"/>
    <w:rsid w:val="001A16DA"/>
    <w:rsid w:val="001A1910"/>
    <w:rsid w:val="001A1DE6"/>
    <w:rsid w:val="001A201C"/>
    <w:rsid w:val="001A26FA"/>
    <w:rsid w:val="001A291B"/>
    <w:rsid w:val="001A2E4A"/>
    <w:rsid w:val="001A33B7"/>
    <w:rsid w:val="001A33D1"/>
    <w:rsid w:val="001A33EE"/>
    <w:rsid w:val="001A4F00"/>
    <w:rsid w:val="001A4F30"/>
    <w:rsid w:val="001A6519"/>
    <w:rsid w:val="001A6664"/>
    <w:rsid w:val="001A7378"/>
    <w:rsid w:val="001B0804"/>
    <w:rsid w:val="001B0B16"/>
    <w:rsid w:val="001B1EB1"/>
    <w:rsid w:val="001B28F9"/>
    <w:rsid w:val="001B594D"/>
    <w:rsid w:val="001B6557"/>
    <w:rsid w:val="001B6BE0"/>
    <w:rsid w:val="001B6C44"/>
    <w:rsid w:val="001B6C8A"/>
    <w:rsid w:val="001B6D5D"/>
    <w:rsid w:val="001B6DF1"/>
    <w:rsid w:val="001B785C"/>
    <w:rsid w:val="001C000B"/>
    <w:rsid w:val="001C1077"/>
    <w:rsid w:val="001C14E0"/>
    <w:rsid w:val="001C1591"/>
    <w:rsid w:val="001C17CC"/>
    <w:rsid w:val="001C1ACA"/>
    <w:rsid w:val="001C1DAA"/>
    <w:rsid w:val="001C20F9"/>
    <w:rsid w:val="001C2345"/>
    <w:rsid w:val="001C2400"/>
    <w:rsid w:val="001C2FD5"/>
    <w:rsid w:val="001C333F"/>
    <w:rsid w:val="001C3A94"/>
    <w:rsid w:val="001C3D37"/>
    <w:rsid w:val="001C4CA3"/>
    <w:rsid w:val="001C5519"/>
    <w:rsid w:val="001C57C7"/>
    <w:rsid w:val="001C5FF4"/>
    <w:rsid w:val="001C636F"/>
    <w:rsid w:val="001C672F"/>
    <w:rsid w:val="001C6AD1"/>
    <w:rsid w:val="001C6E79"/>
    <w:rsid w:val="001C7249"/>
    <w:rsid w:val="001C7306"/>
    <w:rsid w:val="001C7B29"/>
    <w:rsid w:val="001D0180"/>
    <w:rsid w:val="001D0CD5"/>
    <w:rsid w:val="001D11A4"/>
    <w:rsid w:val="001D244A"/>
    <w:rsid w:val="001D2830"/>
    <w:rsid w:val="001D38FE"/>
    <w:rsid w:val="001D4CCE"/>
    <w:rsid w:val="001D4DDA"/>
    <w:rsid w:val="001D4EDF"/>
    <w:rsid w:val="001D5593"/>
    <w:rsid w:val="001D61AE"/>
    <w:rsid w:val="001D687F"/>
    <w:rsid w:val="001D6906"/>
    <w:rsid w:val="001D6AC5"/>
    <w:rsid w:val="001D6CA7"/>
    <w:rsid w:val="001D6E1E"/>
    <w:rsid w:val="001D7FCD"/>
    <w:rsid w:val="001E0135"/>
    <w:rsid w:val="001E074E"/>
    <w:rsid w:val="001E0796"/>
    <w:rsid w:val="001E0B57"/>
    <w:rsid w:val="001E1F01"/>
    <w:rsid w:val="001E2443"/>
    <w:rsid w:val="001E2680"/>
    <w:rsid w:val="001E2FBF"/>
    <w:rsid w:val="001E2FEE"/>
    <w:rsid w:val="001E46D4"/>
    <w:rsid w:val="001E5EC2"/>
    <w:rsid w:val="001E6236"/>
    <w:rsid w:val="001E64C2"/>
    <w:rsid w:val="001E733B"/>
    <w:rsid w:val="001E7906"/>
    <w:rsid w:val="001E7E14"/>
    <w:rsid w:val="001E7E6C"/>
    <w:rsid w:val="001F0BC1"/>
    <w:rsid w:val="001F0FF8"/>
    <w:rsid w:val="001F1B98"/>
    <w:rsid w:val="001F20D2"/>
    <w:rsid w:val="001F219F"/>
    <w:rsid w:val="001F37B0"/>
    <w:rsid w:val="001F5660"/>
    <w:rsid w:val="001F5AEB"/>
    <w:rsid w:val="001F5BC4"/>
    <w:rsid w:val="001F607A"/>
    <w:rsid w:val="001F703E"/>
    <w:rsid w:val="001F7177"/>
    <w:rsid w:val="001F717B"/>
    <w:rsid w:val="001F7712"/>
    <w:rsid w:val="002005B4"/>
    <w:rsid w:val="00200FC1"/>
    <w:rsid w:val="00201031"/>
    <w:rsid w:val="002014A5"/>
    <w:rsid w:val="00201802"/>
    <w:rsid w:val="00201A8E"/>
    <w:rsid w:val="00201F32"/>
    <w:rsid w:val="00201F73"/>
    <w:rsid w:val="00202C32"/>
    <w:rsid w:val="00202E4E"/>
    <w:rsid w:val="002031EB"/>
    <w:rsid w:val="00203528"/>
    <w:rsid w:val="00204EC2"/>
    <w:rsid w:val="00204F3E"/>
    <w:rsid w:val="0020538E"/>
    <w:rsid w:val="002054A2"/>
    <w:rsid w:val="00205837"/>
    <w:rsid w:val="0020584C"/>
    <w:rsid w:val="00206A0B"/>
    <w:rsid w:val="00206D59"/>
    <w:rsid w:val="00207962"/>
    <w:rsid w:val="0021099D"/>
    <w:rsid w:val="00211607"/>
    <w:rsid w:val="00211D9E"/>
    <w:rsid w:val="00212209"/>
    <w:rsid w:val="00212270"/>
    <w:rsid w:val="0021227C"/>
    <w:rsid w:val="0021279A"/>
    <w:rsid w:val="002127C7"/>
    <w:rsid w:val="00213385"/>
    <w:rsid w:val="002133B4"/>
    <w:rsid w:val="002135C9"/>
    <w:rsid w:val="00213744"/>
    <w:rsid w:val="0021428D"/>
    <w:rsid w:val="0021441B"/>
    <w:rsid w:val="00214BEB"/>
    <w:rsid w:val="00214F27"/>
    <w:rsid w:val="00215928"/>
    <w:rsid w:val="00215B52"/>
    <w:rsid w:val="00215BC3"/>
    <w:rsid w:val="0021624A"/>
    <w:rsid w:val="00217389"/>
    <w:rsid w:val="0021762C"/>
    <w:rsid w:val="00217914"/>
    <w:rsid w:val="00217CBB"/>
    <w:rsid w:val="002209A4"/>
    <w:rsid w:val="00220AC9"/>
    <w:rsid w:val="00220CAE"/>
    <w:rsid w:val="00220D34"/>
    <w:rsid w:val="002210E4"/>
    <w:rsid w:val="002213E0"/>
    <w:rsid w:val="00221729"/>
    <w:rsid w:val="00221901"/>
    <w:rsid w:val="00221C8E"/>
    <w:rsid w:val="00222BBE"/>
    <w:rsid w:val="00222DFE"/>
    <w:rsid w:val="002230C4"/>
    <w:rsid w:val="00223687"/>
    <w:rsid w:val="002237E2"/>
    <w:rsid w:val="00223986"/>
    <w:rsid w:val="00223D5A"/>
    <w:rsid w:val="00223D96"/>
    <w:rsid w:val="00223F23"/>
    <w:rsid w:val="00224428"/>
    <w:rsid w:val="00224B57"/>
    <w:rsid w:val="002254F5"/>
    <w:rsid w:val="00225788"/>
    <w:rsid w:val="002257BD"/>
    <w:rsid w:val="00225D18"/>
    <w:rsid w:val="00226BBC"/>
    <w:rsid w:val="00227394"/>
    <w:rsid w:val="002275E1"/>
    <w:rsid w:val="00227734"/>
    <w:rsid w:val="00227AFA"/>
    <w:rsid w:val="00227C24"/>
    <w:rsid w:val="0023013D"/>
    <w:rsid w:val="00230609"/>
    <w:rsid w:val="002308DD"/>
    <w:rsid w:val="00230EBB"/>
    <w:rsid w:val="00231B15"/>
    <w:rsid w:val="002322DE"/>
    <w:rsid w:val="0023391F"/>
    <w:rsid w:val="00233B8D"/>
    <w:rsid w:val="00235300"/>
    <w:rsid w:val="002355CA"/>
    <w:rsid w:val="00236471"/>
    <w:rsid w:val="002369F2"/>
    <w:rsid w:val="00236E4F"/>
    <w:rsid w:val="0023719A"/>
    <w:rsid w:val="00237714"/>
    <w:rsid w:val="00237BCD"/>
    <w:rsid w:val="0024085F"/>
    <w:rsid w:val="0024122D"/>
    <w:rsid w:val="00241360"/>
    <w:rsid w:val="002414F8"/>
    <w:rsid w:val="00242408"/>
    <w:rsid w:val="002427EA"/>
    <w:rsid w:val="002429BB"/>
    <w:rsid w:val="002434A7"/>
    <w:rsid w:val="0024389F"/>
    <w:rsid w:val="00243C8F"/>
    <w:rsid w:val="00243CC9"/>
    <w:rsid w:val="00244EE5"/>
    <w:rsid w:val="0024505C"/>
    <w:rsid w:val="0024607B"/>
    <w:rsid w:val="00246323"/>
    <w:rsid w:val="002472BD"/>
    <w:rsid w:val="002475BF"/>
    <w:rsid w:val="00247D05"/>
    <w:rsid w:val="0025033E"/>
    <w:rsid w:val="00251AC4"/>
    <w:rsid w:val="00251B0F"/>
    <w:rsid w:val="00252687"/>
    <w:rsid w:val="00253312"/>
    <w:rsid w:val="00253984"/>
    <w:rsid w:val="002540EB"/>
    <w:rsid w:val="00254F54"/>
    <w:rsid w:val="00255768"/>
    <w:rsid w:val="0025583E"/>
    <w:rsid w:val="00255CD5"/>
    <w:rsid w:val="00256355"/>
    <w:rsid w:val="002572A4"/>
    <w:rsid w:val="00257B96"/>
    <w:rsid w:val="002601AA"/>
    <w:rsid w:val="002606E2"/>
    <w:rsid w:val="00260A2E"/>
    <w:rsid w:val="0026145F"/>
    <w:rsid w:val="00261635"/>
    <w:rsid w:val="00261B32"/>
    <w:rsid w:val="002621A8"/>
    <w:rsid w:val="002621F2"/>
    <w:rsid w:val="0026232A"/>
    <w:rsid w:val="002624F4"/>
    <w:rsid w:val="0026295F"/>
    <w:rsid w:val="00263927"/>
    <w:rsid w:val="002641FE"/>
    <w:rsid w:val="0026526F"/>
    <w:rsid w:val="00265346"/>
    <w:rsid w:val="00265751"/>
    <w:rsid w:val="002674B0"/>
    <w:rsid w:val="00267BEC"/>
    <w:rsid w:val="00267E8C"/>
    <w:rsid w:val="002703FE"/>
    <w:rsid w:val="00270FB0"/>
    <w:rsid w:val="002714C9"/>
    <w:rsid w:val="0027162F"/>
    <w:rsid w:val="00271953"/>
    <w:rsid w:val="00272117"/>
    <w:rsid w:val="002722D8"/>
    <w:rsid w:val="00272691"/>
    <w:rsid w:val="002731D1"/>
    <w:rsid w:val="002735DF"/>
    <w:rsid w:val="00274580"/>
    <w:rsid w:val="00274592"/>
    <w:rsid w:val="002761BC"/>
    <w:rsid w:val="00276638"/>
    <w:rsid w:val="00276FB7"/>
    <w:rsid w:val="0027726D"/>
    <w:rsid w:val="002773F2"/>
    <w:rsid w:val="00277FBD"/>
    <w:rsid w:val="0028003A"/>
    <w:rsid w:val="00281E86"/>
    <w:rsid w:val="0028222B"/>
    <w:rsid w:val="002822D7"/>
    <w:rsid w:val="0028342C"/>
    <w:rsid w:val="00283B4B"/>
    <w:rsid w:val="00284B46"/>
    <w:rsid w:val="00284D74"/>
    <w:rsid w:val="00285023"/>
    <w:rsid w:val="002860AE"/>
    <w:rsid w:val="00286192"/>
    <w:rsid w:val="00287343"/>
    <w:rsid w:val="00290673"/>
    <w:rsid w:val="00290A02"/>
    <w:rsid w:val="00290D80"/>
    <w:rsid w:val="00291719"/>
    <w:rsid w:val="00291920"/>
    <w:rsid w:val="00291BE4"/>
    <w:rsid w:val="00291C73"/>
    <w:rsid w:val="00291C91"/>
    <w:rsid w:val="0029226A"/>
    <w:rsid w:val="00292355"/>
    <w:rsid w:val="00292914"/>
    <w:rsid w:val="00292C4F"/>
    <w:rsid w:val="00293558"/>
    <w:rsid w:val="00293EDC"/>
    <w:rsid w:val="00294610"/>
    <w:rsid w:val="00294CC0"/>
    <w:rsid w:val="00295038"/>
    <w:rsid w:val="00296951"/>
    <w:rsid w:val="002969CB"/>
    <w:rsid w:val="00296AE6"/>
    <w:rsid w:val="00296E9A"/>
    <w:rsid w:val="002A00D6"/>
    <w:rsid w:val="002A07D0"/>
    <w:rsid w:val="002A0D08"/>
    <w:rsid w:val="002A14CC"/>
    <w:rsid w:val="002A1A1B"/>
    <w:rsid w:val="002A1AF0"/>
    <w:rsid w:val="002A1C63"/>
    <w:rsid w:val="002A1D5C"/>
    <w:rsid w:val="002A3B6D"/>
    <w:rsid w:val="002A500D"/>
    <w:rsid w:val="002A5220"/>
    <w:rsid w:val="002A5A6A"/>
    <w:rsid w:val="002B0B9B"/>
    <w:rsid w:val="002B1B8F"/>
    <w:rsid w:val="002B1C63"/>
    <w:rsid w:val="002B1EAC"/>
    <w:rsid w:val="002B32D9"/>
    <w:rsid w:val="002B349C"/>
    <w:rsid w:val="002B3758"/>
    <w:rsid w:val="002B47C5"/>
    <w:rsid w:val="002B4BC7"/>
    <w:rsid w:val="002B586C"/>
    <w:rsid w:val="002B59B3"/>
    <w:rsid w:val="002B6069"/>
    <w:rsid w:val="002B6A49"/>
    <w:rsid w:val="002B7218"/>
    <w:rsid w:val="002B7AF5"/>
    <w:rsid w:val="002B7B8D"/>
    <w:rsid w:val="002B7D55"/>
    <w:rsid w:val="002B7F3D"/>
    <w:rsid w:val="002C06C6"/>
    <w:rsid w:val="002C08A7"/>
    <w:rsid w:val="002C0CE7"/>
    <w:rsid w:val="002C126F"/>
    <w:rsid w:val="002C25C7"/>
    <w:rsid w:val="002C261A"/>
    <w:rsid w:val="002C2AFF"/>
    <w:rsid w:val="002C2DBA"/>
    <w:rsid w:val="002C3752"/>
    <w:rsid w:val="002C39DD"/>
    <w:rsid w:val="002C3A81"/>
    <w:rsid w:val="002C3B6F"/>
    <w:rsid w:val="002C3D46"/>
    <w:rsid w:val="002C4001"/>
    <w:rsid w:val="002C42A9"/>
    <w:rsid w:val="002C47C5"/>
    <w:rsid w:val="002C4837"/>
    <w:rsid w:val="002C4D85"/>
    <w:rsid w:val="002C549F"/>
    <w:rsid w:val="002C6E4A"/>
    <w:rsid w:val="002C6F60"/>
    <w:rsid w:val="002C6FDF"/>
    <w:rsid w:val="002C712C"/>
    <w:rsid w:val="002C735B"/>
    <w:rsid w:val="002C7602"/>
    <w:rsid w:val="002C786B"/>
    <w:rsid w:val="002C7D92"/>
    <w:rsid w:val="002D06F9"/>
    <w:rsid w:val="002D0752"/>
    <w:rsid w:val="002D1002"/>
    <w:rsid w:val="002D1E99"/>
    <w:rsid w:val="002D209F"/>
    <w:rsid w:val="002D2A35"/>
    <w:rsid w:val="002D2CF1"/>
    <w:rsid w:val="002D2D93"/>
    <w:rsid w:val="002D4200"/>
    <w:rsid w:val="002D4592"/>
    <w:rsid w:val="002D4839"/>
    <w:rsid w:val="002D4C51"/>
    <w:rsid w:val="002D5176"/>
    <w:rsid w:val="002D54E2"/>
    <w:rsid w:val="002D6202"/>
    <w:rsid w:val="002D693F"/>
    <w:rsid w:val="002D6A5A"/>
    <w:rsid w:val="002D79C5"/>
    <w:rsid w:val="002D7CFC"/>
    <w:rsid w:val="002E04AC"/>
    <w:rsid w:val="002E0BF7"/>
    <w:rsid w:val="002E0E38"/>
    <w:rsid w:val="002E1705"/>
    <w:rsid w:val="002E175E"/>
    <w:rsid w:val="002E294C"/>
    <w:rsid w:val="002E30FE"/>
    <w:rsid w:val="002E3DEA"/>
    <w:rsid w:val="002E4573"/>
    <w:rsid w:val="002E5143"/>
    <w:rsid w:val="002E608C"/>
    <w:rsid w:val="002E6C23"/>
    <w:rsid w:val="002E6E78"/>
    <w:rsid w:val="002E7A87"/>
    <w:rsid w:val="002E7E39"/>
    <w:rsid w:val="002F01E2"/>
    <w:rsid w:val="002F1124"/>
    <w:rsid w:val="002F119A"/>
    <w:rsid w:val="002F22D4"/>
    <w:rsid w:val="002F292A"/>
    <w:rsid w:val="002F2AFA"/>
    <w:rsid w:val="002F2CC7"/>
    <w:rsid w:val="002F339B"/>
    <w:rsid w:val="002F343F"/>
    <w:rsid w:val="002F36BC"/>
    <w:rsid w:val="002F3802"/>
    <w:rsid w:val="002F3E29"/>
    <w:rsid w:val="002F3E7C"/>
    <w:rsid w:val="002F41B2"/>
    <w:rsid w:val="002F49F1"/>
    <w:rsid w:val="002F4EEC"/>
    <w:rsid w:val="002F531C"/>
    <w:rsid w:val="002F59D8"/>
    <w:rsid w:val="002F5BD4"/>
    <w:rsid w:val="002F6277"/>
    <w:rsid w:val="002F645E"/>
    <w:rsid w:val="002F66AE"/>
    <w:rsid w:val="002F6A37"/>
    <w:rsid w:val="002F6FC1"/>
    <w:rsid w:val="002F7A56"/>
    <w:rsid w:val="002F7BD4"/>
    <w:rsid w:val="003005F4"/>
    <w:rsid w:val="003008D1"/>
    <w:rsid w:val="00300D1F"/>
    <w:rsid w:val="0030191E"/>
    <w:rsid w:val="00301B9F"/>
    <w:rsid w:val="00301E80"/>
    <w:rsid w:val="00302076"/>
    <w:rsid w:val="003020F2"/>
    <w:rsid w:val="00303177"/>
    <w:rsid w:val="003041DE"/>
    <w:rsid w:val="00304376"/>
    <w:rsid w:val="00304588"/>
    <w:rsid w:val="00304C3A"/>
    <w:rsid w:val="003050DC"/>
    <w:rsid w:val="00305E4D"/>
    <w:rsid w:val="00306392"/>
    <w:rsid w:val="00307147"/>
    <w:rsid w:val="0030737A"/>
    <w:rsid w:val="0030777D"/>
    <w:rsid w:val="003078C4"/>
    <w:rsid w:val="00307DF3"/>
    <w:rsid w:val="00310195"/>
    <w:rsid w:val="0031038D"/>
    <w:rsid w:val="0031061E"/>
    <w:rsid w:val="003111E1"/>
    <w:rsid w:val="00311DA0"/>
    <w:rsid w:val="003139DF"/>
    <w:rsid w:val="00314090"/>
    <w:rsid w:val="0031448D"/>
    <w:rsid w:val="00314862"/>
    <w:rsid w:val="00314884"/>
    <w:rsid w:val="00314935"/>
    <w:rsid w:val="00314A8E"/>
    <w:rsid w:val="0031535B"/>
    <w:rsid w:val="00315855"/>
    <w:rsid w:val="003158DC"/>
    <w:rsid w:val="00315969"/>
    <w:rsid w:val="003159CC"/>
    <w:rsid w:val="00315A91"/>
    <w:rsid w:val="00316CA0"/>
    <w:rsid w:val="00316CDF"/>
    <w:rsid w:val="00316CFE"/>
    <w:rsid w:val="00317353"/>
    <w:rsid w:val="0031741D"/>
    <w:rsid w:val="00320268"/>
    <w:rsid w:val="00320590"/>
    <w:rsid w:val="00320A30"/>
    <w:rsid w:val="00320E6A"/>
    <w:rsid w:val="00321CE9"/>
    <w:rsid w:val="00321EB3"/>
    <w:rsid w:val="00321ED8"/>
    <w:rsid w:val="003220E6"/>
    <w:rsid w:val="00322342"/>
    <w:rsid w:val="003223AA"/>
    <w:rsid w:val="00322486"/>
    <w:rsid w:val="00323DEE"/>
    <w:rsid w:val="00325A1D"/>
    <w:rsid w:val="003269AE"/>
    <w:rsid w:val="003271C8"/>
    <w:rsid w:val="003274E8"/>
    <w:rsid w:val="0032778F"/>
    <w:rsid w:val="003319C2"/>
    <w:rsid w:val="0033206A"/>
    <w:rsid w:val="00332206"/>
    <w:rsid w:val="003328CD"/>
    <w:rsid w:val="00332CEF"/>
    <w:rsid w:val="0033349D"/>
    <w:rsid w:val="0033355A"/>
    <w:rsid w:val="00334293"/>
    <w:rsid w:val="00335039"/>
    <w:rsid w:val="003354CE"/>
    <w:rsid w:val="00335C7A"/>
    <w:rsid w:val="00335E39"/>
    <w:rsid w:val="00336AD1"/>
    <w:rsid w:val="00337D9B"/>
    <w:rsid w:val="00340180"/>
    <w:rsid w:val="00340535"/>
    <w:rsid w:val="003407C1"/>
    <w:rsid w:val="00340DE0"/>
    <w:rsid w:val="0034149F"/>
    <w:rsid w:val="0034195C"/>
    <w:rsid w:val="00341D20"/>
    <w:rsid w:val="0034204F"/>
    <w:rsid w:val="00342201"/>
    <w:rsid w:val="00342F85"/>
    <w:rsid w:val="00342FDC"/>
    <w:rsid w:val="003431B0"/>
    <w:rsid w:val="003433B7"/>
    <w:rsid w:val="003435FE"/>
    <w:rsid w:val="00344626"/>
    <w:rsid w:val="00344896"/>
    <w:rsid w:val="00344B6B"/>
    <w:rsid w:val="00344C9E"/>
    <w:rsid w:val="0034540B"/>
    <w:rsid w:val="00345468"/>
    <w:rsid w:val="00345884"/>
    <w:rsid w:val="0034599C"/>
    <w:rsid w:val="00345F01"/>
    <w:rsid w:val="00346190"/>
    <w:rsid w:val="00346259"/>
    <w:rsid w:val="0034660B"/>
    <w:rsid w:val="00346896"/>
    <w:rsid w:val="003468E9"/>
    <w:rsid w:val="00346B75"/>
    <w:rsid w:val="003475D6"/>
    <w:rsid w:val="0034782C"/>
    <w:rsid w:val="00347B35"/>
    <w:rsid w:val="00350536"/>
    <w:rsid w:val="0035069E"/>
    <w:rsid w:val="00350CD3"/>
    <w:rsid w:val="0035106F"/>
    <w:rsid w:val="003512FD"/>
    <w:rsid w:val="00351797"/>
    <w:rsid w:val="003517E1"/>
    <w:rsid w:val="0035181B"/>
    <w:rsid w:val="003521A4"/>
    <w:rsid w:val="003527BC"/>
    <w:rsid w:val="00352AAF"/>
    <w:rsid w:val="00352BBC"/>
    <w:rsid w:val="003530A4"/>
    <w:rsid w:val="00353122"/>
    <w:rsid w:val="0035368E"/>
    <w:rsid w:val="00353F65"/>
    <w:rsid w:val="003540FA"/>
    <w:rsid w:val="003548EC"/>
    <w:rsid w:val="0035532E"/>
    <w:rsid w:val="00355364"/>
    <w:rsid w:val="00356F7E"/>
    <w:rsid w:val="00356FA9"/>
    <w:rsid w:val="00360D3F"/>
    <w:rsid w:val="00361373"/>
    <w:rsid w:val="0036219A"/>
    <w:rsid w:val="00363BED"/>
    <w:rsid w:val="0036416F"/>
    <w:rsid w:val="0036460C"/>
    <w:rsid w:val="00364DCF"/>
    <w:rsid w:val="003653C3"/>
    <w:rsid w:val="00365588"/>
    <w:rsid w:val="00365B8B"/>
    <w:rsid w:val="00365F3F"/>
    <w:rsid w:val="00366085"/>
    <w:rsid w:val="00366111"/>
    <w:rsid w:val="00366729"/>
    <w:rsid w:val="00366F6E"/>
    <w:rsid w:val="00366FA1"/>
    <w:rsid w:val="00367907"/>
    <w:rsid w:val="0037011F"/>
    <w:rsid w:val="0037032D"/>
    <w:rsid w:val="003706DA"/>
    <w:rsid w:val="00370AD8"/>
    <w:rsid w:val="00371988"/>
    <w:rsid w:val="0037309B"/>
    <w:rsid w:val="00373216"/>
    <w:rsid w:val="00373999"/>
    <w:rsid w:val="003745F1"/>
    <w:rsid w:val="00374B7E"/>
    <w:rsid w:val="0037521C"/>
    <w:rsid w:val="003752AB"/>
    <w:rsid w:val="003754D5"/>
    <w:rsid w:val="00376A31"/>
    <w:rsid w:val="00376C53"/>
    <w:rsid w:val="00376CEF"/>
    <w:rsid w:val="00376DB5"/>
    <w:rsid w:val="00377429"/>
    <w:rsid w:val="003775BF"/>
    <w:rsid w:val="00377DB1"/>
    <w:rsid w:val="00380169"/>
    <w:rsid w:val="00380B26"/>
    <w:rsid w:val="00380CF3"/>
    <w:rsid w:val="00381217"/>
    <w:rsid w:val="0038126D"/>
    <w:rsid w:val="00381658"/>
    <w:rsid w:val="003817F0"/>
    <w:rsid w:val="0038197E"/>
    <w:rsid w:val="00381AF2"/>
    <w:rsid w:val="00381CBA"/>
    <w:rsid w:val="00381DCF"/>
    <w:rsid w:val="0038206E"/>
    <w:rsid w:val="003820AC"/>
    <w:rsid w:val="003829ED"/>
    <w:rsid w:val="003833E6"/>
    <w:rsid w:val="003847A2"/>
    <w:rsid w:val="0038558F"/>
    <w:rsid w:val="00385DAE"/>
    <w:rsid w:val="0038663E"/>
    <w:rsid w:val="0038678E"/>
    <w:rsid w:val="00387132"/>
    <w:rsid w:val="00387BF1"/>
    <w:rsid w:val="00387DBB"/>
    <w:rsid w:val="00387EB2"/>
    <w:rsid w:val="00390190"/>
    <w:rsid w:val="0039048D"/>
    <w:rsid w:val="00390A1B"/>
    <w:rsid w:val="00390DBB"/>
    <w:rsid w:val="00390FE8"/>
    <w:rsid w:val="00391ED6"/>
    <w:rsid w:val="00392195"/>
    <w:rsid w:val="0039267C"/>
    <w:rsid w:val="0039273D"/>
    <w:rsid w:val="00392C0E"/>
    <w:rsid w:val="00393660"/>
    <w:rsid w:val="00393AAA"/>
    <w:rsid w:val="003941CC"/>
    <w:rsid w:val="00395327"/>
    <w:rsid w:val="00395352"/>
    <w:rsid w:val="003953D2"/>
    <w:rsid w:val="0039574B"/>
    <w:rsid w:val="00395F06"/>
    <w:rsid w:val="00396350"/>
    <w:rsid w:val="00396D7D"/>
    <w:rsid w:val="00396EDE"/>
    <w:rsid w:val="0039701F"/>
    <w:rsid w:val="00397E52"/>
    <w:rsid w:val="003A00E6"/>
    <w:rsid w:val="003A06CF"/>
    <w:rsid w:val="003A1E5E"/>
    <w:rsid w:val="003A1F02"/>
    <w:rsid w:val="003A2BF2"/>
    <w:rsid w:val="003A3055"/>
    <w:rsid w:val="003A3414"/>
    <w:rsid w:val="003A3433"/>
    <w:rsid w:val="003A35DA"/>
    <w:rsid w:val="003A3654"/>
    <w:rsid w:val="003A36B7"/>
    <w:rsid w:val="003A3873"/>
    <w:rsid w:val="003A38A5"/>
    <w:rsid w:val="003A446E"/>
    <w:rsid w:val="003A4AB8"/>
    <w:rsid w:val="003A4FDE"/>
    <w:rsid w:val="003A6EAB"/>
    <w:rsid w:val="003A745F"/>
    <w:rsid w:val="003A750F"/>
    <w:rsid w:val="003A761F"/>
    <w:rsid w:val="003A78CF"/>
    <w:rsid w:val="003B082C"/>
    <w:rsid w:val="003B0F9C"/>
    <w:rsid w:val="003B137B"/>
    <w:rsid w:val="003B144E"/>
    <w:rsid w:val="003B15AE"/>
    <w:rsid w:val="003B184B"/>
    <w:rsid w:val="003B1B7F"/>
    <w:rsid w:val="003B27F2"/>
    <w:rsid w:val="003B2D1E"/>
    <w:rsid w:val="003B2F1E"/>
    <w:rsid w:val="003B3C92"/>
    <w:rsid w:val="003B5517"/>
    <w:rsid w:val="003B576B"/>
    <w:rsid w:val="003B6447"/>
    <w:rsid w:val="003B71BF"/>
    <w:rsid w:val="003B7825"/>
    <w:rsid w:val="003C0832"/>
    <w:rsid w:val="003C0F10"/>
    <w:rsid w:val="003C11C3"/>
    <w:rsid w:val="003C2465"/>
    <w:rsid w:val="003C391C"/>
    <w:rsid w:val="003C3F99"/>
    <w:rsid w:val="003C471B"/>
    <w:rsid w:val="003C4C97"/>
    <w:rsid w:val="003C4F34"/>
    <w:rsid w:val="003C5494"/>
    <w:rsid w:val="003C57E3"/>
    <w:rsid w:val="003C59FF"/>
    <w:rsid w:val="003C7A74"/>
    <w:rsid w:val="003C7F99"/>
    <w:rsid w:val="003D1EFB"/>
    <w:rsid w:val="003D242D"/>
    <w:rsid w:val="003D399D"/>
    <w:rsid w:val="003D5198"/>
    <w:rsid w:val="003D52F7"/>
    <w:rsid w:val="003D558D"/>
    <w:rsid w:val="003D55FE"/>
    <w:rsid w:val="003D68A0"/>
    <w:rsid w:val="003D7880"/>
    <w:rsid w:val="003E0409"/>
    <w:rsid w:val="003E08BF"/>
    <w:rsid w:val="003E1520"/>
    <w:rsid w:val="003E1885"/>
    <w:rsid w:val="003E1A3F"/>
    <w:rsid w:val="003E23AB"/>
    <w:rsid w:val="003E25E7"/>
    <w:rsid w:val="003E260B"/>
    <w:rsid w:val="003E2D1F"/>
    <w:rsid w:val="003E36EF"/>
    <w:rsid w:val="003E3816"/>
    <w:rsid w:val="003E4933"/>
    <w:rsid w:val="003E49FF"/>
    <w:rsid w:val="003E5526"/>
    <w:rsid w:val="003E557C"/>
    <w:rsid w:val="003E5767"/>
    <w:rsid w:val="003E57D4"/>
    <w:rsid w:val="003E57E9"/>
    <w:rsid w:val="003E59F5"/>
    <w:rsid w:val="003E5B70"/>
    <w:rsid w:val="003E5DA8"/>
    <w:rsid w:val="003E70D4"/>
    <w:rsid w:val="003E739E"/>
    <w:rsid w:val="003E7726"/>
    <w:rsid w:val="003E7A8E"/>
    <w:rsid w:val="003F0BCF"/>
    <w:rsid w:val="003F1092"/>
    <w:rsid w:val="003F1653"/>
    <w:rsid w:val="003F1819"/>
    <w:rsid w:val="003F18BE"/>
    <w:rsid w:val="003F2272"/>
    <w:rsid w:val="003F23BC"/>
    <w:rsid w:val="003F264D"/>
    <w:rsid w:val="003F3409"/>
    <w:rsid w:val="003F3AE4"/>
    <w:rsid w:val="003F3C6D"/>
    <w:rsid w:val="003F3F90"/>
    <w:rsid w:val="003F3FA7"/>
    <w:rsid w:val="003F41B5"/>
    <w:rsid w:val="003F436E"/>
    <w:rsid w:val="003F4775"/>
    <w:rsid w:val="003F4A94"/>
    <w:rsid w:val="003F50A6"/>
    <w:rsid w:val="003F51DB"/>
    <w:rsid w:val="003F56A1"/>
    <w:rsid w:val="003F59AA"/>
    <w:rsid w:val="003F68ED"/>
    <w:rsid w:val="003F6C72"/>
    <w:rsid w:val="003F6D0B"/>
    <w:rsid w:val="003F7192"/>
    <w:rsid w:val="003F7FE2"/>
    <w:rsid w:val="00400125"/>
    <w:rsid w:val="00400A9D"/>
    <w:rsid w:val="00400AF7"/>
    <w:rsid w:val="00401397"/>
    <w:rsid w:val="00401F0F"/>
    <w:rsid w:val="00402E29"/>
    <w:rsid w:val="00402FFC"/>
    <w:rsid w:val="00403143"/>
    <w:rsid w:val="004033E5"/>
    <w:rsid w:val="00403677"/>
    <w:rsid w:val="0040374A"/>
    <w:rsid w:val="00403CB1"/>
    <w:rsid w:val="00403E0C"/>
    <w:rsid w:val="00403E9B"/>
    <w:rsid w:val="00404764"/>
    <w:rsid w:val="00405504"/>
    <w:rsid w:val="004057D0"/>
    <w:rsid w:val="0040607E"/>
    <w:rsid w:val="004065C0"/>
    <w:rsid w:val="00406656"/>
    <w:rsid w:val="00406821"/>
    <w:rsid w:val="0040796D"/>
    <w:rsid w:val="00407AA1"/>
    <w:rsid w:val="00407ECE"/>
    <w:rsid w:val="0041061C"/>
    <w:rsid w:val="00410C28"/>
    <w:rsid w:val="00411987"/>
    <w:rsid w:val="00411B3C"/>
    <w:rsid w:val="00411DDE"/>
    <w:rsid w:val="00411E1B"/>
    <w:rsid w:val="00412A1A"/>
    <w:rsid w:val="00412B5A"/>
    <w:rsid w:val="00412D20"/>
    <w:rsid w:val="004131F9"/>
    <w:rsid w:val="00413A56"/>
    <w:rsid w:val="00413B83"/>
    <w:rsid w:val="00413C1B"/>
    <w:rsid w:val="00413EE0"/>
    <w:rsid w:val="00414056"/>
    <w:rsid w:val="00414E18"/>
    <w:rsid w:val="0041507A"/>
    <w:rsid w:val="00415706"/>
    <w:rsid w:val="00415CDF"/>
    <w:rsid w:val="00415DF9"/>
    <w:rsid w:val="00416725"/>
    <w:rsid w:val="00416E83"/>
    <w:rsid w:val="00417126"/>
    <w:rsid w:val="004172B6"/>
    <w:rsid w:val="0041751E"/>
    <w:rsid w:val="00417FCD"/>
    <w:rsid w:val="00420C89"/>
    <w:rsid w:val="004212A9"/>
    <w:rsid w:val="004227C8"/>
    <w:rsid w:val="00422DBC"/>
    <w:rsid w:val="00423CF1"/>
    <w:rsid w:val="00423DE3"/>
    <w:rsid w:val="00423F0D"/>
    <w:rsid w:val="00425385"/>
    <w:rsid w:val="004258EA"/>
    <w:rsid w:val="00426181"/>
    <w:rsid w:val="00426735"/>
    <w:rsid w:val="0042757D"/>
    <w:rsid w:val="00427599"/>
    <w:rsid w:val="004277DF"/>
    <w:rsid w:val="004279CB"/>
    <w:rsid w:val="00427D20"/>
    <w:rsid w:val="004300DE"/>
    <w:rsid w:val="00430DF1"/>
    <w:rsid w:val="00430E6B"/>
    <w:rsid w:val="00431406"/>
    <w:rsid w:val="00431BEE"/>
    <w:rsid w:val="004324AB"/>
    <w:rsid w:val="00432533"/>
    <w:rsid w:val="00432D8E"/>
    <w:rsid w:val="00432F21"/>
    <w:rsid w:val="004330B8"/>
    <w:rsid w:val="004338EF"/>
    <w:rsid w:val="00433939"/>
    <w:rsid w:val="00433E22"/>
    <w:rsid w:val="00433E26"/>
    <w:rsid w:val="004343EA"/>
    <w:rsid w:val="004348AD"/>
    <w:rsid w:val="00434D16"/>
    <w:rsid w:val="004352F0"/>
    <w:rsid w:val="004354B5"/>
    <w:rsid w:val="004356FA"/>
    <w:rsid w:val="00435C9D"/>
    <w:rsid w:val="00435F36"/>
    <w:rsid w:val="00435F78"/>
    <w:rsid w:val="00436D1E"/>
    <w:rsid w:val="00437184"/>
    <w:rsid w:val="0044079F"/>
    <w:rsid w:val="00440BDE"/>
    <w:rsid w:val="004410B2"/>
    <w:rsid w:val="00441B19"/>
    <w:rsid w:val="00441C32"/>
    <w:rsid w:val="00442CC4"/>
    <w:rsid w:val="0044397F"/>
    <w:rsid w:val="00445470"/>
    <w:rsid w:val="00447180"/>
    <w:rsid w:val="00447E59"/>
    <w:rsid w:val="00450638"/>
    <w:rsid w:val="00450E7C"/>
    <w:rsid w:val="00451D85"/>
    <w:rsid w:val="00451EDE"/>
    <w:rsid w:val="00451F37"/>
    <w:rsid w:val="00452C8A"/>
    <w:rsid w:val="0045303F"/>
    <w:rsid w:val="00453040"/>
    <w:rsid w:val="0045372B"/>
    <w:rsid w:val="00454847"/>
    <w:rsid w:val="00454A88"/>
    <w:rsid w:val="00454AD6"/>
    <w:rsid w:val="00454B7F"/>
    <w:rsid w:val="00454E2B"/>
    <w:rsid w:val="0045528A"/>
    <w:rsid w:val="0045560C"/>
    <w:rsid w:val="00455618"/>
    <w:rsid w:val="00455D77"/>
    <w:rsid w:val="0045614F"/>
    <w:rsid w:val="004561E7"/>
    <w:rsid w:val="00456836"/>
    <w:rsid w:val="00457E26"/>
    <w:rsid w:val="004602BA"/>
    <w:rsid w:val="00460EB9"/>
    <w:rsid w:val="00460EFF"/>
    <w:rsid w:val="00461135"/>
    <w:rsid w:val="0046246E"/>
    <w:rsid w:val="004626BF"/>
    <w:rsid w:val="004626E1"/>
    <w:rsid w:val="00462952"/>
    <w:rsid w:val="0046307F"/>
    <w:rsid w:val="0046318E"/>
    <w:rsid w:val="00463B33"/>
    <w:rsid w:val="00463DB6"/>
    <w:rsid w:val="00463FF0"/>
    <w:rsid w:val="004648E3"/>
    <w:rsid w:val="00464DA8"/>
    <w:rsid w:val="00465305"/>
    <w:rsid w:val="004661E1"/>
    <w:rsid w:val="00466CD2"/>
    <w:rsid w:val="00466E86"/>
    <w:rsid w:val="00467285"/>
    <w:rsid w:val="00470136"/>
    <w:rsid w:val="00471A9E"/>
    <w:rsid w:val="00472112"/>
    <w:rsid w:val="00472CA3"/>
    <w:rsid w:val="00472FF7"/>
    <w:rsid w:val="00475020"/>
    <w:rsid w:val="00475444"/>
    <w:rsid w:val="0047554D"/>
    <w:rsid w:val="00475B09"/>
    <w:rsid w:val="0047640B"/>
    <w:rsid w:val="00477006"/>
    <w:rsid w:val="00477B32"/>
    <w:rsid w:val="00477F28"/>
    <w:rsid w:val="0048010D"/>
    <w:rsid w:val="00480499"/>
    <w:rsid w:val="00480A99"/>
    <w:rsid w:val="004812C6"/>
    <w:rsid w:val="00481792"/>
    <w:rsid w:val="004819BA"/>
    <w:rsid w:val="00481EEC"/>
    <w:rsid w:val="00482201"/>
    <w:rsid w:val="00482A47"/>
    <w:rsid w:val="00482B99"/>
    <w:rsid w:val="00482DF1"/>
    <w:rsid w:val="0048343E"/>
    <w:rsid w:val="004834E0"/>
    <w:rsid w:val="00483D40"/>
    <w:rsid w:val="004840CC"/>
    <w:rsid w:val="00484A75"/>
    <w:rsid w:val="00484C77"/>
    <w:rsid w:val="00485497"/>
    <w:rsid w:val="0048575E"/>
    <w:rsid w:val="00485928"/>
    <w:rsid w:val="00485D81"/>
    <w:rsid w:val="004861D7"/>
    <w:rsid w:val="0048657B"/>
    <w:rsid w:val="00486995"/>
    <w:rsid w:val="00486BB5"/>
    <w:rsid w:val="004874C1"/>
    <w:rsid w:val="00487523"/>
    <w:rsid w:val="00490867"/>
    <w:rsid w:val="0049119B"/>
    <w:rsid w:val="00491B16"/>
    <w:rsid w:val="00491B5E"/>
    <w:rsid w:val="00492621"/>
    <w:rsid w:val="00492A4E"/>
    <w:rsid w:val="00494050"/>
    <w:rsid w:val="00494977"/>
    <w:rsid w:val="00494DF5"/>
    <w:rsid w:val="00494FD5"/>
    <w:rsid w:val="004951F5"/>
    <w:rsid w:val="004955A4"/>
    <w:rsid w:val="00495B0C"/>
    <w:rsid w:val="0049653C"/>
    <w:rsid w:val="00497134"/>
    <w:rsid w:val="004972C6"/>
    <w:rsid w:val="0049742A"/>
    <w:rsid w:val="004974B5"/>
    <w:rsid w:val="004977CB"/>
    <w:rsid w:val="004A08AB"/>
    <w:rsid w:val="004A12A9"/>
    <w:rsid w:val="004A1627"/>
    <w:rsid w:val="004A1792"/>
    <w:rsid w:val="004A1D38"/>
    <w:rsid w:val="004A2299"/>
    <w:rsid w:val="004A2532"/>
    <w:rsid w:val="004A2DDC"/>
    <w:rsid w:val="004A34CF"/>
    <w:rsid w:val="004A3D06"/>
    <w:rsid w:val="004A4189"/>
    <w:rsid w:val="004A4BB2"/>
    <w:rsid w:val="004A4EFE"/>
    <w:rsid w:val="004A4F8A"/>
    <w:rsid w:val="004A51B8"/>
    <w:rsid w:val="004A5ACF"/>
    <w:rsid w:val="004A5B45"/>
    <w:rsid w:val="004A6061"/>
    <w:rsid w:val="004A6150"/>
    <w:rsid w:val="004A6557"/>
    <w:rsid w:val="004A688A"/>
    <w:rsid w:val="004A6CE2"/>
    <w:rsid w:val="004A6F60"/>
    <w:rsid w:val="004A77FF"/>
    <w:rsid w:val="004A7A26"/>
    <w:rsid w:val="004A7AF8"/>
    <w:rsid w:val="004B0537"/>
    <w:rsid w:val="004B0D80"/>
    <w:rsid w:val="004B0F13"/>
    <w:rsid w:val="004B225C"/>
    <w:rsid w:val="004B25C3"/>
    <w:rsid w:val="004B2AEA"/>
    <w:rsid w:val="004B304E"/>
    <w:rsid w:val="004B48FD"/>
    <w:rsid w:val="004B51F6"/>
    <w:rsid w:val="004B5C55"/>
    <w:rsid w:val="004B5D6F"/>
    <w:rsid w:val="004B6576"/>
    <w:rsid w:val="004B7968"/>
    <w:rsid w:val="004B7B30"/>
    <w:rsid w:val="004C0855"/>
    <w:rsid w:val="004C0D35"/>
    <w:rsid w:val="004C1484"/>
    <w:rsid w:val="004C1BD9"/>
    <w:rsid w:val="004C2134"/>
    <w:rsid w:val="004C231B"/>
    <w:rsid w:val="004C2C4D"/>
    <w:rsid w:val="004C3254"/>
    <w:rsid w:val="004C3338"/>
    <w:rsid w:val="004C3C0D"/>
    <w:rsid w:val="004C40F2"/>
    <w:rsid w:val="004C4247"/>
    <w:rsid w:val="004C567B"/>
    <w:rsid w:val="004C630E"/>
    <w:rsid w:val="004C661E"/>
    <w:rsid w:val="004C6E5C"/>
    <w:rsid w:val="004C7121"/>
    <w:rsid w:val="004C7A49"/>
    <w:rsid w:val="004D083B"/>
    <w:rsid w:val="004D0A6D"/>
    <w:rsid w:val="004D0CAF"/>
    <w:rsid w:val="004D0F77"/>
    <w:rsid w:val="004D196D"/>
    <w:rsid w:val="004D1C36"/>
    <w:rsid w:val="004D1FC3"/>
    <w:rsid w:val="004D25EF"/>
    <w:rsid w:val="004D2DBD"/>
    <w:rsid w:val="004D3155"/>
    <w:rsid w:val="004D39A7"/>
    <w:rsid w:val="004D39DD"/>
    <w:rsid w:val="004D403D"/>
    <w:rsid w:val="004D4AFA"/>
    <w:rsid w:val="004D4DA4"/>
    <w:rsid w:val="004D5303"/>
    <w:rsid w:val="004D534A"/>
    <w:rsid w:val="004D5429"/>
    <w:rsid w:val="004D5E8E"/>
    <w:rsid w:val="004D6A69"/>
    <w:rsid w:val="004D6CE8"/>
    <w:rsid w:val="004D72EE"/>
    <w:rsid w:val="004D7870"/>
    <w:rsid w:val="004E0A10"/>
    <w:rsid w:val="004E0F4B"/>
    <w:rsid w:val="004E1431"/>
    <w:rsid w:val="004E1764"/>
    <w:rsid w:val="004E1D06"/>
    <w:rsid w:val="004E1F24"/>
    <w:rsid w:val="004E2421"/>
    <w:rsid w:val="004E26B6"/>
    <w:rsid w:val="004E4093"/>
    <w:rsid w:val="004E4366"/>
    <w:rsid w:val="004E5681"/>
    <w:rsid w:val="004E5B66"/>
    <w:rsid w:val="004E5C02"/>
    <w:rsid w:val="004E5F03"/>
    <w:rsid w:val="004E624C"/>
    <w:rsid w:val="004E6730"/>
    <w:rsid w:val="004E69AF"/>
    <w:rsid w:val="004E6A28"/>
    <w:rsid w:val="004E6EA9"/>
    <w:rsid w:val="004E6F5A"/>
    <w:rsid w:val="004E730D"/>
    <w:rsid w:val="004F0AE4"/>
    <w:rsid w:val="004F0F29"/>
    <w:rsid w:val="004F14F8"/>
    <w:rsid w:val="004F1502"/>
    <w:rsid w:val="004F15C2"/>
    <w:rsid w:val="004F2021"/>
    <w:rsid w:val="004F3A69"/>
    <w:rsid w:val="004F420C"/>
    <w:rsid w:val="004F4841"/>
    <w:rsid w:val="004F4845"/>
    <w:rsid w:val="004F52E4"/>
    <w:rsid w:val="004F573E"/>
    <w:rsid w:val="004F5D2F"/>
    <w:rsid w:val="004F6F93"/>
    <w:rsid w:val="004F6FDE"/>
    <w:rsid w:val="004F71BF"/>
    <w:rsid w:val="004F76D1"/>
    <w:rsid w:val="004F7C5C"/>
    <w:rsid w:val="00500281"/>
    <w:rsid w:val="0050075C"/>
    <w:rsid w:val="00500A53"/>
    <w:rsid w:val="00500E1D"/>
    <w:rsid w:val="005011AE"/>
    <w:rsid w:val="00501389"/>
    <w:rsid w:val="005015E6"/>
    <w:rsid w:val="00501D95"/>
    <w:rsid w:val="0050394A"/>
    <w:rsid w:val="00503C92"/>
    <w:rsid w:val="00503E0B"/>
    <w:rsid w:val="005043F6"/>
    <w:rsid w:val="00504761"/>
    <w:rsid w:val="005051A2"/>
    <w:rsid w:val="00505C65"/>
    <w:rsid w:val="00505F0A"/>
    <w:rsid w:val="0050682D"/>
    <w:rsid w:val="005068B7"/>
    <w:rsid w:val="00506CB3"/>
    <w:rsid w:val="00506CB9"/>
    <w:rsid w:val="00506E83"/>
    <w:rsid w:val="00506F3A"/>
    <w:rsid w:val="00507B2E"/>
    <w:rsid w:val="005102D0"/>
    <w:rsid w:val="0051071C"/>
    <w:rsid w:val="0051078B"/>
    <w:rsid w:val="00510FA2"/>
    <w:rsid w:val="00511FE8"/>
    <w:rsid w:val="00512A38"/>
    <w:rsid w:val="00513105"/>
    <w:rsid w:val="005134C3"/>
    <w:rsid w:val="005137BA"/>
    <w:rsid w:val="0051399C"/>
    <w:rsid w:val="00513A92"/>
    <w:rsid w:val="00513CC6"/>
    <w:rsid w:val="00513E7A"/>
    <w:rsid w:val="00514917"/>
    <w:rsid w:val="00514D62"/>
    <w:rsid w:val="005151ED"/>
    <w:rsid w:val="00515AE6"/>
    <w:rsid w:val="00515FC7"/>
    <w:rsid w:val="005164B2"/>
    <w:rsid w:val="005166DE"/>
    <w:rsid w:val="00517028"/>
    <w:rsid w:val="0051753D"/>
    <w:rsid w:val="00517692"/>
    <w:rsid w:val="0051774C"/>
    <w:rsid w:val="00520178"/>
    <w:rsid w:val="00520234"/>
    <w:rsid w:val="005204DC"/>
    <w:rsid w:val="00520B35"/>
    <w:rsid w:val="005214AF"/>
    <w:rsid w:val="00521C1A"/>
    <w:rsid w:val="00521FC0"/>
    <w:rsid w:val="00522B6C"/>
    <w:rsid w:val="005234E1"/>
    <w:rsid w:val="00524264"/>
    <w:rsid w:val="005245ED"/>
    <w:rsid w:val="00524CF9"/>
    <w:rsid w:val="00525300"/>
    <w:rsid w:val="00525455"/>
    <w:rsid w:val="00525B4F"/>
    <w:rsid w:val="00525C22"/>
    <w:rsid w:val="00525C94"/>
    <w:rsid w:val="0052643B"/>
    <w:rsid w:val="00526692"/>
    <w:rsid w:val="005272C2"/>
    <w:rsid w:val="005279C9"/>
    <w:rsid w:val="00530307"/>
    <w:rsid w:val="005306C5"/>
    <w:rsid w:val="00531053"/>
    <w:rsid w:val="00531FD1"/>
    <w:rsid w:val="00532C76"/>
    <w:rsid w:val="0053311E"/>
    <w:rsid w:val="00533479"/>
    <w:rsid w:val="00533581"/>
    <w:rsid w:val="005336D6"/>
    <w:rsid w:val="00533BF0"/>
    <w:rsid w:val="00533D66"/>
    <w:rsid w:val="0053476A"/>
    <w:rsid w:val="0053586F"/>
    <w:rsid w:val="0053602F"/>
    <w:rsid w:val="00536576"/>
    <w:rsid w:val="005365F9"/>
    <w:rsid w:val="00536637"/>
    <w:rsid w:val="00536E8E"/>
    <w:rsid w:val="005375B6"/>
    <w:rsid w:val="00537A49"/>
    <w:rsid w:val="00537B71"/>
    <w:rsid w:val="00537ED5"/>
    <w:rsid w:val="005401A6"/>
    <w:rsid w:val="005402A4"/>
    <w:rsid w:val="005403CA"/>
    <w:rsid w:val="005406C9"/>
    <w:rsid w:val="00541206"/>
    <w:rsid w:val="005412F7"/>
    <w:rsid w:val="005418A9"/>
    <w:rsid w:val="00541907"/>
    <w:rsid w:val="005421E0"/>
    <w:rsid w:val="005422A1"/>
    <w:rsid w:val="00542FE6"/>
    <w:rsid w:val="00543A6C"/>
    <w:rsid w:val="00543CAD"/>
    <w:rsid w:val="00544818"/>
    <w:rsid w:val="00544AB0"/>
    <w:rsid w:val="00544F67"/>
    <w:rsid w:val="00545631"/>
    <w:rsid w:val="00545FF6"/>
    <w:rsid w:val="00546547"/>
    <w:rsid w:val="005466C7"/>
    <w:rsid w:val="0054679C"/>
    <w:rsid w:val="00546834"/>
    <w:rsid w:val="0054757F"/>
    <w:rsid w:val="005476EE"/>
    <w:rsid w:val="005500FB"/>
    <w:rsid w:val="005507E0"/>
    <w:rsid w:val="00550DAA"/>
    <w:rsid w:val="00551289"/>
    <w:rsid w:val="005512BB"/>
    <w:rsid w:val="00551498"/>
    <w:rsid w:val="00551C3C"/>
    <w:rsid w:val="00551D78"/>
    <w:rsid w:val="0055302B"/>
    <w:rsid w:val="00553F1A"/>
    <w:rsid w:val="00554033"/>
    <w:rsid w:val="00554232"/>
    <w:rsid w:val="00554442"/>
    <w:rsid w:val="0055548A"/>
    <w:rsid w:val="00555906"/>
    <w:rsid w:val="00555AE6"/>
    <w:rsid w:val="0055629F"/>
    <w:rsid w:val="00556DA6"/>
    <w:rsid w:val="00556E2D"/>
    <w:rsid w:val="00557255"/>
    <w:rsid w:val="0055729C"/>
    <w:rsid w:val="005572F8"/>
    <w:rsid w:val="005578C4"/>
    <w:rsid w:val="0056157D"/>
    <w:rsid w:val="00561AEE"/>
    <w:rsid w:val="00561C0A"/>
    <w:rsid w:val="00561CC9"/>
    <w:rsid w:val="005627A8"/>
    <w:rsid w:val="00562CCE"/>
    <w:rsid w:val="00563332"/>
    <w:rsid w:val="005638C0"/>
    <w:rsid w:val="00563AD9"/>
    <w:rsid w:val="00565149"/>
    <w:rsid w:val="00566205"/>
    <w:rsid w:val="005668AE"/>
    <w:rsid w:val="005668DF"/>
    <w:rsid w:val="0056720C"/>
    <w:rsid w:val="005676E7"/>
    <w:rsid w:val="0056798F"/>
    <w:rsid w:val="00567C90"/>
    <w:rsid w:val="005702F9"/>
    <w:rsid w:val="00570420"/>
    <w:rsid w:val="00570F7B"/>
    <w:rsid w:val="00571030"/>
    <w:rsid w:val="005714BD"/>
    <w:rsid w:val="00571CDD"/>
    <w:rsid w:val="005720D1"/>
    <w:rsid w:val="00572572"/>
    <w:rsid w:val="0057280C"/>
    <w:rsid w:val="005734DB"/>
    <w:rsid w:val="00573C38"/>
    <w:rsid w:val="00573CAF"/>
    <w:rsid w:val="00574343"/>
    <w:rsid w:val="00574D62"/>
    <w:rsid w:val="0057596F"/>
    <w:rsid w:val="00575D51"/>
    <w:rsid w:val="0057604E"/>
    <w:rsid w:val="00576C18"/>
    <w:rsid w:val="00576D70"/>
    <w:rsid w:val="00576F17"/>
    <w:rsid w:val="0057762B"/>
    <w:rsid w:val="00577E8A"/>
    <w:rsid w:val="00580FDF"/>
    <w:rsid w:val="0058130C"/>
    <w:rsid w:val="0058261E"/>
    <w:rsid w:val="005829B7"/>
    <w:rsid w:val="00582BEC"/>
    <w:rsid w:val="005830FC"/>
    <w:rsid w:val="0058395F"/>
    <w:rsid w:val="00583CBE"/>
    <w:rsid w:val="00583F40"/>
    <w:rsid w:val="0058451C"/>
    <w:rsid w:val="00584E57"/>
    <w:rsid w:val="005852B3"/>
    <w:rsid w:val="0058632B"/>
    <w:rsid w:val="00586B8B"/>
    <w:rsid w:val="00586DBD"/>
    <w:rsid w:val="0058765D"/>
    <w:rsid w:val="00590124"/>
    <w:rsid w:val="00590705"/>
    <w:rsid w:val="00590992"/>
    <w:rsid w:val="005909CE"/>
    <w:rsid w:val="00590A04"/>
    <w:rsid w:val="00591580"/>
    <w:rsid w:val="005933BA"/>
    <w:rsid w:val="005935DB"/>
    <w:rsid w:val="00593890"/>
    <w:rsid w:val="00593B0E"/>
    <w:rsid w:val="00594187"/>
    <w:rsid w:val="00594530"/>
    <w:rsid w:val="005948A0"/>
    <w:rsid w:val="00594C10"/>
    <w:rsid w:val="00595207"/>
    <w:rsid w:val="005952C4"/>
    <w:rsid w:val="00595645"/>
    <w:rsid w:val="00595ACB"/>
    <w:rsid w:val="00595FC6"/>
    <w:rsid w:val="00595FCE"/>
    <w:rsid w:val="005962D4"/>
    <w:rsid w:val="00596CD8"/>
    <w:rsid w:val="005976EC"/>
    <w:rsid w:val="00597B52"/>
    <w:rsid w:val="005A030A"/>
    <w:rsid w:val="005A0336"/>
    <w:rsid w:val="005A0B21"/>
    <w:rsid w:val="005A0E9A"/>
    <w:rsid w:val="005A10C5"/>
    <w:rsid w:val="005A110C"/>
    <w:rsid w:val="005A1296"/>
    <w:rsid w:val="005A22BB"/>
    <w:rsid w:val="005A24FF"/>
    <w:rsid w:val="005A26C6"/>
    <w:rsid w:val="005A36F8"/>
    <w:rsid w:val="005A38C3"/>
    <w:rsid w:val="005A3F7A"/>
    <w:rsid w:val="005A40CB"/>
    <w:rsid w:val="005A46AF"/>
    <w:rsid w:val="005A497B"/>
    <w:rsid w:val="005A4EC7"/>
    <w:rsid w:val="005A62F3"/>
    <w:rsid w:val="005A6A81"/>
    <w:rsid w:val="005A6BD1"/>
    <w:rsid w:val="005A6C7A"/>
    <w:rsid w:val="005A6D97"/>
    <w:rsid w:val="005A6EED"/>
    <w:rsid w:val="005A70A2"/>
    <w:rsid w:val="005A7161"/>
    <w:rsid w:val="005A7C98"/>
    <w:rsid w:val="005B0009"/>
    <w:rsid w:val="005B07D3"/>
    <w:rsid w:val="005B080F"/>
    <w:rsid w:val="005B104F"/>
    <w:rsid w:val="005B10A2"/>
    <w:rsid w:val="005B10C3"/>
    <w:rsid w:val="005B13CF"/>
    <w:rsid w:val="005B17D7"/>
    <w:rsid w:val="005B1BA0"/>
    <w:rsid w:val="005B24F3"/>
    <w:rsid w:val="005B3A89"/>
    <w:rsid w:val="005B3D8D"/>
    <w:rsid w:val="005B46C4"/>
    <w:rsid w:val="005B4716"/>
    <w:rsid w:val="005B479E"/>
    <w:rsid w:val="005B60C0"/>
    <w:rsid w:val="005B625B"/>
    <w:rsid w:val="005B6268"/>
    <w:rsid w:val="005B6D8B"/>
    <w:rsid w:val="005B713A"/>
    <w:rsid w:val="005B75FA"/>
    <w:rsid w:val="005B799C"/>
    <w:rsid w:val="005B7B6F"/>
    <w:rsid w:val="005C0C3D"/>
    <w:rsid w:val="005C0DEF"/>
    <w:rsid w:val="005C1380"/>
    <w:rsid w:val="005C219E"/>
    <w:rsid w:val="005C2947"/>
    <w:rsid w:val="005C2A8C"/>
    <w:rsid w:val="005C2AE3"/>
    <w:rsid w:val="005C3671"/>
    <w:rsid w:val="005C3A85"/>
    <w:rsid w:val="005C3ABD"/>
    <w:rsid w:val="005C3CBE"/>
    <w:rsid w:val="005C41B5"/>
    <w:rsid w:val="005C54BF"/>
    <w:rsid w:val="005C5D3C"/>
    <w:rsid w:val="005C5FDA"/>
    <w:rsid w:val="005C665A"/>
    <w:rsid w:val="005C6A57"/>
    <w:rsid w:val="005C6E9C"/>
    <w:rsid w:val="005C754E"/>
    <w:rsid w:val="005C7F76"/>
    <w:rsid w:val="005C7FAA"/>
    <w:rsid w:val="005D014E"/>
    <w:rsid w:val="005D0745"/>
    <w:rsid w:val="005D086B"/>
    <w:rsid w:val="005D0964"/>
    <w:rsid w:val="005D0E3C"/>
    <w:rsid w:val="005D1CBC"/>
    <w:rsid w:val="005D2286"/>
    <w:rsid w:val="005D2DB6"/>
    <w:rsid w:val="005D31E4"/>
    <w:rsid w:val="005D3A0D"/>
    <w:rsid w:val="005D3ADC"/>
    <w:rsid w:val="005D426C"/>
    <w:rsid w:val="005D52A8"/>
    <w:rsid w:val="005D56B0"/>
    <w:rsid w:val="005D612E"/>
    <w:rsid w:val="005D6FC4"/>
    <w:rsid w:val="005D7357"/>
    <w:rsid w:val="005E0045"/>
    <w:rsid w:val="005E07BB"/>
    <w:rsid w:val="005E0F6D"/>
    <w:rsid w:val="005E1493"/>
    <w:rsid w:val="005E19CA"/>
    <w:rsid w:val="005E1D81"/>
    <w:rsid w:val="005E1F2C"/>
    <w:rsid w:val="005E2760"/>
    <w:rsid w:val="005E28E1"/>
    <w:rsid w:val="005E2A03"/>
    <w:rsid w:val="005E2CE9"/>
    <w:rsid w:val="005E32AE"/>
    <w:rsid w:val="005E330C"/>
    <w:rsid w:val="005E43A7"/>
    <w:rsid w:val="005E440B"/>
    <w:rsid w:val="005E49E8"/>
    <w:rsid w:val="005E5693"/>
    <w:rsid w:val="005E5D93"/>
    <w:rsid w:val="005E619C"/>
    <w:rsid w:val="005E67E9"/>
    <w:rsid w:val="005E6DEB"/>
    <w:rsid w:val="005E701B"/>
    <w:rsid w:val="005E7326"/>
    <w:rsid w:val="005E7DF9"/>
    <w:rsid w:val="005F06FA"/>
    <w:rsid w:val="005F08D9"/>
    <w:rsid w:val="005F114F"/>
    <w:rsid w:val="005F195D"/>
    <w:rsid w:val="005F1C7E"/>
    <w:rsid w:val="005F1C98"/>
    <w:rsid w:val="005F206F"/>
    <w:rsid w:val="005F2F1D"/>
    <w:rsid w:val="005F348A"/>
    <w:rsid w:val="005F3A54"/>
    <w:rsid w:val="005F3C1A"/>
    <w:rsid w:val="005F48B5"/>
    <w:rsid w:val="005F4A4C"/>
    <w:rsid w:val="005F4E8F"/>
    <w:rsid w:val="005F5AB6"/>
    <w:rsid w:val="005F65A0"/>
    <w:rsid w:val="005F7587"/>
    <w:rsid w:val="005F7AB3"/>
    <w:rsid w:val="005F7C11"/>
    <w:rsid w:val="006003C9"/>
    <w:rsid w:val="006008A1"/>
    <w:rsid w:val="00600A3C"/>
    <w:rsid w:val="00600B6B"/>
    <w:rsid w:val="00600B8C"/>
    <w:rsid w:val="00600DD7"/>
    <w:rsid w:val="006011FB"/>
    <w:rsid w:val="00601D6A"/>
    <w:rsid w:val="00602960"/>
    <w:rsid w:val="0060298C"/>
    <w:rsid w:val="00602B81"/>
    <w:rsid w:val="00603599"/>
    <w:rsid w:val="00603731"/>
    <w:rsid w:val="0060382F"/>
    <w:rsid w:val="00603E29"/>
    <w:rsid w:val="00604068"/>
    <w:rsid w:val="006043BD"/>
    <w:rsid w:val="0060470E"/>
    <w:rsid w:val="00604BFC"/>
    <w:rsid w:val="006051FE"/>
    <w:rsid w:val="0060532E"/>
    <w:rsid w:val="00605556"/>
    <w:rsid w:val="00605DD3"/>
    <w:rsid w:val="0060646B"/>
    <w:rsid w:val="00606D25"/>
    <w:rsid w:val="00606D8F"/>
    <w:rsid w:val="00610397"/>
    <w:rsid w:val="006118B2"/>
    <w:rsid w:val="00612F21"/>
    <w:rsid w:val="006143B0"/>
    <w:rsid w:val="0061451D"/>
    <w:rsid w:val="006145A5"/>
    <w:rsid w:val="00614D50"/>
    <w:rsid w:val="00614F31"/>
    <w:rsid w:val="00615119"/>
    <w:rsid w:val="00615937"/>
    <w:rsid w:val="00616292"/>
    <w:rsid w:val="00616F9B"/>
    <w:rsid w:val="00617653"/>
    <w:rsid w:val="00617868"/>
    <w:rsid w:val="00617CC1"/>
    <w:rsid w:val="00620155"/>
    <w:rsid w:val="0062030D"/>
    <w:rsid w:val="006204D3"/>
    <w:rsid w:val="0062074D"/>
    <w:rsid w:val="00620A08"/>
    <w:rsid w:val="00620B4F"/>
    <w:rsid w:val="00621B38"/>
    <w:rsid w:val="0062278B"/>
    <w:rsid w:val="00622C71"/>
    <w:rsid w:val="00622F9A"/>
    <w:rsid w:val="0062335F"/>
    <w:rsid w:val="006233D2"/>
    <w:rsid w:val="00623B0D"/>
    <w:rsid w:val="0062475F"/>
    <w:rsid w:val="006247DD"/>
    <w:rsid w:val="00624972"/>
    <w:rsid w:val="00624F85"/>
    <w:rsid w:val="00625CA9"/>
    <w:rsid w:val="0062603D"/>
    <w:rsid w:val="006261E7"/>
    <w:rsid w:val="00626689"/>
    <w:rsid w:val="00626823"/>
    <w:rsid w:val="0062699A"/>
    <w:rsid w:val="00626CD8"/>
    <w:rsid w:val="0062773D"/>
    <w:rsid w:val="006279CE"/>
    <w:rsid w:val="00630046"/>
    <w:rsid w:val="006319BA"/>
    <w:rsid w:val="006319C5"/>
    <w:rsid w:val="00631B8C"/>
    <w:rsid w:val="00631DE9"/>
    <w:rsid w:val="00631FCE"/>
    <w:rsid w:val="00632BB3"/>
    <w:rsid w:val="006333B5"/>
    <w:rsid w:val="00633449"/>
    <w:rsid w:val="00633646"/>
    <w:rsid w:val="00633827"/>
    <w:rsid w:val="006338A7"/>
    <w:rsid w:val="00633BF9"/>
    <w:rsid w:val="00633C7E"/>
    <w:rsid w:val="00634EB2"/>
    <w:rsid w:val="0063580A"/>
    <w:rsid w:val="00635BEC"/>
    <w:rsid w:val="00635CBE"/>
    <w:rsid w:val="00635FE6"/>
    <w:rsid w:val="006360EA"/>
    <w:rsid w:val="00636742"/>
    <w:rsid w:val="0063695E"/>
    <w:rsid w:val="00636AFE"/>
    <w:rsid w:val="00636EDE"/>
    <w:rsid w:val="006371AE"/>
    <w:rsid w:val="00637884"/>
    <w:rsid w:val="00637B8E"/>
    <w:rsid w:val="00637C92"/>
    <w:rsid w:val="00637F6C"/>
    <w:rsid w:val="00640B8F"/>
    <w:rsid w:val="00640C0E"/>
    <w:rsid w:val="0064121A"/>
    <w:rsid w:val="006413F9"/>
    <w:rsid w:val="00641B4F"/>
    <w:rsid w:val="00642D22"/>
    <w:rsid w:val="00642DB0"/>
    <w:rsid w:val="006432A2"/>
    <w:rsid w:val="00643BF9"/>
    <w:rsid w:val="0064417A"/>
    <w:rsid w:val="006441BB"/>
    <w:rsid w:val="0064470E"/>
    <w:rsid w:val="00644999"/>
    <w:rsid w:val="00644A77"/>
    <w:rsid w:val="0064537C"/>
    <w:rsid w:val="00645F5B"/>
    <w:rsid w:val="0064648A"/>
    <w:rsid w:val="00646C2B"/>
    <w:rsid w:val="006472C5"/>
    <w:rsid w:val="00647712"/>
    <w:rsid w:val="00647EC0"/>
    <w:rsid w:val="006505B0"/>
    <w:rsid w:val="00651644"/>
    <w:rsid w:val="006518A6"/>
    <w:rsid w:val="006519F3"/>
    <w:rsid w:val="00651ABD"/>
    <w:rsid w:val="00652391"/>
    <w:rsid w:val="00653B26"/>
    <w:rsid w:val="00653F22"/>
    <w:rsid w:val="00654705"/>
    <w:rsid w:val="006554D6"/>
    <w:rsid w:val="00656A80"/>
    <w:rsid w:val="00656E23"/>
    <w:rsid w:val="006575E6"/>
    <w:rsid w:val="0065787B"/>
    <w:rsid w:val="00657AA1"/>
    <w:rsid w:val="00657DD5"/>
    <w:rsid w:val="00657DF2"/>
    <w:rsid w:val="00657EED"/>
    <w:rsid w:val="00660D00"/>
    <w:rsid w:val="00660FF2"/>
    <w:rsid w:val="00661AC6"/>
    <w:rsid w:val="00661B0C"/>
    <w:rsid w:val="00662488"/>
    <w:rsid w:val="00662AB9"/>
    <w:rsid w:val="00662B89"/>
    <w:rsid w:val="0066313E"/>
    <w:rsid w:val="00663BD7"/>
    <w:rsid w:val="00663D9F"/>
    <w:rsid w:val="006640FB"/>
    <w:rsid w:val="00664741"/>
    <w:rsid w:val="00664778"/>
    <w:rsid w:val="00664B1E"/>
    <w:rsid w:val="00664DCD"/>
    <w:rsid w:val="00665414"/>
    <w:rsid w:val="00665CA4"/>
    <w:rsid w:val="006660F2"/>
    <w:rsid w:val="006671BE"/>
    <w:rsid w:val="00667AE5"/>
    <w:rsid w:val="006707E3"/>
    <w:rsid w:val="00670AB8"/>
    <w:rsid w:val="00671039"/>
    <w:rsid w:val="006710C0"/>
    <w:rsid w:val="006716CE"/>
    <w:rsid w:val="00671793"/>
    <w:rsid w:val="00671ECD"/>
    <w:rsid w:val="00672B26"/>
    <w:rsid w:val="006730F2"/>
    <w:rsid w:val="006740AE"/>
    <w:rsid w:val="006741AF"/>
    <w:rsid w:val="00674415"/>
    <w:rsid w:val="006749F0"/>
    <w:rsid w:val="00674CDA"/>
    <w:rsid w:val="00674F24"/>
    <w:rsid w:val="0067548D"/>
    <w:rsid w:val="00675C65"/>
    <w:rsid w:val="00675D7B"/>
    <w:rsid w:val="00676352"/>
    <w:rsid w:val="0068039B"/>
    <w:rsid w:val="006804BA"/>
    <w:rsid w:val="006807FA"/>
    <w:rsid w:val="00680985"/>
    <w:rsid w:val="00680B0E"/>
    <w:rsid w:val="00680DC2"/>
    <w:rsid w:val="00680EB2"/>
    <w:rsid w:val="00680FA5"/>
    <w:rsid w:val="0068142A"/>
    <w:rsid w:val="00681864"/>
    <w:rsid w:val="00681865"/>
    <w:rsid w:val="0068186C"/>
    <w:rsid w:val="0068190E"/>
    <w:rsid w:val="006819E9"/>
    <w:rsid w:val="00681C5D"/>
    <w:rsid w:val="0068209B"/>
    <w:rsid w:val="006820C3"/>
    <w:rsid w:val="0068222B"/>
    <w:rsid w:val="00682394"/>
    <w:rsid w:val="00682FDF"/>
    <w:rsid w:val="00683853"/>
    <w:rsid w:val="00683A0F"/>
    <w:rsid w:val="00684101"/>
    <w:rsid w:val="00684114"/>
    <w:rsid w:val="006846D1"/>
    <w:rsid w:val="00684AA4"/>
    <w:rsid w:val="006852E9"/>
    <w:rsid w:val="00685F95"/>
    <w:rsid w:val="006903D9"/>
    <w:rsid w:val="00691171"/>
    <w:rsid w:val="0069139B"/>
    <w:rsid w:val="00692B61"/>
    <w:rsid w:val="00692E05"/>
    <w:rsid w:val="00692FAF"/>
    <w:rsid w:val="006931D4"/>
    <w:rsid w:val="0069355A"/>
    <w:rsid w:val="00693924"/>
    <w:rsid w:val="00693B8D"/>
    <w:rsid w:val="006940B0"/>
    <w:rsid w:val="006941AB"/>
    <w:rsid w:val="00694659"/>
    <w:rsid w:val="00695B35"/>
    <w:rsid w:val="00695D6D"/>
    <w:rsid w:val="006969A4"/>
    <w:rsid w:val="006971C1"/>
    <w:rsid w:val="00697308"/>
    <w:rsid w:val="00697BE1"/>
    <w:rsid w:val="006A0573"/>
    <w:rsid w:val="006A1271"/>
    <w:rsid w:val="006A221F"/>
    <w:rsid w:val="006A26C0"/>
    <w:rsid w:val="006A26C3"/>
    <w:rsid w:val="006A29BC"/>
    <w:rsid w:val="006A2DC7"/>
    <w:rsid w:val="006A3063"/>
    <w:rsid w:val="006A329F"/>
    <w:rsid w:val="006A3C34"/>
    <w:rsid w:val="006A4E0D"/>
    <w:rsid w:val="006A4E10"/>
    <w:rsid w:val="006A5A88"/>
    <w:rsid w:val="006A5CB0"/>
    <w:rsid w:val="006A609A"/>
    <w:rsid w:val="006A6311"/>
    <w:rsid w:val="006A6519"/>
    <w:rsid w:val="006A695F"/>
    <w:rsid w:val="006A6EB6"/>
    <w:rsid w:val="006A7238"/>
    <w:rsid w:val="006A730B"/>
    <w:rsid w:val="006A76B8"/>
    <w:rsid w:val="006A7711"/>
    <w:rsid w:val="006A7D17"/>
    <w:rsid w:val="006A7FE4"/>
    <w:rsid w:val="006B00BC"/>
    <w:rsid w:val="006B024C"/>
    <w:rsid w:val="006B0394"/>
    <w:rsid w:val="006B089E"/>
    <w:rsid w:val="006B0AC3"/>
    <w:rsid w:val="006B109E"/>
    <w:rsid w:val="006B11B3"/>
    <w:rsid w:val="006B1547"/>
    <w:rsid w:val="006B1835"/>
    <w:rsid w:val="006B1EDB"/>
    <w:rsid w:val="006B212E"/>
    <w:rsid w:val="006B24C5"/>
    <w:rsid w:val="006B2B29"/>
    <w:rsid w:val="006B2E87"/>
    <w:rsid w:val="006B3635"/>
    <w:rsid w:val="006B3C28"/>
    <w:rsid w:val="006B3F20"/>
    <w:rsid w:val="006B475F"/>
    <w:rsid w:val="006B52AD"/>
    <w:rsid w:val="006B53D9"/>
    <w:rsid w:val="006B5532"/>
    <w:rsid w:val="006B5886"/>
    <w:rsid w:val="006B5A0A"/>
    <w:rsid w:val="006B5E7C"/>
    <w:rsid w:val="006B6456"/>
    <w:rsid w:val="006B66AD"/>
    <w:rsid w:val="006B68FD"/>
    <w:rsid w:val="006B6B99"/>
    <w:rsid w:val="006B6EB1"/>
    <w:rsid w:val="006B7226"/>
    <w:rsid w:val="006B757E"/>
    <w:rsid w:val="006B7E1F"/>
    <w:rsid w:val="006C01C8"/>
    <w:rsid w:val="006C0259"/>
    <w:rsid w:val="006C1254"/>
    <w:rsid w:val="006C1367"/>
    <w:rsid w:val="006C1625"/>
    <w:rsid w:val="006C2146"/>
    <w:rsid w:val="006C2312"/>
    <w:rsid w:val="006C2A0E"/>
    <w:rsid w:val="006C2ACB"/>
    <w:rsid w:val="006C32CA"/>
    <w:rsid w:val="006C3490"/>
    <w:rsid w:val="006C37C7"/>
    <w:rsid w:val="006C3822"/>
    <w:rsid w:val="006C3D03"/>
    <w:rsid w:val="006C566A"/>
    <w:rsid w:val="006C5B0A"/>
    <w:rsid w:val="006C5F4A"/>
    <w:rsid w:val="006C5FDE"/>
    <w:rsid w:val="006C6753"/>
    <w:rsid w:val="006C6927"/>
    <w:rsid w:val="006C6A69"/>
    <w:rsid w:val="006C7AD0"/>
    <w:rsid w:val="006D0546"/>
    <w:rsid w:val="006D05BF"/>
    <w:rsid w:val="006D0670"/>
    <w:rsid w:val="006D09BC"/>
    <w:rsid w:val="006D1B74"/>
    <w:rsid w:val="006D1C17"/>
    <w:rsid w:val="006D201D"/>
    <w:rsid w:val="006D292C"/>
    <w:rsid w:val="006D33BF"/>
    <w:rsid w:val="006D3B6F"/>
    <w:rsid w:val="006D3E88"/>
    <w:rsid w:val="006D455A"/>
    <w:rsid w:val="006D45FA"/>
    <w:rsid w:val="006D4756"/>
    <w:rsid w:val="006D49C6"/>
    <w:rsid w:val="006D598B"/>
    <w:rsid w:val="006D5B51"/>
    <w:rsid w:val="006D65EC"/>
    <w:rsid w:val="006D6711"/>
    <w:rsid w:val="006D67F1"/>
    <w:rsid w:val="006D6BAC"/>
    <w:rsid w:val="006D719B"/>
    <w:rsid w:val="006D723D"/>
    <w:rsid w:val="006D7E7A"/>
    <w:rsid w:val="006E0169"/>
    <w:rsid w:val="006E1838"/>
    <w:rsid w:val="006E197D"/>
    <w:rsid w:val="006E1DC4"/>
    <w:rsid w:val="006E2084"/>
    <w:rsid w:val="006E2411"/>
    <w:rsid w:val="006E2C76"/>
    <w:rsid w:val="006E3614"/>
    <w:rsid w:val="006E3D3A"/>
    <w:rsid w:val="006E3F9A"/>
    <w:rsid w:val="006E41CA"/>
    <w:rsid w:val="006E433E"/>
    <w:rsid w:val="006E4E5C"/>
    <w:rsid w:val="006E5123"/>
    <w:rsid w:val="006E5599"/>
    <w:rsid w:val="006E55B8"/>
    <w:rsid w:val="006E5729"/>
    <w:rsid w:val="006E578A"/>
    <w:rsid w:val="006E5E13"/>
    <w:rsid w:val="006E64BB"/>
    <w:rsid w:val="006E6615"/>
    <w:rsid w:val="006E66D4"/>
    <w:rsid w:val="006E7162"/>
    <w:rsid w:val="006E7921"/>
    <w:rsid w:val="006E7B61"/>
    <w:rsid w:val="006F09C5"/>
    <w:rsid w:val="006F0C3F"/>
    <w:rsid w:val="006F1C3A"/>
    <w:rsid w:val="006F1C61"/>
    <w:rsid w:val="006F2039"/>
    <w:rsid w:val="006F2A9E"/>
    <w:rsid w:val="006F31FB"/>
    <w:rsid w:val="006F36B3"/>
    <w:rsid w:val="006F36EF"/>
    <w:rsid w:val="006F407A"/>
    <w:rsid w:val="006F442A"/>
    <w:rsid w:val="006F5785"/>
    <w:rsid w:val="006F57AE"/>
    <w:rsid w:val="006F5DA7"/>
    <w:rsid w:val="006F6F6F"/>
    <w:rsid w:val="006F703A"/>
    <w:rsid w:val="006F71DD"/>
    <w:rsid w:val="006F72B2"/>
    <w:rsid w:val="006F7B0F"/>
    <w:rsid w:val="006F7D65"/>
    <w:rsid w:val="0070009D"/>
    <w:rsid w:val="00700156"/>
    <w:rsid w:val="007007C3"/>
    <w:rsid w:val="007009B6"/>
    <w:rsid w:val="0070138B"/>
    <w:rsid w:val="007019D2"/>
    <w:rsid w:val="00702421"/>
    <w:rsid w:val="00702A56"/>
    <w:rsid w:val="00702E9D"/>
    <w:rsid w:val="007034AB"/>
    <w:rsid w:val="00704012"/>
    <w:rsid w:val="00704653"/>
    <w:rsid w:val="00704852"/>
    <w:rsid w:val="00704F2E"/>
    <w:rsid w:val="00704F60"/>
    <w:rsid w:val="007053E7"/>
    <w:rsid w:val="007053EB"/>
    <w:rsid w:val="00705566"/>
    <w:rsid w:val="007056A8"/>
    <w:rsid w:val="00705BAA"/>
    <w:rsid w:val="0070658C"/>
    <w:rsid w:val="007075DD"/>
    <w:rsid w:val="0070772C"/>
    <w:rsid w:val="0070781C"/>
    <w:rsid w:val="00707B9D"/>
    <w:rsid w:val="007106DA"/>
    <w:rsid w:val="0071078A"/>
    <w:rsid w:val="0071089F"/>
    <w:rsid w:val="007108D6"/>
    <w:rsid w:val="00710906"/>
    <w:rsid w:val="00711355"/>
    <w:rsid w:val="007120F1"/>
    <w:rsid w:val="00712565"/>
    <w:rsid w:val="00712667"/>
    <w:rsid w:val="007128C9"/>
    <w:rsid w:val="00713007"/>
    <w:rsid w:val="007133F5"/>
    <w:rsid w:val="0071359E"/>
    <w:rsid w:val="0071402F"/>
    <w:rsid w:val="00714368"/>
    <w:rsid w:val="007144FA"/>
    <w:rsid w:val="0071471F"/>
    <w:rsid w:val="0071597E"/>
    <w:rsid w:val="007159E7"/>
    <w:rsid w:val="00715DBE"/>
    <w:rsid w:val="007169F6"/>
    <w:rsid w:val="00716AF9"/>
    <w:rsid w:val="00716B41"/>
    <w:rsid w:val="00716BFD"/>
    <w:rsid w:val="00717570"/>
    <w:rsid w:val="0071770F"/>
    <w:rsid w:val="00717F83"/>
    <w:rsid w:val="007204E9"/>
    <w:rsid w:val="00720639"/>
    <w:rsid w:val="00720792"/>
    <w:rsid w:val="007207C2"/>
    <w:rsid w:val="00720C93"/>
    <w:rsid w:val="007210F7"/>
    <w:rsid w:val="00721473"/>
    <w:rsid w:val="00721F5A"/>
    <w:rsid w:val="00722007"/>
    <w:rsid w:val="007222B1"/>
    <w:rsid w:val="0072354A"/>
    <w:rsid w:val="007236C1"/>
    <w:rsid w:val="00723FA8"/>
    <w:rsid w:val="00724368"/>
    <w:rsid w:val="00724786"/>
    <w:rsid w:val="00724CF0"/>
    <w:rsid w:val="00724DA3"/>
    <w:rsid w:val="00725068"/>
    <w:rsid w:val="007251F3"/>
    <w:rsid w:val="007254E8"/>
    <w:rsid w:val="00725C73"/>
    <w:rsid w:val="00725DB8"/>
    <w:rsid w:val="00726196"/>
    <w:rsid w:val="00726A5D"/>
    <w:rsid w:val="00726E17"/>
    <w:rsid w:val="00726EB9"/>
    <w:rsid w:val="00727A6A"/>
    <w:rsid w:val="00727C0D"/>
    <w:rsid w:val="00727EB3"/>
    <w:rsid w:val="00730A07"/>
    <w:rsid w:val="0073123C"/>
    <w:rsid w:val="007313CF"/>
    <w:rsid w:val="00731C1F"/>
    <w:rsid w:val="00731EDB"/>
    <w:rsid w:val="007324D7"/>
    <w:rsid w:val="00732B2D"/>
    <w:rsid w:val="00732B72"/>
    <w:rsid w:val="00732DC3"/>
    <w:rsid w:val="00732DF0"/>
    <w:rsid w:val="00734AB3"/>
    <w:rsid w:val="00735152"/>
    <w:rsid w:val="0073533C"/>
    <w:rsid w:val="0073589E"/>
    <w:rsid w:val="00735A84"/>
    <w:rsid w:val="00736B66"/>
    <w:rsid w:val="00736F22"/>
    <w:rsid w:val="00737039"/>
    <w:rsid w:val="00737D92"/>
    <w:rsid w:val="0074014E"/>
    <w:rsid w:val="007407D8"/>
    <w:rsid w:val="00740E7D"/>
    <w:rsid w:val="0074103D"/>
    <w:rsid w:val="007412BE"/>
    <w:rsid w:val="00741A8B"/>
    <w:rsid w:val="00741E22"/>
    <w:rsid w:val="007426FD"/>
    <w:rsid w:val="00742A48"/>
    <w:rsid w:val="00742E3A"/>
    <w:rsid w:val="007435EF"/>
    <w:rsid w:val="00743865"/>
    <w:rsid w:val="00744120"/>
    <w:rsid w:val="007445F5"/>
    <w:rsid w:val="00745242"/>
    <w:rsid w:val="00745511"/>
    <w:rsid w:val="007457AC"/>
    <w:rsid w:val="007459DE"/>
    <w:rsid w:val="007461B0"/>
    <w:rsid w:val="00746971"/>
    <w:rsid w:val="0074707D"/>
    <w:rsid w:val="00747195"/>
    <w:rsid w:val="007471C0"/>
    <w:rsid w:val="007472A1"/>
    <w:rsid w:val="007474C6"/>
    <w:rsid w:val="00747536"/>
    <w:rsid w:val="00750B05"/>
    <w:rsid w:val="00751660"/>
    <w:rsid w:val="0075169B"/>
    <w:rsid w:val="00751760"/>
    <w:rsid w:val="00751A58"/>
    <w:rsid w:val="00751A95"/>
    <w:rsid w:val="007524DE"/>
    <w:rsid w:val="00752901"/>
    <w:rsid w:val="00752BCC"/>
    <w:rsid w:val="007533EE"/>
    <w:rsid w:val="00753F48"/>
    <w:rsid w:val="00754538"/>
    <w:rsid w:val="00754664"/>
    <w:rsid w:val="0075476F"/>
    <w:rsid w:val="00754D7E"/>
    <w:rsid w:val="00755AC8"/>
    <w:rsid w:val="00756136"/>
    <w:rsid w:val="007569E5"/>
    <w:rsid w:val="007570EF"/>
    <w:rsid w:val="007601F4"/>
    <w:rsid w:val="007608AD"/>
    <w:rsid w:val="0076118B"/>
    <w:rsid w:val="00761212"/>
    <w:rsid w:val="00761BEE"/>
    <w:rsid w:val="00762178"/>
    <w:rsid w:val="007622F2"/>
    <w:rsid w:val="00762801"/>
    <w:rsid w:val="00763A89"/>
    <w:rsid w:val="00763BA4"/>
    <w:rsid w:val="007645CD"/>
    <w:rsid w:val="0076469F"/>
    <w:rsid w:val="007646E7"/>
    <w:rsid w:val="00764F35"/>
    <w:rsid w:val="0076542F"/>
    <w:rsid w:val="007658FA"/>
    <w:rsid w:val="00765A68"/>
    <w:rsid w:val="0076642C"/>
    <w:rsid w:val="0076675D"/>
    <w:rsid w:val="007667E8"/>
    <w:rsid w:val="0076767F"/>
    <w:rsid w:val="00767C7B"/>
    <w:rsid w:val="0077015C"/>
    <w:rsid w:val="00770176"/>
    <w:rsid w:val="007703F1"/>
    <w:rsid w:val="00770FE8"/>
    <w:rsid w:val="00772342"/>
    <w:rsid w:val="007727A1"/>
    <w:rsid w:val="00772AD8"/>
    <w:rsid w:val="00772DE1"/>
    <w:rsid w:val="00774477"/>
    <w:rsid w:val="007744CA"/>
    <w:rsid w:val="00774901"/>
    <w:rsid w:val="007754DF"/>
    <w:rsid w:val="007759EB"/>
    <w:rsid w:val="007762E9"/>
    <w:rsid w:val="00776813"/>
    <w:rsid w:val="00777D88"/>
    <w:rsid w:val="0078066B"/>
    <w:rsid w:val="00780DE0"/>
    <w:rsid w:val="0078186B"/>
    <w:rsid w:val="00782C8B"/>
    <w:rsid w:val="00782CFB"/>
    <w:rsid w:val="00783304"/>
    <w:rsid w:val="0078494A"/>
    <w:rsid w:val="00784A80"/>
    <w:rsid w:val="00785873"/>
    <w:rsid w:val="007858DB"/>
    <w:rsid w:val="00786DFB"/>
    <w:rsid w:val="00786F70"/>
    <w:rsid w:val="007870B3"/>
    <w:rsid w:val="0078738E"/>
    <w:rsid w:val="00787C01"/>
    <w:rsid w:val="00787EE0"/>
    <w:rsid w:val="00790663"/>
    <w:rsid w:val="00790BD4"/>
    <w:rsid w:val="00790CB9"/>
    <w:rsid w:val="007915F6"/>
    <w:rsid w:val="007916E3"/>
    <w:rsid w:val="00792019"/>
    <w:rsid w:val="007934E1"/>
    <w:rsid w:val="00793F8C"/>
    <w:rsid w:val="00794102"/>
    <w:rsid w:val="007944D5"/>
    <w:rsid w:val="0079546C"/>
    <w:rsid w:val="007956C6"/>
    <w:rsid w:val="0079592B"/>
    <w:rsid w:val="0079648B"/>
    <w:rsid w:val="007966D7"/>
    <w:rsid w:val="00797310"/>
    <w:rsid w:val="0079752F"/>
    <w:rsid w:val="007976E1"/>
    <w:rsid w:val="007977EE"/>
    <w:rsid w:val="00797880"/>
    <w:rsid w:val="007A04F5"/>
    <w:rsid w:val="007A07B5"/>
    <w:rsid w:val="007A0F51"/>
    <w:rsid w:val="007A1E58"/>
    <w:rsid w:val="007A20FD"/>
    <w:rsid w:val="007A2474"/>
    <w:rsid w:val="007A2933"/>
    <w:rsid w:val="007A2992"/>
    <w:rsid w:val="007A2A9A"/>
    <w:rsid w:val="007A2C56"/>
    <w:rsid w:val="007A2C58"/>
    <w:rsid w:val="007A345D"/>
    <w:rsid w:val="007A3FA8"/>
    <w:rsid w:val="007A455A"/>
    <w:rsid w:val="007A4730"/>
    <w:rsid w:val="007A4EDF"/>
    <w:rsid w:val="007A55BA"/>
    <w:rsid w:val="007A5878"/>
    <w:rsid w:val="007A5EF1"/>
    <w:rsid w:val="007A6599"/>
    <w:rsid w:val="007A6764"/>
    <w:rsid w:val="007A7B3A"/>
    <w:rsid w:val="007A7B9B"/>
    <w:rsid w:val="007A7CC7"/>
    <w:rsid w:val="007A7CF8"/>
    <w:rsid w:val="007A7E24"/>
    <w:rsid w:val="007B066F"/>
    <w:rsid w:val="007B09CB"/>
    <w:rsid w:val="007B0DF5"/>
    <w:rsid w:val="007B0F4D"/>
    <w:rsid w:val="007B1458"/>
    <w:rsid w:val="007B29C3"/>
    <w:rsid w:val="007B2A96"/>
    <w:rsid w:val="007B2FB0"/>
    <w:rsid w:val="007B34DF"/>
    <w:rsid w:val="007B3931"/>
    <w:rsid w:val="007B3E16"/>
    <w:rsid w:val="007B4271"/>
    <w:rsid w:val="007B4ABE"/>
    <w:rsid w:val="007B5304"/>
    <w:rsid w:val="007B54FC"/>
    <w:rsid w:val="007B6502"/>
    <w:rsid w:val="007B6805"/>
    <w:rsid w:val="007B69FB"/>
    <w:rsid w:val="007B6B3B"/>
    <w:rsid w:val="007B6F5A"/>
    <w:rsid w:val="007B7A9D"/>
    <w:rsid w:val="007B7EA4"/>
    <w:rsid w:val="007B7FDE"/>
    <w:rsid w:val="007C0063"/>
    <w:rsid w:val="007C033C"/>
    <w:rsid w:val="007C0486"/>
    <w:rsid w:val="007C077F"/>
    <w:rsid w:val="007C0B39"/>
    <w:rsid w:val="007C134B"/>
    <w:rsid w:val="007C13C8"/>
    <w:rsid w:val="007C1C2E"/>
    <w:rsid w:val="007C210F"/>
    <w:rsid w:val="007C2C1B"/>
    <w:rsid w:val="007C2D69"/>
    <w:rsid w:val="007C3678"/>
    <w:rsid w:val="007C38B6"/>
    <w:rsid w:val="007C39B7"/>
    <w:rsid w:val="007C3E9B"/>
    <w:rsid w:val="007C44A5"/>
    <w:rsid w:val="007C4CAE"/>
    <w:rsid w:val="007C53EC"/>
    <w:rsid w:val="007C53F4"/>
    <w:rsid w:val="007C540C"/>
    <w:rsid w:val="007C6170"/>
    <w:rsid w:val="007C7951"/>
    <w:rsid w:val="007C7CDE"/>
    <w:rsid w:val="007C7E23"/>
    <w:rsid w:val="007C7FC0"/>
    <w:rsid w:val="007D0D40"/>
    <w:rsid w:val="007D100D"/>
    <w:rsid w:val="007D200A"/>
    <w:rsid w:val="007D222E"/>
    <w:rsid w:val="007D22A3"/>
    <w:rsid w:val="007D257C"/>
    <w:rsid w:val="007D25A1"/>
    <w:rsid w:val="007D3A82"/>
    <w:rsid w:val="007D3EE2"/>
    <w:rsid w:val="007D4259"/>
    <w:rsid w:val="007D5023"/>
    <w:rsid w:val="007D54E5"/>
    <w:rsid w:val="007D5927"/>
    <w:rsid w:val="007D5C3F"/>
    <w:rsid w:val="007D6592"/>
    <w:rsid w:val="007D6828"/>
    <w:rsid w:val="007D6B57"/>
    <w:rsid w:val="007D6E37"/>
    <w:rsid w:val="007D73D0"/>
    <w:rsid w:val="007D74E7"/>
    <w:rsid w:val="007D7D4D"/>
    <w:rsid w:val="007D7DFE"/>
    <w:rsid w:val="007E0555"/>
    <w:rsid w:val="007E0AA6"/>
    <w:rsid w:val="007E14EE"/>
    <w:rsid w:val="007E2770"/>
    <w:rsid w:val="007E347B"/>
    <w:rsid w:val="007E37E1"/>
    <w:rsid w:val="007E3B3B"/>
    <w:rsid w:val="007E3DD9"/>
    <w:rsid w:val="007E40F6"/>
    <w:rsid w:val="007E51D9"/>
    <w:rsid w:val="007E671C"/>
    <w:rsid w:val="007E6999"/>
    <w:rsid w:val="007E6EA1"/>
    <w:rsid w:val="007E6ECE"/>
    <w:rsid w:val="007E70A8"/>
    <w:rsid w:val="007E7765"/>
    <w:rsid w:val="007E792C"/>
    <w:rsid w:val="007F017C"/>
    <w:rsid w:val="007F018A"/>
    <w:rsid w:val="007F0B5B"/>
    <w:rsid w:val="007F0C43"/>
    <w:rsid w:val="007F13B3"/>
    <w:rsid w:val="007F16B9"/>
    <w:rsid w:val="007F2CB8"/>
    <w:rsid w:val="007F488F"/>
    <w:rsid w:val="007F5925"/>
    <w:rsid w:val="007F6B4D"/>
    <w:rsid w:val="007F6B67"/>
    <w:rsid w:val="008008FF"/>
    <w:rsid w:val="00800CF6"/>
    <w:rsid w:val="00800F02"/>
    <w:rsid w:val="00801484"/>
    <w:rsid w:val="008016F2"/>
    <w:rsid w:val="00801905"/>
    <w:rsid w:val="00801F6E"/>
    <w:rsid w:val="00801FB0"/>
    <w:rsid w:val="00802471"/>
    <w:rsid w:val="008027DB"/>
    <w:rsid w:val="008027DF"/>
    <w:rsid w:val="00802D85"/>
    <w:rsid w:val="00803309"/>
    <w:rsid w:val="00803DFF"/>
    <w:rsid w:val="008041FA"/>
    <w:rsid w:val="008043BC"/>
    <w:rsid w:val="00804855"/>
    <w:rsid w:val="00804AD2"/>
    <w:rsid w:val="00804B93"/>
    <w:rsid w:val="00805C60"/>
    <w:rsid w:val="0080606A"/>
    <w:rsid w:val="00806DF3"/>
    <w:rsid w:val="00807834"/>
    <w:rsid w:val="00810033"/>
    <w:rsid w:val="00810877"/>
    <w:rsid w:val="00810D31"/>
    <w:rsid w:val="008111FE"/>
    <w:rsid w:val="00811760"/>
    <w:rsid w:val="00811BAE"/>
    <w:rsid w:val="00811FFA"/>
    <w:rsid w:val="00812032"/>
    <w:rsid w:val="00812880"/>
    <w:rsid w:val="0081288C"/>
    <w:rsid w:val="00812DF6"/>
    <w:rsid w:val="008132DE"/>
    <w:rsid w:val="00813B88"/>
    <w:rsid w:val="00813BE4"/>
    <w:rsid w:val="00814557"/>
    <w:rsid w:val="0081491B"/>
    <w:rsid w:val="008150CD"/>
    <w:rsid w:val="00815307"/>
    <w:rsid w:val="00816677"/>
    <w:rsid w:val="00816A8C"/>
    <w:rsid w:val="008172D2"/>
    <w:rsid w:val="0081762E"/>
    <w:rsid w:val="00817C0C"/>
    <w:rsid w:val="00817DAA"/>
    <w:rsid w:val="0082048A"/>
    <w:rsid w:val="008204D7"/>
    <w:rsid w:val="00820CCE"/>
    <w:rsid w:val="0082112D"/>
    <w:rsid w:val="008212D6"/>
    <w:rsid w:val="008215E4"/>
    <w:rsid w:val="0082258D"/>
    <w:rsid w:val="008229EA"/>
    <w:rsid w:val="00822F4D"/>
    <w:rsid w:val="008231A9"/>
    <w:rsid w:val="008232AD"/>
    <w:rsid w:val="008234FA"/>
    <w:rsid w:val="00823B99"/>
    <w:rsid w:val="00823F49"/>
    <w:rsid w:val="008240ED"/>
    <w:rsid w:val="008245CB"/>
    <w:rsid w:val="00824D00"/>
    <w:rsid w:val="00826401"/>
    <w:rsid w:val="00826BCF"/>
    <w:rsid w:val="00826FAE"/>
    <w:rsid w:val="00830864"/>
    <w:rsid w:val="0083090C"/>
    <w:rsid w:val="00831068"/>
    <w:rsid w:val="0083114A"/>
    <w:rsid w:val="0083128A"/>
    <w:rsid w:val="0083179D"/>
    <w:rsid w:val="0083190E"/>
    <w:rsid w:val="00831AC0"/>
    <w:rsid w:val="00831AC1"/>
    <w:rsid w:val="008325AB"/>
    <w:rsid w:val="00832746"/>
    <w:rsid w:val="00832C05"/>
    <w:rsid w:val="0083377B"/>
    <w:rsid w:val="008337DC"/>
    <w:rsid w:val="008338DF"/>
    <w:rsid w:val="00834512"/>
    <w:rsid w:val="00834D41"/>
    <w:rsid w:val="00834F99"/>
    <w:rsid w:val="00835DBC"/>
    <w:rsid w:val="0083625E"/>
    <w:rsid w:val="00836B81"/>
    <w:rsid w:val="00836BF0"/>
    <w:rsid w:val="00836DDA"/>
    <w:rsid w:val="0083703B"/>
    <w:rsid w:val="00837605"/>
    <w:rsid w:val="00837CE2"/>
    <w:rsid w:val="00837F2E"/>
    <w:rsid w:val="00840133"/>
    <w:rsid w:val="00840BED"/>
    <w:rsid w:val="008420D3"/>
    <w:rsid w:val="00842271"/>
    <w:rsid w:val="008422D3"/>
    <w:rsid w:val="00842CD1"/>
    <w:rsid w:val="00842F8B"/>
    <w:rsid w:val="00843343"/>
    <w:rsid w:val="00843D01"/>
    <w:rsid w:val="0084452A"/>
    <w:rsid w:val="00844AF8"/>
    <w:rsid w:val="0084581C"/>
    <w:rsid w:val="00845B8B"/>
    <w:rsid w:val="00846D52"/>
    <w:rsid w:val="00846D9D"/>
    <w:rsid w:val="00847487"/>
    <w:rsid w:val="008475D3"/>
    <w:rsid w:val="00850578"/>
    <w:rsid w:val="008510E3"/>
    <w:rsid w:val="008519B8"/>
    <w:rsid w:val="00852905"/>
    <w:rsid w:val="00852C32"/>
    <w:rsid w:val="00852F59"/>
    <w:rsid w:val="00855160"/>
    <w:rsid w:val="0085595B"/>
    <w:rsid w:val="00855EA5"/>
    <w:rsid w:val="00855EC7"/>
    <w:rsid w:val="00855F89"/>
    <w:rsid w:val="00856008"/>
    <w:rsid w:val="00856626"/>
    <w:rsid w:val="00856676"/>
    <w:rsid w:val="008567B8"/>
    <w:rsid w:val="00856DAE"/>
    <w:rsid w:val="00856FC8"/>
    <w:rsid w:val="008570CF"/>
    <w:rsid w:val="00857258"/>
    <w:rsid w:val="008577C4"/>
    <w:rsid w:val="00857D9A"/>
    <w:rsid w:val="008604B8"/>
    <w:rsid w:val="0086066B"/>
    <w:rsid w:val="008606B2"/>
    <w:rsid w:val="00860862"/>
    <w:rsid w:val="00860BB9"/>
    <w:rsid w:val="0086200C"/>
    <w:rsid w:val="00862678"/>
    <w:rsid w:val="0086283F"/>
    <w:rsid w:val="008628CB"/>
    <w:rsid w:val="00862A10"/>
    <w:rsid w:val="00862C06"/>
    <w:rsid w:val="00862CE1"/>
    <w:rsid w:val="00863173"/>
    <w:rsid w:val="00864866"/>
    <w:rsid w:val="00864999"/>
    <w:rsid w:val="00864FB9"/>
    <w:rsid w:val="008650A1"/>
    <w:rsid w:val="00865168"/>
    <w:rsid w:val="00865428"/>
    <w:rsid w:val="00865691"/>
    <w:rsid w:val="0086569C"/>
    <w:rsid w:val="00866346"/>
    <w:rsid w:val="008665F9"/>
    <w:rsid w:val="00866DE2"/>
    <w:rsid w:val="00867089"/>
    <w:rsid w:val="0087095A"/>
    <w:rsid w:val="008714EE"/>
    <w:rsid w:val="008715E8"/>
    <w:rsid w:val="00871E9B"/>
    <w:rsid w:val="00871E9C"/>
    <w:rsid w:val="0087277D"/>
    <w:rsid w:val="008727E9"/>
    <w:rsid w:val="0087322F"/>
    <w:rsid w:val="00874068"/>
    <w:rsid w:val="00874747"/>
    <w:rsid w:val="008748C0"/>
    <w:rsid w:val="00875484"/>
    <w:rsid w:val="00875BD2"/>
    <w:rsid w:val="00875D37"/>
    <w:rsid w:val="00875DBA"/>
    <w:rsid w:val="00876A2C"/>
    <w:rsid w:val="00877EE6"/>
    <w:rsid w:val="008800A2"/>
    <w:rsid w:val="008804E3"/>
    <w:rsid w:val="008811BB"/>
    <w:rsid w:val="00881245"/>
    <w:rsid w:val="00882704"/>
    <w:rsid w:val="008829D9"/>
    <w:rsid w:val="00882AF5"/>
    <w:rsid w:val="00882B25"/>
    <w:rsid w:val="00882F92"/>
    <w:rsid w:val="00883D85"/>
    <w:rsid w:val="00884379"/>
    <w:rsid w:val="00884B14"/>
    <w:rsid w:val="00884E13"/>
    <w:rsid w:val="00885816"/>
    <w:rsid w:val="008866B1"/>
    <w:rsid w:val="008866E1"/>
    <w:rsid w:val="008868F0"/>
    <w:rsid w:val="00886AE8"/>
    <w:rsid w:val="00886D4A"/>
    <w:rsid w:val="00887958"/>
    <w:rsid w:val="008879B6"/>
    <w:rsid w:val="008879F9"/>
    <w:rsid w:val="008903D8"/>
    <w:rsid w:val="008904A3"/>
    <w:rsid w:val="00890809"/>
    <w:rsid w:val="00890943"/>
    <w:rsid w:val="008909E4"/>
    <w:rsid w:val="00891561"/>
    <w:rsid w:val="00891711"/>
    <w:rsid w:val="00892078"/>
    <w:rsid w:val="0089244F"/>
    <w:rsid w:val="00892721"/>
    <w:rsid w:val="00892E62"/>
    <w:rsid w:val="008946B6"/>
    <w:rsid w:val="00894C97"/>
    <w:rsid w:val="0089650B"/>
    <w:rsid w:val="00896B23"/>
    <w:rsid w:val="008A08D2"/>
    <w:rsid w:val="008A0DDA"/>
    <w:rsid w:val="008A0DDD"/>
    <w:rsid w:val="008A20E8"/>
    <w:rsid w:val="008A2165"/>
    <w:rsid w:val="008A22D0"/>
    <w:rsid w:val="008A2D62"/>
    <w:rsid w:val="008A2D91"/>
    <w:rsid w:val="008A3223"/>
    <w:rsid w:val="008A35FE"/>
    <w:rsid w:val="008A3A62"/>
    <w:rsid w:val="008A3DCD"/>
    <w:rsid w:val="008A414E"/>
    <w:rsid w:val="008A41A8"/>
    <w:rsid w:val="008A4279"/>
    <w:rsid w:val="008A5C00"/>
    <w:rsid w:val="008A6139"/>
    <w:rsid w:val="008A6457"/>
    <w:rsid w:val="008A6748"/>
    <w:rsid w:val="008A6CC1"/>
    <w:rsid w:val="008A6D1C"/>
    <w:rsid w:val="008A7110"/>
    <w:rsid w:val="008A71F8"/>
    <w:rsid w:val="008A764F"/>
    <w:rsid w:val="008A799B"/>
    <w:rsid w:val="008A7A23"/>
    <w:rsid w:val="008B03FD"/>
    <w:rsid w:val="008B0DA7"/>
    <w:rsid w:val="008B13EA"/>
    <w:rsid w:val="008B147E"/>
    <w:rsid w:val="008B1B07"/>
    <w:rsid w:val="008B29EA"/>
    <w:rsid w:val="008B2F4A"/>
    <w:rsid w:val="008B33C8"/>
    <w:rsid w:val="008B3911"/>
    <w:rsid w:val="008B399A"/>
    <w:rsid w:val="008B3AE4"/>
    <w:rsid w:val="008B3FBF"/>
    <w:rsid w:val="008B4257"/>
    <w:rsid w:val="008B4536"/>
    <w:rsid w:val="008B45AE"/>
    <w:rsid w:val="008B52C3"/>
    <w:rsid w:val="008B5D6D"/>
    <w:rsid w:val="008B6470"/>
    <w:rsid w:val="008B6F38"/>
    <w:rsid w:val="008B7C18"/>
    <w:rsid w:val="008C2403"/>
    <w:rsid w:val="008C3BDE"/>
    <w:rsid w:val="008C41FF"/>
    <w:rsid w:val="008C499A"/>
    <w:rsid w:val="008C5604"/>
    <w:rsid w:val="008C60F6"/>
    <w:rsid w:val="008C6A1F"/>
    <w:rsid w:val="008C6FC6"/>
    <w:rsid w:val="008C739B"/>
    <w:rsid w:val="008D02C1"/>
    <w:rsid w:val="008D09C5"/>
    <w:rsid w:val="008D0CBD"/>
    <w:rsid w:val="008D0E96"/>
    <w:rsid w:val="008D1267"/>
    <w:rsid w:val="008D1590"/>
    <w:rsid w:val="008D1E01"/>
    <w:rsid w:val="008D2B40"/>
    <w:rsid w:val="008D2BCB"/>
    <w:rsid w:val="008D2CFE"/>
    <w:rsid w:val="008D2E6D"/>
    <w:rsid w:val="008D3097"/>
    <w:rsid w:val="008D3DE2"/>
    <w:rsid w:val="008D402A"/>
    <w:rsid w:val="008D46ED"/>
    <w:rsid w:val="008D539D"/>
    <w:rsid w:val="008D6333"/>
    <w:rsid w:val="008D63BA"/>
    <w:rsid w:val="008D696B"/>
    <w:rsid w:val="008D7137"/>
    <w:rsid w:val="008D7535"/>
    <w:rsid w:val="008D75EA"/>
    <w:rsid w:val="008D7DB8"/>
    <w:rsid w:val="008D7E52"/>
    <w:rsid w:val="008E0D46"/>
    <w:rsid w:val="008E1286"/>
    <w:rsid w:val="008E13F5"/>
    <w:rsid w:val="008E142E"/>
    <w:rsid w:val="008E154F"/>
    <w:rsid w:val="008E16B2"/>
    <w:rsid w:val="008E1E6B"/>
    <w:rsid w:val="008E23B8"/>
    <w:rsid w:val="008E23D3"/>
    <w:rsid w:val="008E2A3E"/>
    <w:rsid w:val="008E2A8E"/>
    <w:rsid w:val="008E357C"/>
    <w:rsid w:val="008E3BD5"/>
    <w:rsid w:val="008E42EF"/>
    <w:rsid w:val="008E536F"/>
    <w:rsid w:val="008E54A8"/>
    <w:rsid w:val="008E54CF"/>
    <w:rsid w:val="008E5561"/>
    <w:rsid w:val="008E56A2"/>
    <w:rsid w:val="008E5B59"/>
    <w:rsid w:val="008E617D"/>
    <w:rsid w:val="008E6615"/>
    <w:rsid w:val="008E6A6A"/>
    <w:rsid w:val="008E6AEC"/>
    <w:rsid w:val="008E77EE"/>
    <w:rsid w:val="008E7B4E"/>
    <w:rsid w:val="008E7C00"/>
    <w:rsid w:val="008F04F4"/>
    <w:rsid w:val="008F0657"/>
    <w:rsid w:val="008F0B93"/>
    <w:rsid w:val="008F1697"/>
    <w:rsid w:val="008F1BDF"/>
    <w:rsid w:val="008F1E30"/>
    <w:rsid w:val="008F24A5"/>
    <w:rsid w:val="008F263A"/>
    <w:rsid w:val="008F2B98"/>
    <w:rsid w:val="008F2D01"/>
    <w:rsid w:val="008F31E3"/>
    <w:rsid w:val="008F3EF6"/>
    <w:rsid w:val="008F4368"/>
    <w:rsid w:val="008F4733"/>
    <w:rsid w:val="008F47B0"/>
    <w:rsid w:val="008F6720"/>
    <w:rsid w:val="008F77E0"/>
    <w:rsid w:val="00900674"/>
    <w:rsid w:val="0090070A"/>
    <w:rsid w:val="009026A2"/>
    <w:rsid w:val="00902864"/>
    <w:rsid w:val="00903617"/>
    <w:rsid w:val="00903637"/>
    <w:rsid w:val="0090395B"/>
    <w:rsid w:val="00903FFD"/>
    <w:rsid w:val="0090408D"/>
    <w:rsid w:val="00906172"/>
    <w:rsid w:val="00906CDD"/>
    <w:rsid w:val="00907A5A"/>
    <w:rsid w:val="0091013A"/>
    <w:rsid w:val="00910499"/>
    <w:rsid w:val="009105A8"/>
    <w:rsid w:val="00910BDF"/>
    <w:rsid w:val="0091168D"/>
    <w:rsid w:val="009118CE"/>
    <w:rsid w:val="00911F2A"/>
    <w:rsid w:val="00911F9A"/>
    <w:rsid w:val="009122EF"/>
    <w:rsid w:val="009127B8"/>
    <w:rsid w:val="009128EB"/>
    <w:rsid w:val="00912E9A"/>
    <w:rsid w:val="0091368C"/>
    <w:rsid w:val="009138E6"/>
    <w:rsid w:val="00914038"/>
    <w:rsid w:val="009140AD"/>
    <w:rsid w:val="00914230"/>
    <w:rsid w:val="0091488F"/>
    <w:rsid w:val="009155C3"/>
    <w:rsid w:val="00915C05"/>
    <w:rsid w:val="0091612F"/>
    <w:rsid w:val="009162D6"/>
    <w:rsid w:val="00916ACC"/>
    <w:rsid w:val="00916FC7"/>
    <w:rsid w:val="009202DF"/>
    <w:rsid w:val="00920C5D"/>
    <w:rsid w:val="00920C8E"/>
    <w:rsid w:val="009213EE"/>
    <w:rsid w:val="00921464"/>
    <w:rsid w:val="009217C3"/>
    <w:rsid w:val="00922391"/>
    <w:rsid w:val="0092257F"/>
    <w:rsid w:val="009227E9"/>
    <w:rsid w:val="00922EBD"/>
    <w:rsid w:val="009239E4"/>
    <w:rsid w:val="00923B86"/>
    <w:rsid w:val="00924045"/>
    <w:rsid w:val="00924900"/>
    <w:rsid w:val="00924AE4"/>
    <w:rsid w:val="00925032"/>
    <w:rsid w:val="0092625A"/>
    <w:rsid w:val="00926894"/>
    <w:rsid w:val="009271D1"/>
    <w:rsid w:val="00927E36"/>
    <w:rsid w:val="009304B4"/>
    <w:rsid w:val="00930FCD"/>
    <w:rsid w:val="00931059"/>
    <w:rsid w:val="009313B7"/>
    <w:rsid w:val="009317F3"/>
    <w:rsid w:val="00931EA2"/>
    <w:rsid w:val="00932058"/>
    <w:rsid w:val="0093279B"/>
    <w:rsid w:val="009327B8"/>
    <w:rsid w:val="00933C6F"/>
    <w:rsid w:val="00934067"/>
    <w:rsid w:val="0093438A"/>
    <w:rsid w:val="00934583"/>
    <w:rsid w:val="009348B8"/>
    <w:rsid w:val="00935FEF"/>
    <w:rsid w:val="0093645C"/>
    <w:rsid w:val="00936A82"/>
    <w:rsid w:val="00936F5A"/>
    <w:rsid w:val="00940012"/>
    <w:rsid w:val="00940554"/>
    <w:rsid w:val="009407AD"/>
    <w:rsid w:val="00940D11"/>
    <w:rsid w:val="00941220"/>
    <w:rsid w:val="00941A9C"/>
    <w:rsid w:val="0094253D"/>
    <w:rsid w:val="00942C59"/>
    <w:rsid w:val="00942D9C"/>
    <w:rsid w:val="009431A4"/>
    <w:rsid w:val="00943646"/>
    <w:rsid w:val="00943D81"/>
    <w:rsid w:val="00943DB1"/>
    <w:rsid w:val="0094432A"/>
    <w:rsid w:val="00944681"/>
    <w:rsid w:val="00944D28"/>
    <w:rsid w:val="0094534C"/>
    <w:rsid w:val="00945451"/>
    <w:rsid w:val="00945C0F"/>
    <w:rsid w:val="009462F2"/>
    <w:rsid w:val="00946750"/>
    <w:rsid w:val="00947662"/>
    <w:rsid w:val="00947B04"/>
    <w:rsid w:val="009508FE"/>
    <w:rsid w:val="00951732"/>
    <w:rsid w:val="009522F7"/>
    <w:rsid w:val="009538EE"/>
    <w:rsid w:val="00953DB5"/>
    <w:rsid w:val="009544AC"/>
    <w:rsid w:val="00954E59"/>
    <w:rsid w:val="00955C05"/>
    <w:rsid w:val="0095755E"/>
    <w:rsid w:val="0095774B"/>
    <w:rsid w:val="00960075"/>
    <w:rsid w:val="009600E9"/>
    <w:rsid w:val="00960646"/>
    <w:rsid w:val="00960A99"/>
    <w:rsid w:val="00960FA4"/>
    <w:rsid w:val="009611E7"/>
    <w:rsid w:val="00961AD5"/>
    <w:rsid w:val="00961B1C"/>
    <w:rsid w:val="00962419"/>
    <w:rsid w:val="00964092"/>
    <w:rsid w:val="009642EB"/>
    <w:rsid w:val="00964A18"/>
    <w:rsid w:val="009653F3"/>
    <w:rsid w:val="00965733"/>
    <w:rsid w:val="009662EF"/>
    <w:rsid w:val="00966B03"/>
    <w:rsid w:val="00967220"/>
    <w:rsid w:val="009675AA"/>
    <w:rsid w:val="00970C57"/>
    <w:rsid w:val="00971434"/>
    <w:rsid w:val="009714B4"/>
    <w:rsid w:val="00971923"/>
    <w:rsid w:val="00971F44"/>
    <w:rsid w:val="00971F76"/>
    <w:rsid w:val="009721A9"/>
    <w:rsid w:val="009724A0"/>
    <w:rsid w:val="00972580"/>
    <w:rsid w:val="00972AFE"/>
    <w:rsid w:val="00973283"/>
    <w:rsid w:val="009733EC"/>
    <w:rsid w:val="00973786"/>
    <w:rsid w:val="00973FCD"/>
    <w:rsid w:val="009745F3"/>
    <w:rsid w:val="00974809"/>
    <w:rsid w:val="00974C47"/>
    <w:rsid w:val="00975B74"/>
    <w:rsid w:val="00975F5F"/>
    <w:rsid w:val="0097673C"/>
    <w:rsid w:val="009770F0"/>
    <w:rsid w:val="00977502"/>
    <w:rsid w:val="0097763E"/>
    <w:rsid w:val="0097779A"/>
    <w:rsid w:val="00977CE2"/>
    <w:rsid w:val="00977D73"/>
    <w:rsid w:val="00977EC6"/>
    <w:rsid w:val="00980082"/>
    <w:rsid w:val="00980636"/>
    <w:rsid w:val="0098063D"/>
    <w:rsid w:val="00980C65"/>
    <w:rsid w:val="00980E42"/>
    <w:rsid w:val="00981249"/>
    <w:rsid w:val="0098191A"/>
    <w:rsid w:val="00981EC6"/>
    <w:rsid w:val="009830C3"/>
    <w:rsid w:val="00983C35"/>
    <w:rsid w:val="00983D81"/>
    <w:rsid w:val="00983E3F"/>
    <w:rsid w:val="009841E0"/>
    <w:rsid w:val="00984257"/>
    <w:rsid w:val="009843C4"/>
    <w:rsid w:val="00984B93"/>
    <w:rsid w:val="009854DA"/>
    <w:rsid w:val="00986A9E"/>
    <w:rsid w:val="0098700F"/>
    <w:rsid w:val="009870DD"/>
    <w:rsid w:val="009872D9"/>
    <w:rsid w:val="009902C8"/>
    <w:rsid w:val="0099062B"/>
    <w:rsid w:val="00990916"/>
    <w:rsid w:val="00990A39"/>
    <w:rsid w:val="00991111"/>
    <w:rsid w:val="009913AA"/>
    <w:rsid w:val="009918E9"/>
    <w:rsid w:val="00991AD9"/>
    <w:rsid w:val="00991BB5"/>
    <w:rsid w:val="00991FCF"/>
    <w:rsid w:val="00993906"/>
    <w:rsid w:val="00993A44"/>
    <w:rsid w:val="00993AB5"/>
    <w:rsid w:val="00993FD3"/>
    <w:rsid w:val="009943CB"/>
    <w:rsid w:val="00994469"/>
    <w:rsid w:val="009955E4"/>
    <w:rsid w:val="009956FC"/>
    <w:rsid w:val="009965F2"/>
    <w:rsid w:val="00996603"/>
    <w:rsid w:val="009967A9"/>
    <w:rsid w:val="00997755"/>
    <w:rsid w:val="009A07B0"/>
    <w:rsid w:val="009A0E3F"/>
    <w:rsid w:val="009A1045"/>
    <w:rsid w:val="009A1091"/>
    <w:rsid w:val="009A13DB"/>
    <w:rsid w:val="009A262B"/>
    <w:rsid w:val="009A3471"/>
    <w:rsid w:val="009A34B1"/>
    <w:rsid w:val="009A42CC"/>
    <w:rsid w:val="009A4B03"/>
    <w:rsid w:val="009A4F10"/>
    <w:rsid w:val="009A538D"/>
    <w:rsid w:val="009A53CE"/>
    <w:rsid w:val="009A579A"/>
    <w:rsid w:val="009A6992"/>
    <w:rsid w:val="009A69E6"/>
    <w:rsid w:val="009A6EC3"/>
    <w:rsid w:val="009A6ED4"/>
    <w:rsid w:val="009B110D"/>
    <w:rsid w:val="009B1750"/>
    <w:rsid w:val="009B1FA3"/>
    <w:rsid w:val="009B21A6"/>
    <w:rsid w:val="009B2B18"/>
    <w:rsid w:val="009B3704"/>
    <w:rsid w:val="009B373A"/>
    <w:rsid w:val="009B3AF5"/>
    <w:rsid w:val="009B3D74"/>
    <w:rsid w:val="009B3DAA"/>
    <w:rsid w:val="009B3E48"/>
    <w:rsid w:val="009B4045"/>
    <w:rsid w:val="009B4664"/>
    <w:rsid w:val="009B46F3"/>
    <w:rsid w:val="009B4E15"/>
    <w:rsid w:val="009B53B5"/>
    <w:rsid w:val="009B558B"/>
    <w:rsid w:val="009B565D"/>
    <w:rsid w:val="009B6303"/>
    <w:rsid w:val="009B6400"/>
    <w:rsid w:val="009B6B6F"/>
    <w:rsid w:val="009B6D8B"/>
    <w:rsid w:val="009B7B96"/>
    <w:rsid w:val="009C1CB5"/>
    <w:rsid w:val="009C1F25"/>
    <w:rsid w:val="009C2437"/>
    <w:rsid w:val="009C284B"/>
    <w:rsid w:val="009C34ED"/>
    <w:rsid w:val="009C3513"/>
    <w:rsid w:val="009C396A"/>
    <w:rsid w:val="009C3D33"/>
    <w:rsid w:val="009C3FE6"/>
    <w:rsid w:val="009C51DF"/>
    <w:rsid w:val="009C683D"/>
    <w:rsid w:val="009C70F4"/>
    <w:rsid w:val="009C7DD2"/>
    <w:rsid w:val="009D014B"/>
    <w:rsid w:val="009D0307"/>
    <w:rsid w:val="009D1506"/>
    <w:rsid w:val="009D1767"/>
    <w:rsid w:val="009D1976"/>
    <w:rsid w:val="009D1D5B"/>
    <w:rsid w:val="009D280F"/>
    <w:rsid w:val="009D2863"/>
    <w:rsid w:val="009D2C33"/>
    <w:rsid w:val="009D3508"/>
    <w:rsid w:val="009D4188"/>
    <w:rsid w:val="009D4DE7"/>
    <w:rsid w:val="009D5061"/>
    <w:rsid w:val="009D57B7"/>
    <w:rsid w:val="009D5B80"/>
    <w:rsid w:val="009D645E"/>
    <w:rsid w:val="009D64B2"/>
    <w:rsid w:val="009D6CBE"/>
    <w:rsid w:val="009D70E9"/>
    <w:rsid w:val="009D7F42"/>
    <w:rsid w:val="009E08F1"/>
    <w:rsid w:val="009E0A14"/>
    <w:rsid w:val="009E0AD9"/>
    <w:rsid w:val="009E13A4"/>
    <w:rsid w:val="009E1784"/>
    <w:rsid w:val="009E1F80"/>
    <w:rsid w:val="009E27C0"/>
    <w:rsid w:val="009E2EC5"/>
    <w:rsid w:val="009E3D61"/>
    <w:rsid w:val="009E3D92"/>
    <w:rsid w:val="009E4246"/>
    <w:rsid w:val="009E438E"/>
    <w:rsid w:val="009E4A12"/>
    <w:rsid w:val="009E4CA4"/>
    <w:rsid w:val="009E5803"/>
    <w:rsid w:val="009E596C"/>
    <w:rsid w:val="009E59DD"/>
    <w:rsid w:val="009E5BB9"/>
    <w:rsid w:val="009E6563"/>
    <w:rsid w:val="009E6C13"/>
    <w:rsid w:val="009E6EFE"/>
    <w:rsid w:val="009E725C"/>
    <w:rsid w:val="009E764D"/>
    <w:rsid w:val="009E7822"/>
    <w:rsid w:val="009E7A99"/>
    <w:rsid w:val="009E7ADF"/>
    <w:rsid w:val="009E7BB1"/>
    <w:rsid w:val="009F07B1"/>
    <w:rsid w:val="009F1154"/>
    <w:rsid w:val="009F11F6"/>
    <w:rsid w:val="009F18DF"/>
    <w:rsid w:val="009F1AD2"/>
    <w:rsid w:val="009F1AEE"/>
    <w:rsid w:val="009F1B2C"/>
    <w:rsid w:val="009F1E8A"/>
    <w:rsid w:val="009F248D"/>
    <w:rsid w:val="009F39D1"/>
    <w:rsid w:val="009F4A67"/>
    <w:rsid w:val="009F5700"/>
    <w:rsid w:val="009F5E78"/>
    <w:rsid w:val="009F5EAC"/>
    <w:rsid w:val="009F643D"/>
    <w:rsid w:val="009F6E75"/>
    <w:rsid w:val="009F7EBA"/>
    <w:rsid w:val="00A00B48"/>
    <w:rsid w:val="00A00F44"/>
    <w:rsid w:val="00A0147D"/>
    <w:rsid w:val="00A01A49"/>
    <w:rsid w:val="00A02C9F"/>
    <w:rsid w:val="00A0324F"/>
    <w:rsid w:val="00A032D2"/>
    <w:rsid w:val="00A032E7"/>
    <w:rsid w:val="00A0382D"/>
    <w:rsid w:val="00A039B8"/>
    <w:rsid w:val="00A03B4A"/>
    <w:rsid w:val="00A04210"/>
    <w:rsid w:val="00A0457C"/>
    <w:rsid w:val="00A04587"/>
    <w:rsid w:val="00A04C02"/>
    <w:rsid w:val="00A0608D"/>
    <w:rsid w:val="00A06253"/>
    <w:rsid w:val="00A06E59"/>
    <w:rsid w:val="00A0755D"/>
    <w:rsid w:val="00A076F2"/>
    <w:rsid w:val="00A10239"/>
    <w:rsid w:val="00A109A8"/>
    <w:rsid w:val="00A10DDC"/>
    <w:rsid w:val="00A11731"/>
    <w:rsid w:val="00A11D6F"/>
    <w:rsid w:val="00A123A5"/>
    <w:rsid w:val="00A13AE8"/>
    <w:rsid w:val="00A13CF4"/>
    <w:rsid w:val="00A13E19"/>
    <w:rsid w:val="00A13EAA"/>
    <w:rsid w:val="00A14243"/>
    <w:rsid w:val="00A142ED"/>
    <w:rsid w:val="00A14B12"/>
    <w:rsid w:val="00A14BE3"/>
    <w:rsid w:val="00A14D53"/>
    <w:rsid w:val="00A14E74"/>
    <w:rsid w:val="00A14FDD"/>
    <w:rsid w:val="00A1514D"/>
    <w:rsid w:val="00A15783"/>
    <w:rsid w:val="00A15D42"/>
    <w:rsid w:val="00A16DD3"/>
    <w:rsid w:val="00A174A2"/>
    <w:rsid w:val="00A17C77"/>
    <w:rsid w:val="00A17D5C"/>
    <w:rsid w:val="00A17F13"/>
    <w:rsid w:val="00A203B9"/>
    <w:rsid w:val="00A2068E"/>
    <w:rsid w:val="00A20CCB"/>
    <w:rsid w:val="00A20ED2"/>
    <w:rsid w:val="00A21021"/>
    <w:rsid w:val="00A21DB1"/>
    <w:rsid w:val="00A2249B"/>
    <w:rsid w:val="00A22D7F"/>
    <w:rsid w:val="00A234EF"/>
    <w:rsid w:val="00A239E2"/>
    <w:rsid w:val="00A240B2"/>
    <w:rsid w:val="00A25478"/>
    <w:rsid w:val="00A255AB"/>
    <w:rsid w:val="00A25DB4"/>
    <w:rsid w:val="00A2695D"/>
    <w:rsid w:val="00A26D24"/>
    <w:rsid w:val="00A26EEA"/>
    <w:rsid w:val="00A27C3F"/>
    <w:rsid w:val="00A305D5"/>
    <w:rsid w:val="00A308D7"/>
    <w:rsid w:val="00A319C6"/>
    <w:rsid w:val="00A3285E"/>
    <w:rsid w:val="00A3344A"/>
    <w:rsid w:val="00A3387E"/>
    <w:rsid w:val="00A338B7"/>
    <w:rsid w:val="00A33B7C"/>
    <w:rsid w:val="00A33D8F"/>
    <w:rsid w:val="00A346CA"/>
    <w:rsid w:val="00A34904"/>
    <w:rsid w:val="00A35B51"/>
    <w:rsid w:val="00A35D75"/>
    <w:rsid w:val="00A35DD4"/>
    <w:rsid w:val="00A36578"/>
    <w:rsid w:val="00A36DF7"/>
    <w:rsid w:val="00A372DD"/>
    <w:rsid w:val="00A40C43"/>
    <w:rsid w:val="00A415BC"/>
    <w:rsid w:val="00A41A27"/>
    <w:rsid w:val="00A41C94"/>
    <w:rsid w:val="00A41F63"/>
    <w:rsid w:val="00A42AAC"/>
    <w:rsid w:val="00A42BED"/>
    <w:rsid w:val="00A42D94"/>
    <w:rsid w:val="00A436FF"/>
    <w:rsid w:val="00A43A09"/>
    <w:rsid w:val="00A442A4"/>
    <w:rsid w:val="00A442BF"/>
    <w:rsid w:val="00A443A4"/>
    <w:rsid w:val="00A44604"/>
    <w:rsid w:val="00A44D05"/>
    <w:rsid w:val="00A456DB"/>
    <w:rsid w:val="00A464C6"/>
    <w:rsid w:val="00A4739C"/>
    <w:rsid w:val="00A47487"/>
    <w:rsid w:val="00A47BB9"/>
    <w:rsid w:val="00A502F0"/>
    <w:rsid w:val="00A5074B"/>
    <w:rsid w:val="00A50D8D"/>
    <w:rsid w:val="00A512D6"/>
    <w:rsid w:val="00A5165C"/>
    <w:rsid w:val="00A51A30"/>
    <w:rsid w:val="00A52234"/>
    <w:rsid w:val="00A5233B"/>
    <w:rsid w:val="00A5274A"/>
    <w:rsid w:val="00A52B73"/>
    <w:rsid w:val="00A53489"/>
    <w:rsid w:val="00A5351B"/>
    <w:rsid w:val="00A5386C"/>
    <w:rsid w:val="00A542EB"/>
    <w:rsid w:val="00A54A26"/>
    <w:rsid w:val="00A55E8D"/>
    <w:rsid w:val="00A55FEC"/>
    <w:rsid w:val="00A56D3D"/>
    <w:rsid w:val="00A5792A"/>
    <w:rsid w:val="00A57FEA"/>
    <w:rsid w:val="00A6054E"/>
    <w:rsid w:val="00A607C1"/>
    <w:rsid w:val="00A60D00"/>
    <w:rsid w:val="00A612AF"/>
    <w:rsid w:val="00A6154F"/>
    <w:rsid w:val="00A61CD8"/>
    <w:rsid w:val="00A621DA"/>
    <w:rsid w:val="00A62AE9"/>
    <w:rsid w:val="00A6301E"/>
    <w:rsid w:val="00A631A1"/>
    <w:rsid w:val="00A633F7"/>
    <w:rsid w:val="00A63793"/>
    <w:rsid w:val="00A63ABA"/>
    <w:rsid w:val="00A63CCC"/>
    <w:rsid w:val="00A64624"/>
    <w:rsid w:val="00A6519F"/>
    <w:rsid w:val="00A6565F"/>
    <w:rsid w:val="00A65AE5"/>
    <w:rsid w:val="00A65ED8"/>
    <w:rsid w:val="00A66261"/>
    <w:rsid w:val="00A66EED"/>
    <w:rsid w:val="00A66F4E"/>
    <w:rsid w:val="00A67041"/>
    <w:rsid w:val="00A67998"/>
    <w:rsid w:val="00A6799A"/>
    <w:rsid w:val="00A713AF"/>
    <w:rsid w:val="00A71582"/>
    <w:rsid w:val="00A71F0E"/>
    <w:rsid w:val="00A71FE2"/>
    <w:rsid w:val="00A7218B"/>
    <w:rsid w:val="00A734FE"/>
    <w:rsid w:val="00A757CA"/>
    <w:rsid w:val="00A75FC2"/>
    <w:rsid w:val="00A7701B"/>
    <w:rsid w:val="00A77172"/>
    <w:rsid w:val="00A77519"/>
    <w:rsid w:val="00A777DD"/>
    <w:rsid w:val="00A8000F"/>
    <w:rsid w:val="00A809E6"/>
    <w:rsid w:val="00A81877"/>
    <w:rsid w:val="00A81E2D"/>
    <w:rsid w:val="00A81F5C"/>
    <w:rsid w:val="00A82A46"/>
    <w:rsid w:val="00A82D14"/>
    <w:rsid w:val="00A830C4"/>
    <w:rsid w:val="00A834AC"/>
    <w:rsid w:val="00A83555"/>
    <w:rsid w:val="00A837B6"/>
    <w:rsid w:val="00A83E23"/>
    <w:rsid w:val="00A84334"/>
    <w:rsid w:val="00A844B4"/>
    <w:rsid w:val="00A84861"/>
    <w:rsid w:val="00A84A1E"/>
    <w:rsid w:val="00A8578E"/>
    <w:rsid w:val="00A86339"/>
    <w:rsid w:val="00A865F6"/>
    <w:rsid w:val="00A868D1"/>
    <w:rsid w:val="00A86AAF"/>
    <w:rsid w:val="00A87699"/>
    <w:rsid w:val="00A876BD"/>
    <w:rsid w:val="00A87AEA"/>
    <w:rsid w:val="00A9041C"/>
    <w:rsid w:val="00A90B61"/>
    <w:rsid w:val="00A90D42"/>
    <w:rsid w:val="00A911E2"/>
    <w:rsid w:val="00A9121C"/>
    <w:rsid w:val="00A9168D"/>
    <w:rsid w:val="00A92531"/>
    <w:rsid w:val="00A929FB"/>
    <w:rsid w:val="00A92B6D"/>
    <w:rsid w:val="00A92C0F"/>
    <w:rsid w:val="00A936E8"/>
    <w:rsid w:val="00A9490A"/>
    <w:rsid w:val="00A94A28"/>
    <w:rsid w:val="00A95368"/>
    <w:rsid w:val="00A953D0"/>
    <w:rsid w:val="00A9555C"/>
    <w:rsid w:val="00A95D66"/>
    <w:rsid w:val="00A96633"/>
    <w:rsid w:val="00A9685D"/>
    <w:rsid w:val="00A96D49"/>
    <w:rsid w:val="00A96F33"/>
    <w:rsid w:val="00A96F8A"/>
    <w:rsid w:val="00A9715E"/>
    <w:rsid w:val="00A97595"/>
    <w:rsid w:val="00A97652"/>
    <w:rsid w:val="00A97B7F"/>
    <w:rsid w:val="00A97EB0"/>
    <w:rsid w:val="00A97F05"/>
    <w:rsid w:val="00AA006A"/>
    <w:rsid w:val="00AA0929"/>
    <w:rsid w:val="00AA0A0B"/>
    <w:rsid w:val="00AA199D"/>
    <w:rsid w:val="00AA1AFB"/>
    <w:rsid w:val="00AA1E69"/>
    <w:rsid w:val="00AA216F"/>
    <w:rsid w:val="00AA283A"/>
    <w:rsid w:val="00AA2BF5"/>
    <w:rsid w:val="00AA3180"/>
    <w:rsid w:val="00AA3428"/>
    <w:rsid w:val="00AA3B85"/>
    <w:rsid w:val="00AA3D60"/>
    <w:rsid w:val="00AA466C"/>
    <w:rsid w:val="00AA4FD3"/>
    <w:rsid w:val="00AA514D"/>
    <w:rsid w:val="00AA51CC"/>
    <w:rsid w:val="00AA5342"/>
    <w:rsid w:val="00AA587A"/>
    <w:rsid w:val="00AA58B6"/>
    <w:rsid w:val="00AA5B64"/>
    <w:rsid w:val="00AA5D47"/>
    <w:rsid w:val="00AA703F"/>
    <w:rsid w:val="00AA7619"/>
    <w:rsid w:val="00AA7B8C"/>
    <w:rsid w:val="00AA7DFA"/>
    <w:rsid w:val="00AB0067"/>
    <w:rsid w:val="00AB00BD"/>
    <w:rsid w:val="00AB08A8"/>
    <w:rsid w:val="00AB0D43"/>
    <w:rsid w:val="00AB0ED4"/>
    <w:rsid w:val="00AB0F4E"/>
    <w:rsid w:val="00AB0FF8"/>
    <w:rsid w:val="00AB1122"/>
    <w:rsid w:val="00AB1389"/>
    <w:rsid w:val="00AB139D"/>
    <w:rsid w:val="00AB1BD9"/>
    <w:rsid w:val="00AB1ED7"/>
    <w:rsid w:val="00AB2563"/>
    <w:rsid w:val="00AB3390"/>
    <w:rsid w:val="00AB3B37"/>
    <w:rsid w:val="00AB4D4C"/>
    <w:rsid w:val="00AB4FDE"/>
    <w:rsid w:val="00AB55A2"/>
    <w:rsid w:val="00AB56AF"/>
    <w:rsid w:val="00AB5990"/>
    <w:rsid w:val="00AB5BB1"/>
    <w:rsid w:val="00AB6C75"/>
    <w:rsid w:val="00AB7442"/>
    <w:rsid w:val="00AB7DC8"/>
    <w:rsid w:val="00AC04D5"/>
    <w:rsid w:val="00AC1559"/>
    <w:rsid w:val="00AC1BA3"/>
    <w:rsid w:val="00AC25BC"/>
    <w:rsid w:val="00AC2625"/>
    <w:rsid w:val="00AC29E7"/>
    <w:rsid w:val="00AC3882"/>
    <w:rsid w:val="00AC4340"/>
    <w:rsid w:val="00AC4485"/>
    <w:rsid w:val="00AC4816"/>
    <w:rsid w:val="00AC4C27"/>
    <w:rsid w:val="00AC4C50"/>
    <w:rsid w:val="00AC50F7"/>
    <w:rsid w:val="00AC516D"/>
    <w:rsid w:val="00AC5590"/>
    <w:rsid w:val="00AC5884"/>
    <w:rsid w:val="00AC5C91"/>
    <w:rsid w:val="00AC6B6D"/>
    <w:rsid w:val="00AC73D4"/>
    <w:rsid w:val="00AC7685"/>
    <w:rsid w:val="00AC78E5"/>
    <w:rsid w:val="00AC79FE"/>
    <w:rsid w:val="00AC7D30"/>
    <w:rsid w:val="00AD0070"/>
    <w:rsid w:val="00AD03BB"/>
    <w:rsid w:val="00AD05EA"/>
    <w:rsid w:val="00AD0994"/>
    <w:rsid w:val="00AD0D75"/>
    <w:rsid w:val="00AD0ED7"/>
    <w:rsid w:val="00AD1077"/>
    <w:rsid w:val="00AD16ED"/>
    <w:rsid w:val="00AD17EE"/>
    <w:rsid w:val="00AD22BA"/>
    <w:rsid w:val="00AD2BB5"/>
    <w:rsid w:val="00AD2CA5"/>
    <w:rsid w:val="00AD4BA6"/>
    <w:rsid w:val="00AD4D26"/>
    <w:rsid w:val="00AD5347"/>
    <w:rsid w:val="00AD54BE"/>
    <w:rsid w:val="00AD6D18"/>
    <w:rsid w:val="00AD7374"/>
    <w:rsid w:val="00AD7433"/>
    <w:rsid w:val="00AD7A2F"/>
    <w:rsid w:val="00AD7EBF"/>
    <w:rsid w:val="00AE04F0"/>
    <w:rsid w:val="00AE051D"/>
    <w:rsid w:val="00AE084A"/>
    <w:rsid w:val="00AE0F85"/>
    <w:rsid w:val="00AE13B5"/>
    <w:rsid w:val="00AE141C"/>
    <w:rsid w:val="00AE166C"/>
    <w:rsid w:val="00AE26FD"/>
    <w:rsid w:val="00AE2B0E"/>
    <w:rsid w:val="00AE2C2F"/>
    <w:rsid w:val="00AE3C7E"/>
    <w:rsid w:val="00AE43B9"/>
    <w:rsid w:val="00AE617D"/>
    <w:rsid w:val="00AE6439"/>
    <w:rsid w:val="00AE6C89"/>
    <w:rsid w:val="00AE6D5B"/>
    <w:rsid w:val="00AE6FFC"/>
    <w:rsid w:val="00AE7285"/>
    <w:rsid w:val="00AE7C51"/>
    <w:rsid w:val="00AE7E2E"/>
    <w:rsid w:val="00AF0EA0"/>
    <w:rsid w:val="00AF14BA"/>
    <w:rsid w:val="00AF1719"/>
    <w:rsid w:val="00AF1F63"/>
    <w:rsid w:val="00AF2436"/>
    <w:rsid w:val="00AF269A"/>
    <w:rsid w:val="00AF2C60"/>
    <w:rsid w:val="00AF347D"/>
    <w:rsid w:val="00AF38FD"/>
    <w:rsid w:val="00AF3FB9"/>
    <w:rsid w:val="00AF4507"/>
    <w:rsid w:val="00AF4A0C"/>
    <w:rsid w:val="00AF4D4E"/>
    <w:rsid w:val="00AF4EE2"/>
    <w:rsid w:val="00AF513C"/>
    <w:rsid w:val="00AF539B"/>
    <w:rsid w:val="00AF549B"/>
    <w:rsid w:val="00AF6328"/>
    <w:rsid w:val="00AF6515"/>
    <w:rsid w:val="00AF6918"/>
    <w:rsid w:val="00AF759F"/>
    <w:rsid w:val="00AF766D"/>
    <w:rsid w:val="00AF7861"/>
    <w:rsid w:val="00B00A3C"/>
    <w:rsid w:val="00B00CBF"/>
    <w:rsid w:val="00B0157F"/>
    <w:rsid w:val="00B0166B"/>
    <w:rsid w:val="00B01D12"/>
    <w:rsid w:val="00B023FD"/>
    <w:rsid w:val="00B02D5D"/>
    <w:rsid w:val="00B03ED7"/>
    <w:rsid w:val="00B044B7"/>
    <w:rsid w:val="00B04D9A"/>
    <w:rsid w:val="00B050FA"/>
    <w:rsid w:val="00B0570C"/>
    <w:rsid w:val="00B05AC8"/>
    <w:rsid w:val="00B0641E"/>
    <w:rsid w:val="00B06B8E"/>
    <w:rsid w:val="00B06C76"/>
    <w:rsid w:val="00B07687"/>
    <w:rsid w:val="00B07A92"/>
    <w:rsid w:val="00B105DC"/>
    <w:rsid w:val="00B1164F"/>
    <w:rsid w:val="00B11CB8"/>
    <w:rsid w:val="00B129A5"/>
    <w:rsid w:val="00B12E9E"/>
    <w:rsid w:val="00B12F03"/>
    <w:rsid w:val="00B13511"/>
    <w:rsid w:val="00B137EC"/>
    <w:rsid w:val="00B13B31"/>
    <w:rsid w:val="00B13FD0"/>
    <w:rsid w:val="00B141C4"/>
    <w:rsid w:val="00B16A46"/>
    <w:rsid w:val="00B17112"/>
    <w:rsid w:val="00B1755E"/>
    <w:rsid w:val="00B179BE"/>
    <w:rsid w:val="00B204AE"/>
    <w:rsid w:val="00B216BB"/>
    <w:rsid w:val="00B21C42"/>
    <w:rsid w:val="00B21DB1"/>
    <w:rsid w:val="00B21FC3"/>
    <w:rsid w:val="00B22AEE"/>
    <w:rsid w:val="00B22C3E"/>
    <w:rsid w:val="00B23130"/>
    <w:rsid w:val="00B2346C"/>
    <w:rsid w:val="00B24C2C"/>
    <w:rsid w:val="00B25114"/>
    <w:rsid w:val="00B257DA"/>
    <w:rsid w:val="00B25835"/>
    <w:rsid w:val="00B25A8A"/>
    <w:rsid w:val="00B25BFB"/>
    <w:rsid w:val="00B26C15"/>
    <w:rsid w:val="00B27060"/>
    <w:rsid w:val="00B31717"/>
    <w:rsid w:val="00B3172D"/>
    <w:rsid w:val="00B31EFE"/>
    <w:rsid w:val="00B3204A"/>
    <w:rsid w:val="00B32272"/>
    <w:rsid w:val="00B32774"/>
    <w:rsid w:val="00B32BF9"/>
    <w:rsid w:val="00B332E6"/>
    <w:rsid w:val="00B335D5"/>
    <w:rsid w:val="00B3362B"/>
    <w:rsid w:val="00B33A11"/>
    <w:rsid w:val="00B33BE9"/>
    <w:rsid w:val="00B343FC"/>
    <w:rsid w:val="00B34470"/>
    <w:rsid w:val="00B346D7"/>
    <w:rsid w:val="00B34B40"/>
    <w:rsid w:val="00B35599"/>
    <w:rsid w:val="00B35879"/>
    <w:rsid w:val="00B35E16"/>
    <w:rsid w:val="00B35F3F"/>
    <w:rsid w:val="00B35F7C"/>
    <w:rsid w:val="00B360DF"/>
    <w:rsid w:val="00B368F9"/>
    <w:rsid w:val="00B36D7A"/>
    <w:rsid w:val="00B37188"/>
    <w:rsid w:val="00B372BB"/>
    <w:rsid w:val="00B37A71"/>
    <w:rsid w:val="00B4061E"/>
    <w:rsid w:val="00B407F2"/>
    <w:rsid w:val="00B40AA4"/>
    <w:rsid w:val="00B40B62"/>
    <w:rsid w:val="00B411C8"/>
    <w:rsid w:val="00B41AF9"/>
    <w:rsid w:val="00B42295"/>
    <w:rsid w:val="00B42410"/>
    <w:rsid w:val="00B42675"/>
    <w:rsid w:val="00B42E03"/>
    <w:rsid w:val="00B430A3"/>
    <w:rsid w:val="00B43138"/>
    <w:rsid w:val="00B43638"/>
    <w:rsid w:val="00B437C1"/>
    <w:rsid w:val="00B44659"/>
    <w:rsid w:val="00B450E1"/>
    <w:rsid w:val="00B45271"/>
    <w:rsid w:val="00B4557A"/>
    <w:rsid w:val="00B45B7B"/>
    <w:rsid w:val="00B46270"/>
    <w:rsid w:val="00B46A26"/>
    <w:rsid w:val="00B46A31"/>
    <w:rsid w:val="00B50159"/>
    <w:rsid w:val="00B50FCB"/>
    <w:rsid w:val="00B51DD2"/>
    <w:rsid w:val="00B5265D"/>
    <w:rsid w:val="00B52FD9"/>
    <w:rsid w:val="00B530AD"/>
    <w:rsid w:val="00B530B6"/>
    <w:rsid w:val="00B54098"/>
    <w:rsid w:val="00B5438F"/>
    <w:rsid w:val="00B545E0"/>
    <w:rsid w:val="00B54D87"/>
    <w:rsid w:val="00B56073"/>
    <w:rsid w:val="00B57182"/>
    <w:rsid w:val="00B57251"/>
    <w:rsid w:val="00B57565"/>
    <w:rsid w:val="00B57931"/>
    <w:rsid w:val="00B60CEB"/>
    <w:rsid w:val="00B60FC5"/>
    <w:rsid w:val="00B61238"/>
    <w:rsid w:val="00B61A4D"/>
    <w:rsid w:val="00B627EE"/>
    <w:rsid w:val="00B6361A"/>
    <w:rsid w:val="00B63BBE"/>
    <w:rsid w:val="00B6417B"/>
    <w:rsid w:val="00B64268"/>
    <w:rsid w:val="00B6442F"/>
    <w:rsid w:val="00B64D15"/>
    <w:rsid w:val="00B65450"/>
    <w:rsid w:val="00B65841"/>
    <w:rsid w:val="00B65878"/>
    <w:rsid w:val="00B65E61"/>
    <w:rsid w:val="00B664C0"/>
    <w:rsid w:val="00B66978"/>
    <w:rsid w:val="00B66BBB"/>
    <w:rsid w:val="00B66CE4"/>
    <w:rsid w:val="00B70E60"/>
    <w:rsid w:val="00B710D7"/>
    <w:rsid w:val="00B71403"/>
    <w:rsid w:val="00B718B5"/>
    <w:rsid w:val="00B719C1"/>
    <w:rsid w:val="00B71ADE"/>
    <w:rsid w:val="00B71FE4"/>
    <w:rsid w:val="00B7279C"/>
    <w:rsid w:val="00B7297E"/>
    <w:rsid w:val="00B73346"/>
    <w:rsid w:val="00B73556"/>
    <w:rsid w:val="00B73B17"/>
    <w:rsid w:val="00B74255"/>
    <w:rsid w:val="00B743CF"/>
    <w:rsid w:val="00B744BC"/>
    <w:rsid w:val="00B744F3"/>
    <w:rsid w:val="00B74516"/>
    <w:rsid w:val="00B74AAA"/>
    <w:rsid w:val="00B74F7D"/>
    <w:rsid w:val="00B75268"/>
    <w:rsid w:val="00B759FE"/>
    <w:rsid w:val="00B75F55"/>
    <w:rsid w:val="00B7647D"/>
    <w:rsid w:val="00B76499"/>
    <w:rsid w:val="00B768D2"/>
    <w:rsid w:val="00B76AF7"/>
    <w:rsid w:val="00B76B37"/>
    <w:rsid w:val="00B770CE"/>
    <w:rsid w:val="00B77AD0"/>
    <w:rsid w:val="00B80099"/>
    <w:rsid w:val="00B801AC"/>
    <w:rsid w:val="00B8021A"/>
    <w:rsid w:val="00B80380"/>
    <w:rsid w:val="00B8046F"/>
    <w:rsid w:val="00B81314"/>
    <w:rsid w:val="00B81345"/>
    <w:rsid w:val="00B81A3F"/>
    <w:rsid w:val="00B825E9"/>
    <w:rsid w:val="00B82E8A"/>
    <w:rsid w:val="00B82ED1"/>
    <w:rsid w:val="00B83018"/>
    <w:rsid w:val="00B835A7"/>
    <w:rsid w:val="00B83DE5"/>
    <w:rsid w:val="00B83F65"/>
    <w:rsid w:val="00B8428A"/>
    <w:rsid w:val="00B8443D"/>
    <w:rsid w:val="00B847F8"/>
    <w:rsid w:val="00B8490B"/>
    <w:rsid w:val="00B84CED"/>
    <w:rsid w:val="00B84DDA"/>
    <w:rsid w:val="00B850B3"/>
    <w:rsid w:val="00B85902"/>
    <w:rsid w:val="00B8590A"/>
    <w:rsid w:val="00B8593F"/>
    <w:rsid w:val="00B85AFF"/>
    <w:rsid w:val="00B86660"/>
    <w:rsid w:val="00B87249"/>
    <w:rsid w:val="00B87F06"/>
    <w:rsid w:val="00B90053"/>
    <w:rsid w:val="00B9068A"/>
    <w:rsid w:val="00B90ADF"/>
    <w:rsid w:val="00B9110A"/>
    <w:rsid w:val="00B91685"/>
    <w:rsid w:val="00B91A49"/>
    <w:rsid w:val="00B921D6"/>
    <w:rsid w:val="00B9232F"/>
    <w:rsid w:val="00B92BC9"/>
    <w:rsid w:val="00B92C22"/>
    <w:rsid w:val="00B930C9"/>
    <w:rsid w:val="00B934F9"/>
    <w:rsid w:val="00B93523"/>
    <w:rsid w:val="00B938AF"/>
    <w:rsid w:val="00B9438F"/>
    <w:rsid w:val="00B94458"/>
    <w:rsid w:val="00B9456C"/>
    <w:rsid w:val="00B94726"/>
    <w:rsid w:val="00B947DF"/>
    <w:rsid w:val="00B94C8F"/>
    <w:rsid w:val="00B95E5A"/>
    <w:rsid w:val="00B96002"/>
    <w:rsid w:val="00B962FD"/>
    <w:rsid w:val="00B97A6D"/>
    <w:rsid w:val="00B97EB2"/>
    <w:rsid w:val="00BA15C6"/>
    <w:rsid w:val="00BA179F"/>
    <w:rsid w:val="00BA184E"/>
    <w:rsid w:val="00BA1B06"/>
    <w:rsid w:val="00BA1C5A"/>
    <w:rsid w:val="00BA1F9C"/>
    <w:rsid w:val="00BA2100"/>
    <w:rsid w:val="00BA2761"/>
    <w:rsid w:val="00BA279A"/>
    <w:rsid w:val="00BA3B55"/>
    <w:rsid w:val="00BA3DA3"/>
    <w:rsid w:val="00BA41AF"/>
    <w:rsid w:val="00BA41B9"/>
    <w:rsid w:val="00BA439C"/>
    <w:rsid w:val="00BA441D"/>
    <w:rsid w:val="00BA4641"/>
    <w:rsid w:val="00BA48E3"/>
    <w:rsid w:val="00BA50D2"/>
    <w:rsid w:val="00BA54A0"/>
    <w:rsid w:val="00BA54CC"/>
    <w:rsid w:val="00BA5D80"/>
    <w:rsid w:val="00BA5E93"/>
    <w:rsid w:val="00BA6129"/>
    <w:rsid w:val="00BA650D"/>
    <w:rsid w:val="00BA685A"/>
    <w:rsid w:val="00BA69EC"/>
    <w:rsid w:val="00BA6ABD"/>
    <w:rsid w:val="00BA6ACE"/>
    <w:rsid w:val="00BA6DE8"/>
    <w:rsid w:val="00BA74B1"/>
    <w:rsid w:val="00BA74FA"/>
    <w:rsid w:val="00BA7691"/>
    <w:rsid w:val="00BA7857"/>
    <w:rsid w:val="00BB0E14"/>
    <w:rsid w:val="00BB14F9"/>
    <w:rsid w:val="00BB1829"/>
    <w:rsid w:val="00BB1F53"/>
    <w:rsid w:val="00BB28BD"/>
    <w:rsid w:val="00BB2990"/>
    <w:rsid w:val="00BB29C8"/>
    <w:rsid w:val="00BB3F48"/>
    <w:rsid w:val="00BB49AB"/>
    <w:rsid w:val="00BB51EE"/>
    <w:rsid w:val="00BB52CD"/>
    <w:rsid w:val="00BB56CC"/>
    <w:rsid w:val="00BB62FA"/>
    <w:rsid w:val="00BB6926"/>
    <w:rsid w:val="00BB713F"/>
    <w:rsid w:val="00BC0718"/>
    <w:rsid w:val="00BC0AC6"/>
    <w:rsid w:val="00BC1B34"/>
    <w:rsid w:val="00BC1FBD"/>
    <w:rsid w:val="00BC203A"/>
    <w:rsid w:val="00BC257D"/>
    <w:rsid w:val="00BC26C1"/>
    <w:rsid w:val="00BC296D"/>
    <w:rsid w:val="00BC398B"/>
    <w:rsid w:val="00BC3D5C"/>
    <w:rsid w:val="00BC4421"/>
    <w:rsid w:val="00BC489E"/>
    <w:rsid w:val="00BC4AF0"/>
    <w:rsid w:val="00BC6693"/>
    <w:rsid w:val="00BC68CB"/>
    <w:rsid w:val="00BC69E2"/>
    <w:rsid w:val="00BC6A34"/>
    <w:rsid w:val="00BC7343"/>
    <w:rsid w:val="00BC743E"/>
    <w:rsid w:val="00BC7BBF"/>
    <w:rsid w:val="00BC7CB9"/>
    <w:rsid w:val="00BD0255"/>
    <w:rsid w:val="00BD04A8"/>
    <w:rsid w:val="00BD0D05"/>
    <w:rsid w:val="00BD10B4"/>
    <w:rsid w:val="00BD21A3"/>
    <w:rsid w:val="00BD32B4"/>
    <w:rsid w:val="00BD3AF7"/>
    <w:rsid w:val="00BD4500"/>
    <w:rsid w:val="00BD472F"/>
    <w:rsid w:val="00BD4DF2"/>
    <w:rsid w:val="00BD54B3"/>
    <w:rsid w:val="00BD561F"/>
    <w:rsid w:val="00BD5AFE"/>
    <w:rsid w:val="00BD5E97"/>
    <w:rsid w:val="00BD657F"/>
    <w:rsid w:val="00BD6A2D"/>
    <w:rsid w:val="00BD6D9A"/>
    <w:rsid w:val="00BD6DBF"/>
    <w:rsid w:val="00BD6F55"/>
    <w:rsid w:val="00BD76BA"/>
    <w:rsid w:val="00BD78B8"/>
    <w:rsid w:val="00BE01BB"/>
    <w:rsid w:val="00BE05B8"/>
    <w:rsid w:val="00BE0D8D"/>
    <w:rsid w:val="00BE1C23"/>
    <w:rsid w:val="00BE2BCA"/>
    <w:rsid w:val="00BE3B69"/>
    <w:rsid w:val="00BE4000"/>
    <w:rsid w:val="00BE47CC"/>
    <w:rsid w:val="00BE48B4"/>
    <w:rsid w:val="00BE533C"/>
    <w:rsid w:val="00BE5D82"/>
    <w:rsid w:val="00BE6006"/>
    <w:rsid w:val="00BE609C"/>
    <w:rsid w:val="00BE72C6"/>
    <w:rsid w:val="00BE75EC"/>
    <w:rsid w:val="00BE793C"/>
    <w:rsid w:val="00BE7F57"/>
    <w:rsid w:val="00BE7F89"/>
    <w:rsid w:val="00BF019A"/>
    <w:rsid w:val="00BF066B"/>
    <w:rsid w:val="00BF06FD"/>
    <w:rsid w:val="00BF108C"/>
    <w:rsid w:val="00BF1205"/>
    <w:rsid w:val="00BF1A5D"/>
    <w:rsid w:val="00BF26D7"/>
    <w:rsid w:val="00BF299A"/>
    <w:rsid w:val="00BF31BA"/>
    <w:rsid w:val="00BF4667"/>
    <w:rsid w:val="00BF54F7"/>
    <w:rsid w:val="00BF62CF"/>
    <w:rsid w:val="00BF63CB"/>
    <w:rsid w:val="00BF6F2C"/>
    <w:rsid w:val="00BF7696"/>
    <w:rsid w:val="00BF7C2A"/>
    <w:rsid w:val="00BF7F4D"/>
    <w:rsid w:val="00C008E5"/>
    <w:rsid w:val="00C00B9B"/>
    <w:rsid w:val="00C00C54"/>
    <w:rsid w:val="00C01534"/>
    <w:rsid w:val="00C016BC"/>
    <w:rsid w:val="00C0203B"/>
    <w:rsid w:val="00C0223F"/>
    <w:rsid w:val="00C02660"/>
    <w:rsid w:val="00C029D6"/>
    <w:rsid w:val="00C02E89"/>
    <w:rsid w:val="00C034FA"/>
    <w:rsid w:val="00C03710"/>
    <w:rsid w:val="00C03A08"/>
    <w:rsid w:val="00C04088"/>
    <w:rsid w:val="00C04337"/>
    <w:rsid w:val="00C0594B"/>
    <w:rsid w:val="00C05B0B"/>
    <w:rsid w:val="00C0788F"/>
    <w:rsid w:val="00C07A5B"/>
    <w:rsid w:val="00C10704"/>
    <w:rsid w:val="00C108C4"/>
    <w:rsid w:val="00C10B02"/>
    <w:rsid w:val="00C1139C"/>
    <w:rsid w:val="00C11932"/>
    <w:rsid w:val="00C11FAA"/>
    <w:rsid w:val="00C11FE9"/>
    <w:rsid w:val="00C12134"/>
    <w:rsid w:val="00C123A0"/>
    <w:rsid w:val="00C125CB"/>
    <w:rsid w:val="00C12989"/>
    <w:rsid w:val="00C1321D"/>
    <w:rsid w:val="00C13488"/>
    <w:rsid w:val="00C13C89"/>
    <w:rsid w:val="00C142B9"/>
    <w:rsid w:val="00C14552"/>
    <w:rsid w:val="00C14B16"/>
    <w:rsid w:val="00C15E77"/>
    <w:rsid w:val="00C161C7"/>
    <w:rsid w:val="00C166D7"/>
    <w:rsid w:val="00C1725D"/>
    <w:rsid w:val="00C17980"/>
    <w:rsid w:val="00C203CE"/>
    <w:rsid w:val="00C20AD6"/>
    <w:rsid w:val="00C20B57"/>
    <w:rsid w:val="00C20DED"/>
    <w:rsid w:val="00C20EAB"/>
    <w:rsid w:val="00C215B6"/>
    <w:rsid w:val="00C21845"/>
    <w:rsid w:val="00C21EA9"/>
    <w:rsid w:val="00C21EF7"/>
    <w:rsid w:val="00C2265C"/>
    <w:rsid w:val="00C22AA3"/>
    <w:rsid w:val="00C22CC5"/>
    <w:rsid w:val="00C2311A"/>
    <w:rsid w:val="00C243FE"/>
    <w:rsid w:val="00C2441B"/>
    <w:rsid w:val="00C246AD"/>
    <w:rsid w:val="00C2473B"/>
    <w:rsid w:val="00C25405"/>
    <w:rsid w:val="00C25AD6"/>
    <w:rsid w:val="00C25F81"/>
    <w:rsid w:val="00C264D9"/>
    <w:rsid w:val="00C26705"/>
    <w:rsid w:val="00C26978"/>
    <w:rsid w:val="00C27876"/>
    <w:rsid w:val="00C308E7"/>
    <w:rsid w:val="00C309F1"/>
    <w:rsid w:val="00C319C6"/>
    <w:rsid w:val="00C31C53"/>
    <w:rsid w:val="00C32482"/>
    <w:rsid w:val="00C32C6B"/>
    <w:rsid w:val="00C33153"/>
    <w:rsid w:val="00C335B7"/>
    <w:rsid w:val="00C33633"/>
    <w:rsid w:val="00C3380A"/>
    <w:rsid w:val="00C33C2F"/>
    <w:rsid w:val="00C33D9F"/>
    <w:rsid w:val="00C342D3"/>
    <w:rsid w:val="00C34AB5"/>
    <w:rsid w:val="00C34E15"/>
    <w:rsid w:val="00C34E8D"/>
    <w:rsid w:val="00C353BD"/>
    <w:rsid w:val="00C35748"/>
    <w:rsid w:val="00C35E15"/>
    <w:rsid w:val="00C364DF"/>
    <w:rsid w:val="00C36AB7"/>
    <w:rsid w:val="00C37110"/>
    <w:rsid w:val="00C37B02"/>
    <w:rsid w:val="00C40FD9"/>
    <w:rsid w:val="00C417EE"/>
    <w:rsid w:val="00C419BC"/>
    <w:rsid w:val="00C42792"/>
    <w:rsid w:val="00C42D92"/>
    <w:rsid w:val="00C435FA"/>
    <w:rsid w:val="00C43B4E"/>
    <w:rsid w:val="00C43CA6"/>
    <w:rsid w:val="00C44AC6"/>
    <w:rsid w:val="00C44B68"/>
    <w:rsid w:val="00C45066"/>
    <w:rsid w:val="00C46107"/>
    <w:rsid w:val="00C46413"/>
    <w:rsid w:val="00C4651D"/>
    <w:rsid w:val="00C469DE"/>
    <w:rsid w:val="00C47520"/>
    <w:rsid w:val="00C479E2"/>
    <w:rsid w:val="00C47B44"/>
    <w:rsid w:val="00C47B66"/>
    <w:rsid w:val="00C507DE"/>
    <w:rsid w:val="00C508C5"/>
    <w:rsid w:val="00C51301"/>
    <w:rsid w:val="00C515E9"/>
    <w:rsid w:val="00C520A4"/>
    <w:rsid w:val="00C52126"/>
    <w:rsid w:val="00C52543"/>
    <w:rsid w:val="00C525A9"/>
    <w:rsid w:val="00C5329B"/>
    <w:rsid w:val="00C53D90"/>
    <w:rsid w:val="00C5516C"/>
    <w:rsid w:val="00C551F3"/>
    <w:rsid w:val="00C557A4"/>
    <w:rsid w:val="00C55D09"/>
    <w:rsid w:val="00C565B8"/>
    <w:rsid w:val="00C56FCB"/>
    <w:rsid w:val="00C570F6"/>
    <w:rsid w:val="00C577B4"/>
    <w:rsid w:val="00C57810"/>
    <w:rsid w:val="00C57D03"/>
    <w:rsid w:val="00C602FE"/>
    <w:rsid w:val="00C6110F"/>
    <w:rsid w:val="00C61FED"/>
    <w:rsid w:val="00C63259"/>
    <w:rsid w:val="00C636AB"/>
    <w:rsid w:val="00C63C8C"/>
    <w:rsid w:val="00C63E78"/>
    <w:rsid w:val="00C64448"/>
    <w:rsid w:val="00C6555B"/>
    <w:rsid w:val="00C6576A"/>
    <w:rsid w:val="00C65A0A"/>
    <w:rsid w:val="00C65B40"/>
    <w:rsid w:val="00C65BD0"/>
    <w:rsid w:val="00C65D83"/>
    <w:rsid w:val="00C66284"/>
    <w:rsid w:val="00C662E5"/>
    <w:rsid w:val="00C664B7"/>
    <w:rsid w:val="00C66773"/>
    <w:rsid w:val="00C67EB7"/>
    <w:rsid w:val="00C67F60"/>
    <w:rsid w:val="00C703E6"/>
    <w:rsid w:val="00C7103F"/>
    <w:rsid w:val="00C71DA9"/>
    <w:rsid w:val="00C71FBD"/>
    <w:rsid w:val="00C72033"/>
    <w:rsid w:val="00C72876"/>
    <w:rsid w:val="00C729D9"/>
    <w:rsid w:val="00C7317E"/>
    <w:rsid w:val="00C738A2"/>
    <w:rsid w:val="00C73A49"/>
    <w:rsid w:val="00C73C52"/>
    <w:rsid w:val="00C73EE0"/>
    <w:rsid w:val="00C744D2"/>
    <w:rsid w:val="00C749E2"/>
    <w:rsid w:val="00C75031"/>
    <w:rsid w:val="00C753D2"/>
    <w:rsid w:val="00C75A28"/>
    <w:rsid w:val="00C765AD"/>
    <w:rsid w:val="00C77367"/>
    <w:rsid w:val="00C77508"/>
    <w:rsid w:val="00C776AE"/>
    <w:rsid w:val="00C80282"/>
    <w:rsid w:val="00C80E0A"/>
    <w:rsid w:val="00C81836"/>
    <w:rsid w:val="00C8236A"/>
    <w:rsid w:val="00C828EC"/>
    <w:rsid w:val="00C82D93"/>
    <w:rsid w:val="00C82D9C"/>
    <w:rsid w:val="00C82F5A"/>
    <w:rsid w:val="00C83A60"/>
    <w:rsid w:val="00C84208"/>
    <w:rsid w:val="00C85230"/>
    <w:rsid w:val="00C85A6D"/>
    <w:rsid w:val="00C85F65"/>
    <w:rsid w:val="00C861AF"/>
    <w:rsid w:val="00C8623B"/>
    <w:rsid w:val="00C86A08"/>
    <w:rsid w:val="00C86CD0"/>
    <w:rsid w:val="00C86DB9"/>
    <w:rsid w:val="00C87000"/>
    <w:rsid w:val="00C87620"/>
    <w:rsid w:val="00C90565"/>
    <w:rsid w:val="00C91DDA"/>
    <w:rsid w:val="00C91EC9"/>
    <w:rsid w:val="00C92020"/>
    <w:rsid w:val="00C92F20"/>
    <w:rsid w:val="00C9327F"/>
    <w:rsid w:val="00C94127"/>
    <w:rsid w:val="00C94A78"/>
    <w:rsid w:val="00C953F9"/>
    <w:rsid w:val="00C961F5"/>
    <w:rsid w:val="00C968CB"/>
    <w:rsid w:val="00C96963"/>
    <w:rsid w:val="00C96D6A"/>
    <w:rsid w:val="00C971D9"/>
    <w:rsid w:val="00C97295"/>
    <w:rsid w:val="00C979A5"/>
    <w:rsid w:val="00C97C1F"/>
    <w:rsid w:val="00CA0A0F"/>
    <w:rsid w:val="00CA0E3F"/>
    <w:rsid w:val="00CA0FE4"/>
    <w:rsid w:val="00CA141F"/>
    <w:rsid w:val="00CA1698"/>
    <w:rsid w:val="00CA1832"/>
    <w:rsid w:val="00CA1DA9"/>
    <w:rsid w:val="00CA2042"/>
    <w:rsid w:val="00CA2110"/>
    <w:rsid w:val="00CA2A13"/>
    <w:rsid w:val="00CA3356"/>
    <w:rsid w:val="00CA3A5E"/>
    <w:rsid w:val="00CA3BE4"/>
    <w:rsid w:val="00CA413C"/>
    <w:rsid w:val="00CA5938"/>
    <w:rsid w:val="00CA5B1D"/>
    <w:rsid w:val="00CA61EF"/>
    <w:rsid w:val="00CA623E"/>
    <w:rsid w:val="00CA63B3"/>
    <w:rsid w:val="00CA63D6"/>
    <w:rsid w:val="00CA6AC3"/>
    <w:rsid w:val="00CA6B60"/>
    <w:rsid w:val="00CA74F9"/>
    <w:rsid w:val="00CA7F1E"/>
    <w:rsid w:val="00CA7FA6"/>
    <w:rsid w:val="00CB05F6"/>
    <w:rsid w:val="00CB0D73"/>
    <w:rsid w:val="00CB1B7E"/>
    <w:rsid w:val="00CB2A65"/>
    <w:rsid w:val="00CB2D79"/>
    <w:rsid w:val="00CB3334"/>
    <w:rsid w:val="00CB3671"/>
    <w:rsid w:val="00CB3DF1"/>
    <w:rsid w:val="00CB3FC1"/>
    <w:rsid w:val="00CB4683"/>
    <w:rsid w:val="00CB4EE5"/>
    <w:rsid w:val="00CB5502"/>
    <w:rsid w:val="00CB57C7"/>
    <w:rsid w:val="00CB5990"/>
    <w:rsid w:val="00CB5F63"/>
    <w:rsid w:val="00CB61F7"/>
    <w:rsid w:val="00CB6990"/>
    <w:rsid w:val="00CB69FA"/>
    <w:rsid w:val="00CB72A0"/>
    <w:rsid w:val="00CC021A"/>
    <w:rsid w:val="00CC0F64"/>
    <w:rsid w:val="00CC186A"/>
    <w:rsid w:val="00CC223D"/>
    <w:rsid w:val="00CC2A85"/>
    <w:rsid w:val="00CC3D73"/>
    <w:rsid w:val="00CC4845"/>
    <w:rsid w:val="00CC4B29"/>
    <w:rsid w:val="00CC4D1A"/>
    <w:rsid w:val="00CC543F"/>
    <w:rsid w:val="00CC564D"/>
    <w:rsid w:val="00CC60E6"/>
    <w:rsid w:val="00CC6389"/>
    <w:rsid w:val="00CC658A"/>
    <w:rsid w:val="00CC6981"/>
    <w:rsid w:val="00CC6C83"/>
    <w:rsid w:val="00CC72F4"/>
    <w:rsid w:val="00CC7445"/>
    <w:rsid w:val="00CC748C"/>
    <w:rsid w:val="00CC7902"/>
    <w:rsid w:val="00CC7975"/>
    <w:rsid w:val="00CC7D48"/>
    <w:rsid w:val="00CC7ED6"/>
    <w:rsid w:val="00CD01E0"/>
    <w:rsid w:val="00CD01E2"/>
    <w:rsid w:val="00CD059A"/>
    <w:rsid w:val="00CD078D"/>
    <w:rsid w:val="00CD0A21"/>
    <w:rsid w:val="00CD0B36"/>
    <w:rsid w:val="00CD116F"/>
    <w:rsid w:val="00CD2031"/>
    <w:rsid w:val="00CD231C"/>
    <w:rsid w:val="00CD26BB"/>
    <w:rsid w:val="00CD2CEF"/>
    <w:rsid w:val="00CD2E47"/>
    <w:rsid w:val="00CD3249"/>
    <w:rsid w:val="00CD336F"/>
    <w:rsid w:val="00CD3A7B"/>
    <w:rsid w:val="00CD3C01"/>
    <w:rsid w:val="00CD3FE6"/>
    <w:rsid w:val="00CD465F"/>
    <w:rsid w:val="00CD5657"/>
    <w:rsid w:val="00CD5947"/>
    <w:rsid w:val="00CD59DB"/>
    <w:rsid w:val="00CD5E77"/>
    <w:rsid w:val="00CD6744"/>
    <w:rsid w:val="00CD674E"/>
    <w:rsid w:val="00CD6A04"/>
    <w:rsid w:val="00CD6F32"/>
    <w:rsid w:val="00CD78C4"/>
    <w:rsid w:val="00CD79CB"/>
    <w:rsid w:val="00CD7C7B"/>
    <w:rsid w:val="00CE09F1"/>
    <w:rsid w:val="00CE1443"/>
    <w:rsid w:val="00CE149C"/>
    <w:rsid w:val="00CE14A7"/>
    <w:rsid w:val="00CE1710"/>
    <w:rsid w:val="00CE1BC1"/>
    <w:rsid w:val="00CE22F2"/>
    <w:rsid w:val="00CE2B88"/>
    <w:rsid w:val="00CE2CFB"/>
    <w:rsid w:val="00CE2DEB"/>
    <w:rsid w:val="00CE2E20"/>
    <w:rsid w:val="00CE2EF0"/>
    <w:rsid w:val="00CE30E8"/>
    <w:rsid w:val="00CE32E0"/>
    <w:rsid w:val="00CE4AA8"/>
    <w:rsid w:val="00CE4B8F"/>
    <w:rsid w:val="00CE4D79"/>
    <w:rsid w:val="00CE4E69"/>
    <w:rsid w:val="00CE5F99"/>
    <w:rsid w:val="00CE6261"/>
    <w:rsid w:val="00CE6A69"/>
    <w:rsid w:val="00CE6ADE"/>
    <w:rsid w:val="00CE744C"/>
    <w:rsid w:val="00CE7482"/>
    <w:rsid w:val="00CE7C59"/>
    <w:rsid w:val="00CE7F96"/>
    <w:rsid w:val="00CF01FD"/>
    <w:rsid w:val="00CF0687"/>
    <w:rsid w:val="00CF2420"/>
    <w:rsid w:val="00CF2423"/>
    <w:rsid w:val="00CF277D"/>
    <w:rsid w:val="00CF34FE"/>
    <w:rsid w:val="00CF386F"/>
    <w:rsid w:val="00CF486D"/>
    <w:rsid w:val="00CF48ED"/>
    <w:rsid w:val="00CF5780"/>
    <w:rsid w:val="00CF57B7"/>
    <w:rsid w:val="00CF5DA7"/>
    <w:rsid w:val="00CF639B"/>
    <w:rsid w:val="00CF647A"/>
    <w:rsid w:val="00CF6C5C"/>
    <w:rsid w:val="00CF6CEE"/>
    <w:rsid w:val="00CF7122"/>
    <w:rsid w:val="00CF7217"/>
    <w:rsid w:val="00CF73D2"/>
    <w:rsid w:val="00CF75D9"/>
    <w:rsid w:val="00CF7914"/>
    <w:rsid w:val="00D0004E"/>
    <w:rsid w:val="00D001EB"/>
    <w:rsid w:val="00D00389"/>
    <w:rsid w:val="00D0068A"/>
    <w:rsid w:val="00D008F1"/>
    <w:rsid w:val="00D00B6C"/>
    <w:rsid w:val="00D011B6"/>
    <w:rsid w:val="00D014FB"/>
    <w:rsid w:val="00D01639"/>
    <w:rsid w:val="00D01681"/>
    <w:rsid w:val="00D0182D"/>
    <w:rsid w:val="00D0260D"/>
    <w:rsid w:val="00D02D04"/>
    <w:rsid w:val="00D02EDA"/>
    <w:rsid w:val="00D03C52"/>
    <w:rsid w:val="00D04CA9"/>
    <w:rsid w:val="00D04E11"/>
    <w:rsid w:val="00D04F1F"/>
    <w:rsid w:val="00D0546C"/>
    <w:rsid w:val="00D05E2B"/>
    <w:rsid w:val="00D05FD0"/>
    <w:rsid w:val="00D06093"/>
    <w:rsid w:val="00D06579"/>
    <w:rsid w:val="00D06797"/>
    <w:rsid w:val="00D06F32"/>
    <w:rsid w:val="00D07AEB"/>
    <w:rsid w:val="00D07ED5"/>
    <w:rsid w:val="00D1019D"/>
    <w:rsid w:val="00D10433"/>
    <w:rsid w:val="00D104BD"/>
    <w:rsid w:val="00D1060B"/>
    <w:rsid w:val="00D10C41"/>
    <w:rsid w:val="00D10EB3"/>
    <w:rsid w:val="00D11235"/>
    <w:rsid w:val="00D112E3"/>
    <w:rsid w:val="00D11650"/>
    <w:rsid w:val="00D11F55"/>
    <w:rsid w:val="00D12795"/>
    <w:rsid w:val="00D13254"/>
    <w:rsid w:val="00D132C4"/>
    <w:rsid w:val="00D1332C"/>
    <w:rsid w:val="00D14095"/>
    <w:rsid w:val="00D1428A"/>
    <w:rsid w:val="00D14356"/>
    <w:rsid w:val="00D1526A"/>
    <w:rsid w:val="00D153AB"/>
    <w:rsid w:val="00D158DF"/>
    <w:rsid w:val="00D15A5B"/>
    <w:rsid w:val="00D16177"/>
    <w:rsid w:val="00D16351"/>
    <w:rsid w:val="00D16BE2"/>
    <w:rsid w:val="00D17D42"/>
    <w:rsid w:val="00D2015E"/>
    <w:rsid w:val="00D202BA"/>
    <w:rsid w:val="00D202D8"/>
    <w:rsid w:val="00D21498"/>
    <w:rsid w:val="00D21777"/>
    <w:rsid w:val="00D22031"/>
    <w:rsid w:val="00D22DE8"/>
    <w:rsid w:val="00D23261"/>
    <w:rsid w:val="00D23A79"/>
    <w:rsid w:val="00D2421B"/>
    <w:rsid w:val="00D25819"/>
    <w:rsid w:val="00D2659F"/>
    <w:rsid w:val="00D26EA3"/>
    <w:rsid w:val="00D2704D"/>
    <w:rsid w:val="00D276DB"/>
    <w:rsid w:val="00D30C01"/>
    <w:rsid w:val="00D3152A"/>
    <w:rsid w:val="00D31607"/>
    <w:rsid w:val="00D32068"/>
    <w:rsid w:val="00D32130"/>
    <w:rsid w:val="00D32315"/>
    <w:rsid w:val="00D32A0B"/>
    <w:rsid w:val="00D3324C"/>
    <w:rsid w:val="00D33577"/>
    <w:rsid w:val="00D33B85"/>
    <w:rsid w:val="00D33D48"/>
    <w:rsid w:val="00D3403F"/>
    <w:rsid w:val="00D34A98"/>
    <w:rsid w:val="00D34F50"/>
    <w:rsid w:val="00D35073"/>
    <w:rsid w:val="00D35AAB"/>
    <w:rsid w:val="00D36F99"/>
    <w:rsid w:val="00D3746E"/>
    <w:rsid w:val="00D375E4"/>
    <w:rsid w:val="00D37CB1"/>
    <w:rsid w:val="00D37F76"/>
    <w:rsid w:val="00D41358"/>
    <w:rsid w:val="00D41957"/>
    <w:rsid w:val="00D41CBA"/>
    <w:rsid w:val="00D41CF7"/>
    <w:rsid w:val="00D4277C"/>
    <w:rsid w:val="00D4316B"/>
    <w:rsid w:val="00D4423C"/>
    <w:rsid w:val="00D4435A"/>
    <w:rsid w:val="00D4458E"/>
    <w:rsid w:val="00D4468A"/>
    <w:rsid w:val="00D44814"/>
    <w:rsid w:val="00D45530"/>
    <w:rsid w:val="00D45C85"/>
    <w:rsid w:val="00D45D12"/>
    <w:rsid w:val="00D46217"/>
    <w:rsid w:val="00D463A0"/>
    <w:rsid w:val="00D474F2"/>
    <w:rsid w:val="00D47718"/>
    <w:rsid w:val="00D479D5"/>
    <w:rsid w:val="00D47D5D"/>
    <w:rsid w:val="00D47DCC"/>
    <w:rsid w:val="00D50994"/>
    <w:rsid w:val="00D516FE"/>
    <w:rsid w:val="00D51C59"/>
    <w:rsid w:val="00D524A5"/>
    <w:rsid w:val="00D53054"/>
    <w:rsid w:val="00D5382E"/>
    <w:rsid w:val="00D53F13"/>
    <w:rsid w:val="00D55226"/>
    <w:rsid w:val="00D5556F"/>
    <w:rsid w:val="00D557E7"/>
    <w:rsid w:val="00D55981"/>
    <w:rsid w:val="00D55E87"/>
    <w:rsid w:val="00D55F0B"/>
    <w:rsid w:val="00D56CB6"/>
    <w:rsid w:val="00D57ACD"/>
    <w:rsid w:val="00D57FD7"/>
    <w:rsid w:val="00D6038C"/>
    <w:rsid w:val="00D605EC"/>
    <w:rsid w:val="00D60A97"/>
    <w:rsid w:val="00D60ABF"/>
    <w:rsid w:val="00D60B9C"/>
    <w:rsid w:val="00D61191"/>
    <w:rsid w:val="00D61658"/>
    <w:rsid w:val="00D6352D"/>
    <w:rsid w:val="00D63F8B"/>
    <w:rsid w:val="00D642AA"/>
    <w:rsid w:val="00D6430A"/>
    <w:rsid w:val="00D64480"/>
    <w:rsid w:val="00D657EC"/>
    <w:rsid w:val="00D66267"/>
    <w:rsid w:val="00D66BC8"/>
    <w:rsid w:val="00D66ED5"/>
    <w:rsid w:val="00D6769E"/>
    <w:rsid w:val="00D676D1"/>
    <w:rsid w:val="00D67AA4"/>
    <w:rsid w:val="00D67C8C"/>
    <w:rsid w:val="00D72223"/>
    <w:rsid w:val="00D726BD"/>
    <w:rsid w:val="00D73F85"/>
    <w:rsid w:val="00D7430F"/>
    <w:rsid w:val="00D75C9A"/>
    <w:rsid w:val="00D76198"/>
    <w:rsid w:val="00D76328"/>
    <w:rsid w:val="00D768EB"/>
    <w:rsid w:val="00D76BD8"/>
    <w:rsid w:val="00D76F1E"/>
    <w:rsid w:val="00D76F8A"/>
    <w:rsid w:val="00D777BE"/>
    <w:rsid w:val="00D77B23"/>
    <w:rsid w:val="00D77B78"/>
    <w:rsid w:val="00D800DA"/>
    <w:rsid w:val="00D806DA"/>
    <w:rsid w:val="00D807D1"/>
    <w:rsid w:val="00D80DDC"/>
    <w:rsid w:val="00D812FD"/>
    <w:rsid w:val="00D81BD2"/>
    <w:rsid w:val="00D82244"/>
    <w:rsid w:val="00D83498"/>
    <w:rsid w:val="00D84236"/>
    <w:rsid w:val="00D84A85"/>
    <w:rsid w:val="00D85DCE"/>
    <w:rsid w:val="00D85FE8"/>
    <w:rsid w:val="00D86037"/>
    <w:rsid w:val="00D86E83"/>
    <w:rsid w:val="00D87965"/>
    <w:rsid w:val="00D903D4"/>
    <w:rsid w:val="00D90945"/>
    <w:rsid w:val="00D913C5"/>
    <w:rsid w:val="00D92120"/>
    <w:rsid w:val="00D92FDB"/>
    <w:rsid w:val="00D930C8"/>
    <w:rsid w:val="00D9366B"/>
    <w:rsid w:val="00D93BC6"/>
    <w:rsid w:val="00D93E76"/>
    <w:rsid w:val="00D94598"/>
    <w:rsid w:val="00D952CF"/>
    <w:rsid w:val="00D95BB4"/>
    <w:rsid w:val="00D961E5"/>
    <w:rsid w:val="00D968DF"/>
    <w:rsid w:val="00D9731C"/>
    <w:rsid w:val="00D97B5E"/>
    <w:rsid w:val="00D97E68"/>
    <w:rsid w:val="00DA0339"/>
    <w:rsid w:val="00DA0510"/>
    <w:rsid w:val="00DA0638"/>
    <w:rsid w:val="00DA0B72"/>
    <w:rsid w:val="00DA0C8D"/>
    <w:rsid w:val="00DA119C"/>
    <w:rsid w:val="00DA15DC"/>
    <w:rsid w:val="00DA1A41"/>
    <w:rsid w:val="00DA28CA"/>
    <w:rsid w:val="00DA28F4"/>
    <w:rsid w:val="00DA2949"/>
    <w:rsid w:val="00DA3602"/>
    <w:rsid w:val="00DA3B61"/>
    <w:rsid w:val="00DA3E0A"/>
    <w:rsid w:val="00DA3E24"/>
    <w:rsid w:val="00DA428C"/>
    <w:rsid w:val="00DA44F6"/>
    <w:rsid w:val="00DA46A5"/>
    <w:rsid w:val="00DA482D"/>
    <w:rsid w:val="00DA4983"/>
    <w:rsid w:val="00DA49DD"/>
    <w:rsid w:val="00DA4F2F"/>
    <w:rsid w:val="00DA5777"/>
    <w:rsid w:val="00DA5C23"/>
    <w:rsid w:val="00DA5F9F"/>
    <w:rsid w:val="00DA62C1"/>
    <w:rsid w:val="00DA6739"/>
    <w:rsid w:val="00DA6AB7"/>
    <w:rsid w:val="00DA7178"/>
    <w:rsid w:val="00DA7241"/>
    <w:rsid w:val="00DA7359"/>
    <w:rsid w:val="00DB05E6"/>
    <w:rsid w:val="00DB1112"/>
    <w:rsid w:val="00DB1F7F"/>
    <w:rsid w:val="00DB2238"/>
    <w:rsid w:val="00DB27FC"/>
    <w:rsid w:val="00DB2A0B"/>
    <w:rsid w:val="00DB2C18"/>
    <w:rsid w:val="00DB3291"/>
    <w:rsid w:val="00DB39B8"/>
    <w:rsid w:val="00DB3CD7"/>
    <w:rsid w:val="00DB3DE4"/>
    <w:rsid w:val="00DB3EF0"/>
    <w:rsid w:val="00DB3F7C"/>
    <w:rsid w:val="00DB4972"/>
    <w:rsid w:val="00DB54C7"/>
    <w:rsid w:val="00DB6079"/>
    <w:rsid w:val="00DB765B"/>
    <w:rsid w:val="00DB7749"/>
    <w:rsid w:val="00DC10D1"/>
    <w:rsid w:val="00DC14B2"/>
    <w:rsid w:val="00DC1F43"/>
    <w:rsid w:val="00DC247E"/>
    <w:rsid w:val="00DC2A36"/>
    <w:rsid w:val="00DC2EE4"/>
    <w:rsid w:val="00DC361D"/>
    <w:rsid w:val="00DC3704"/>
    <w:rsid w:val="00DC38C3"/>
    <w:rsid w:val="00DC3996"/>
    <w:rsid w:val="00DC3FC8"/>
    <w:rsid w:val="00DC4D09"/>
    <w:rsid w:val="00DC57B1"/>
    <w:rsid w:val="00DC5833"/>
    <w:rsid w:val="00DC5D36"/>
    <w:rsid w:val="00DC5E38"/>
    <w:rsid w:val="00DC6ACB"/>
    <w:rsid w:val="00DC6C58"/>
    <w:rsid w:val="00DC74E6"/>
    <w:rsid w:val="00DC74F1"/>
    <w:rsid w:val="00DC7A6B"/>
    <w:rsid w:val="00DD038F"/>
    <w:rsid w:val="00DD03F5"/>
    <w:rsid w:val="00DD0842"/>
    <w:rsid w:val="00DD115A"/>
    <w:rsid w:val="00DD17EF"/>
    <w:rsid w:val="00DD1C92"/>
    <w:rsid w:val="00DD2021"/>
    <w:rsid w:val="00DD29AD"/>
    <w:rsid w:val="00DD372B"/>
    <w:rsid w:val="00DD4280"/>
    <w:rsid w:val="00DD4882"/>
    <w:rsid w:val="00DD4A3D"/>
    <w:rsid w:val="00DD4BD3"/>
    <w:rsid w:val="00DD5C46"/>
    <w:rsid w:val="00DD6822"/>
    <w:rsid w:val="00DD6E46"/>
    <w:rsid w:val="00DD7423"/>
    <w:rsid w:val="00DD78DD"/>
    <w:rsid w:val="00DD7ABF"/>
    <w:rsid w:val="00DD7B2D"/>
    <w:rsid w:val="00DE1376"/>
    <w:rsid w:val="00DE188A"/>
    <w:rsid w:val="00DE1EA4"/>
    <w:rsid w:val="00DE26AF"/>
    <w:rsid w:val="00DE2A6A"/>
    <w:rsid w:val="00DE2B1B"/>
    <w:rsid w:val="00DE3048"/>
    <w:rsid w:val="00DE4081"/>
    <w:rsid w:val="00DE5399"/>
    <w:rsid w:val="00DE5683"/>
    <w:rsid w:val="00DE5D97"/>
    <w:rsid w:val="00DE61F1"/>
    <w:rsid w:val="00DE6611"/>
    <w:rsid w:val="00DE6A81"/>
    <w:rsid w:val="00DE6C46"/>
    <w:rsid w:val="00DE72B2"/>
    <w:rsid w:val="00DF0922"/>
    <w:rsid w:val="00DF0F84"/>
    <w:rsid w:val="00DF18E2"/>
    <w:rsid w:val="00DF2911"/>
    <w:rsid w:val="00DF31A2"/>
    <w:rsid w:val="00DF33F9"/>
    <w:rsid w:val="00DF34B0"/>
    <w:rsid w:val="00DF39EC"/>
    <w:rsid w:val="00DF4A0E"/>
    <w:rsid w:val="00DF569C"/>
    <w:rsid w:val="00DF5FC6"/>
    <w:rsid w:val="00DF612F"/>
    <w:rsid w:val="00DF6948"/>
    <w:rsid w:val="00DF6EE7"/>
    <w:rsid w:val="00DF7D48"/>
    <w:rsid w:val="00E00CBB"/>
    <w:rsid w:val="00E00FAC"/>
    <w:rsid w:val="00E026F2"/>
    <w:rsid w:val="00E028E4"/>
    <w:rsid w:val="00E02F82"/>
    <w:rsid w:val="00E030CB"/>
    <w:rsid w:val="00E0337A"/>
    <w:rsid w:val="00E03A2D"/>
    <w:rsid w:val="00E03AD3"/>
    <w:rsid w:val="00E03ADE"/>
    <w:rsid w:val="00E03F76"/>
    <w:rsid w:val="00E04D9F"/>
    <w:rsid w:val="00E05029"/>
    <w:rsid w:val="00E0506C"/>
    <w:rsid w:val="00E05A8F"/>
    <w:rsid w:val="00E061D5"/>
    <w:rsid w:val="00E072DC"/>
    <w:rsid w:val="00E07409"/>
    <w:rsid w:val="00E10916"/>
    <w:rsid w:val="00E10C77"/>
    <w:rsid w:val="00E1102B"/>
    <w:rsid w:val="00E113E2"/>
    <w:rsid w:val="00E11A58"/>
    <w:rsid w:val="00E11B80"/>
    <w:rsid w:val="00E12654"/>
    <w:rsid w:val="00E136A1"/>
    <w:rsid w:val="00E14EA6"/>
    <w:rsid w:val="00E15452"/>
    <w:rsid w:val="00E15585"/>
    <w:rsid w:val="00E15B25"/>
    <w:rsid w:val="00E15EB0"/>
    <w:rsid w:val="00E160D6"/>
    <w:rsid w:val="00E171BC"/>
    <w:rsid w:val="00E17F11"/>
    <w:rsid w:val="00E17F51"/>
    <w:rsid w:val="00E20A52"/>
    <w:rsid w:val="00E20CF9"/>
    <w:rsid w:val="00E21C26"/>
    <w:rsid w:val="00E2241D"/>
    <w:rsid w:val="00E22939"/>
    <w:rsid w:val="00E22FB0"/>
    <w:rsid w:val="00E230B1"/>
    <w:rsid w:val="00E23388"/>
    <w:rsid w:val="00E23F3F"/>
    <w:rsid w:val="00E240E5"/>
    <w:rsid w:val="00E24210"/>
    <w:rsid w:val="00E25A41"/>
    <w:rsid w:val="00E26043"/>
    <w:rsid w:val="00E2626D"/>
    <w:rsid w:val="00E26D21"/>
    <w:rsid w:val="00E27CE0"/>
    <w:rsid w:val="00E30407"/>
    <w:rsid w:val="00E30C70"/>
    <w:rsid w:val="00E30FBB"/>
    <w:rsid w:val="00E31A09"/>
    <w:rsid w:val="00E31F3A"/>
    <w:rsid w:val="00E322E4"/>
    <w:rsid w:val="00E32E2E"/>
    <w:rsid w:val="00E33A4A"/>
    <w:rsid w:val="00E345A3"/>
    <w:rsid w:val="00E356A6"/>
    <w:rsid w:val="00E3683F"/>
    <w:rsid w:val="00E3685D"/>
    <w:rsid w:val="00E369BD"/>
    <w:rsid w:val="00E37C2D"/>
    <w:rsid w:val="00E40599"/>
    <w:rsid w:val="00E40AB1"/>
    <w:rsid w:val="00E410F3"/>
    <w:rsid w:val="00E41A8E"/>
    <w:rsid w:val="00E41D54"/>
    <w:rsid w:val="00E41D7D"/>
    <w:rsid w:val="00E42134"/>
    <w:rsid w:val="00E4244F"/>
    <w:rsid w:val="00E4256E"/>
    <w:rsid w:val="00E425F3"/>
    <w:rsid w:val="00E426D2"/>
    <w:rsid w:val="00E42A37"/>
    <w:rsid w:val="00E42A3C"/>
    <w:rsid w:val="00E42B2D"/>
    <w:rsid w:val="00E43040"/>
    <w:rsid w:val="00E4307B"/>
    <w:rsid w:val="00E439A0"/>
    <w:rsid w:val="00E43C1E"/>
    <w:rsid w:val="00E44158"/>
    <w:rsid w:val="00E447B2"/>
    <w:rsid w:val="00E44F09"/>
    <w:rsid w:val="00E44FFC"/>
    <w:rsid w:val="00E45211"/>
    <w:rsid w:val="00E45EF9"/>
    <w:rsid w:val="00E46B48"/>
    <w:rsid w:val="00E476D9"/>
    <w:rsid w:val="00E476DE"/>
    <w:rsid w:val="00E479C4"/>
    <w:rsid w:val="00E5004D"/>
    <w:rsid w:val="00E51669"/>
    <w:rsid w:val="00E51727"/>
    <w:rsid w:val="00E52B62"/>
    <w:rsid w:val="00E52BEE"/>
    <w:rsid w:val="00E5429B"/>
    <w:rsid w:val="00E5527D"/>
    <w:rsid w:val="00E552E9"/>
    <w:rsid w:val="00E55EDD"/>
    <w:rsid w:val="00E56478"/>
    <w:rsid w:val="00E57DDC"/>
    <w:rsid w:val="00E57FA4"/>
    <w:rsid w:val="00E60DC6"/>
    <w:rsid w:val="00E61814"/>
    <w:rsid w:val="00E622C8"/>
    <w:rsid w:val="00E622F4"/>
    <w:rsid w:val="00E62B8B"/>
    <w:rsid w:val="00E62E7E"/>
    <w:rsid w:val="00E62FDA"/>
    <w:rsid w:val="00E642EA"/>
    <w:rsid w:val="00E64567"/>
    <w:rsid w:val="00E64612"/>
    <w:rsid w:val="00E64C51"/>
    <w:rsid w:val="00E64D80"/>
    <w:rsid w:val="00E65059"/>
    <w:rsid w:val="00E65BAC"/>
    <w:rsid w:val="00E66177"/>
    <w:rsid w:val="00E66612"/>
    <w:rsid w:val="00E66799"/>
    <w:rsid w:val="00E66BDF"/>
    <w:rsid w:val="00E67054"/>
    <w:rsid w:val="00E71583"/>
    <w:rsid w:val="00E71598"/>
    <w:rsid w:val="00E7181D"/>
    <w:rsid w:val="00E71B55"/>
    <w:rsid w:val="00E7205E"/>
    <w:rsid w:val="00E720E1"/>
    <w:rsid w:val="00E72C85"/>
    <w:rsid w:val="00E72EB8"/>
    <w:rsid w:val="00E73892"/>
    <w:rsid w:val="00E744DA"/>
    <w:rsid w:val="00E74995"/>
    <w:rsid w:val="00E74C10"/>
    <w:rsid w:val="00E74D31"/>
    <w:rsid w:val="00E74E5C"/>
    <w:rsid w:val="00E75B21"/>
    <w:rsid w:val="00E75BEE"/>
    <w:rsid w:val="00E75E30"/>
    <w:rsid w:val="00E761A7"/>
    <w:rsid w:val="00E76B0D"/>
    <w:rsid w:val="00E76B2A"/>
    <w:rsid w:val="00E770FD"/>
    <w:rsid w:val="00E774CF"/>
    <w:rsid w:val="00E7779B"/>
    <w:rsid w:val="00E80263"/>
    <w:rsid w:val="00E80271"/>
    <w:rsid w:val="00E80736"/>
    <w:rsid w:val="00E80B42"/>
    <w:rsid w:val="00E8116A"/>
    <w:rsid w:val="00E813A2"/>
    <w:rsid w:val="00E81FB0"/>
    <w:rsid w:val="00E82566"/>
    <w:rsid w:val="00E82BD7"/>
    <w:rsid w:val="00E8308D"/>
    <w:rsid w:val="00E846B4"/>
    <w:rsid w:val="00E84B8C"/>
    <w:rsid w:val="00E85304"/>
    <w:rsid w:val="00E85474"/>
    <w:rsid w:val="00E86C91"/>
    <w:rsid w:val="00E86F67"/>
    <w:rsid w:val="00E877FA"/>
    <w:rsid w:val="00E901C8"/>
    <w:rsid w:val="00E90361"/>
    <w:rsid w:val="00E90552"/>
    <w:rsid w:val="00E907C0"/>
    <w:rsid w:val="00E91010"/>
    <w:rsid w:val="00E91566"/>
    <w:rsid w:val="00E91852"/>
    <w:rsid w:val="00E91D9C"/>
    <w:rsid w:val="00E92392"/>
    <w:rsid w:val="00E928DF"/>
    <w:rsid w:val="00E9325F"/>
    <w:rsid w:val="00E93A4A"/>
    <w:rsid w:val="00E93B6E"/>
    <w:rsid w:val="00E93BB3"/>
    <w:rsid w:val="00E94195"/>
    <w:rsid w:val="00E94680"/>
    <w:rsid w:val="00E94E67"/>
    <w:rsid w:val="00E961B5"/>
    <w:rsid w:val="00E962E4"/>
    <w:rsid w:val="00E96FD1"/>
    <w:rsid w:val="00E97BDE"/>
    <w:rsid w:val="00E97E74"/>
    <w:rsid w:val="00EA1005"/>
    <w:rsid w:val="00EA19BA"/>
    <w:rsid w:val="00EA1ADD"/>
    <w:rsid w:val="00EA1FBC"/>
    <w:rsid w:val="00EA2EAB"/>
    <w:rsid w:val="00EA35C2"/>
    <w:rsid w:val="00EA388C"/>
    <w:rsid w:val="00EA3AC7"/>
    <w:rsid w:val="00EA3C8D"/>
    <w:rsid w:val="00EA3EAC"/>
    <w:rsid w:val="00EA41DE"/>
    <w:rsid w:val="00EA4239"/>
    <w:rsid w:val="00EA4588"/>
    <w:rsid w:val="00EA4EC8"/>
    <w:rsid w:val="00EA561D"/>
    <w:rsid w:val="00EA5CA5"/>
    <w:rsid w:val="00EA673B"/>
    <w:rsid w:val="00EA68D6"/>
    <w:rsid w:val="00EA69A8"/>
    <w:rsid w:val="00EA6DBF"/>
    <w:rsid w:val="00EA6EC0"/>
    <w:rsid w:val="00EA6F0A"/>
    <w:rsid w:val="00EA7458"/>
    <w:rsid w:val="00EA788B"/>
    <w:rsid w:val="00EB02F9"/>
    <w:rsid w:val="00EB053E"/>
    <w:rsid w:val="00EB0850"/>
    <w:rsid w:val="00EB187E"/>
    <w:rsid w:val="00EB1ED1"/>
    <w:rsid w:val="00EB2D39"/>
    <w:rsid w:val="00EB3166"/>
    <w:rsid w:val="00EB36D0"/>
    <w:rsid w:val="00EB39D3"/>
    <w:rsid w:val="00EB3C29"/>
    <w:rsid w:val="00EB3F94"/>
    <w:rsid w:val="00EB407A"/>
    <w:rsid w:val="00EB454B"/>
    <w:rsid w:val="00EB4B74"/>
    <w:rsid w:val="00EB4EE9"/>
    <w:rsid w:val="00EB5404"/>
    <w:rsid w:val="00EB5944"/>
    <w:rsid w:val="00EB5B69"/>
    <w:rsid w:val="00EB619C"/>
    <w:rsid w:val="00EB6A00"/>
    <w:rsid w:val="00EB716D"/>
    <w:rsid w:val="00EB78B1"/>
    <w:rsid w:val="00EB7929"/>
    <w:rsid w:val="00EB7C84"/>
    <w:rsid w:val="00EC0571"/>
    <w:rsid w:val="00EC0C70"/>
    <w:rsid w:val="00EC0D61"/>
    <w:rsid w:val="00EC0D73"/>
    <w:rsid w:val="00EC1813"/>
    <w:rsid w:val="00EC1D93"/>
    <w:rsid w:val="00EC1ECC"/>
    <w:rsid w:val="00EC2766"/>
    <w:rsid w:val="00EC2A67"/>
    <w:rsid w:val="00EC2D8B"/>
    <w:rsid w:val="00EC307C"/>
    <w:rsid w:val="00EC334E"/>
    <w:rsid w:val="00EC3CA0"/>
    <w:rsid w:val="00EC4BC4"/>
    <w:rsid w:val="00EC5341"/>
    <w:rsid w:val="00EC566F"/>
    <w:rsid w:val="00EC5FF4"/>
    <w:rsid w:val="00EC6211"/>
    <w:rsid w:val="00EC6CDD"/>
    <w:rsid w:val="00EC7036"/>
    <w:rsid w:val="00EC71A9"/>
    <w:rsid w:val="00EC739F"/>
    <w:rsid w:val="00EC79BE"/>
    <w:rsid w:val="00ED0344"/>
    <w:rsid w:val="00ED0771"/>
    <w:rsid w:val="00ED13ED"/>
    <w:rsid w:val="00ED1815"/>
    <w:rsid w:val="00ED1D6A"/>
    <w:rsid w:val="00ED23E1"/>
    <w:rsid w:val="00ED2AA3"/>
    <w:rsid w:val="00ED2EAE"/>
    <w:rsid w:val="00ED4711"/>
    <w:rsid w:val="00ED4C2B"/>
    <w:rsid w:val="00ED4DE8"/>
    <w:rsid w:val="00ED4EB9"/>
    <w:rsid w:val="00ED507F"/>
    <w:rsid w:val="00ED5F30"/>
    <w:rsid w:val="00ED5FE0"/>
    <w:rsid w:val="00ED6523"/>
    <w:rsid w:val="00ED661C"/>
    <w:rsid w:val="00ED72AA"/>
    <w:rsid w:val="00ED7737"/>
    <w:rsid w:val="00EE0298"/>
    <w:rsid w:val="00EE041D"/>
    <w:rsid w:val="00EE0648"/>
    <w:rsid w:val="00EE16F3"/>
    <w:rsid w:val="00EE2775"/>
    <w:rsid w:val="00EE282E"/>
    <w:rsid w:val="00EE2A16"/>
    <w:rsid w:val="00EE2BD0"/>
    <w:rsid w:val="00EE3327"/>
    <w:rsid w:val="00EE35CF"/>
    <w:rsid w:val="00EE4657"/>
    <w:rsid w:val="00EE4717"/>
    <w:rsid w:val="00EE47E1"/>
    <w:rsid w:val="00EE4A05"/>
    <w:rsid w:val="00EE5438"/>
    <w:rsid w:val="00EE5574"/>
    <w:rsid w:val="00EE67C7"/>
    <w:rsid w:val="00EE6A5F"/>
    <w:rsid w:val="00EE6B8C"/>
    <w:rsid w:val="00EE6DC8"/>
    <w:rsid w:val="00EE777A"/>
    <w:rsid w:val="00EF06BD"/>
    <w:rsid w:val="00EF0969"/>
    <w:rsid w:val="00EF0EAF"/>
    <w:rsid w:val="00EF1236"/>
    <w:rsid w:val="00EF13B6"/>
    <w:rsid w:val="00EF1495"/>
    <w:rsid w:val="00EF20DF"/>
    <w:rsid w:val="00EF2642"/>
    <w:rsid w:val="00EF36D7"/>
    <w:rsid w:val="00EF3AC2"/>
    <w:rsid w:val="00EF3CE7"/>
    <w:rsid w:val="00EF4B2C"/>
    <w:rsid w:val="00EF538C"/>
    <w:rsid w:val="00EF5694"/>
    <w:rsid w:val="00EF5865"/>
    <w:rsid w:val="00EF5DED"/>
    <w:rsid w:val="00EF5FDB"/>
    <w:rsid w:val="00EF7281"/>
    <w:rsid w:val="00EF7538"/>
    <w:rsid w:val="00F00792"/>
    <w:rsid w:val="00F00A19"/>
    <w:rsid w:val="00F01AE8"/>
    <w:rsid w:val="00F02175"/>
    <w:rsid w:val="00F021C2"/>
    <w:rsid w:val="00F02B86"/>
    <w:rsid w:val="00F02E2B"/>
    <w:rsid w:val="00F02F91"/>
    <w:rsid w:val="00F03000"/>
    <w:rsid w:val="00F0378F"/>
    <w:rsid w:val="00F03A64"/>
    <w:rsid w:val="00F04610"/>
    <w:rsid w:val="00F04670"/>
    <w:rsid w:val="00F04A35"/>
    <w:rsid w:val="00F052B8"/>
    <w:rsid w:val="00F05C54"/>
    <w:rsid w:val="00F06994"/>
    <w:rsid w:val="00F06D9D"/>
    <w:rsid w:val="00F07317"/>
    <w:rsid w:val="00F07454"/>
    <w:rsid w:val="00F0749C"/>
    <w:rsid w:val="00F10555"/>
    <w:rsid w:val="00F118CB"/>
    <w:rsid w:val="00F11DBC"/>
    <w:rsid w:val="00F11E6D"/>
    <w:rsid w:val="00F12521"/>
    <w:rsid w:val="00F1260D"/>
    <w:rsid w:val="00F12639"/>
    <w:rsid w:val="00F12DB3"/>
    <w:rsid w:val="00F13948"/>
    <w:rsid w:val="00F1410E"/>
    <w:rsid w:val="00F14145"/>
    <w:rsid w:val="00F1495D"/>
    <w:rsid w:val="00F14A8C"/>
    <w:rsid w:val="00F14B04"/>
    <w:rsid w:val="00F14E1B"/>
    <w:rsid w:val="00F152B3"/>
    <w:rsid w:val="00F163EC"/>
    <w:rsid w:val="00F1683C"/>
    <w:rsid w:val="00F16999"/>
    <w:rsid w:val="00F16EB0"/>
    <w:rsid w:val="00F179A5"/>
    <w:rsid w:val="00F203E4"/>
    <w:rsid w:val="00F20615"/>
    <w:rsid w:val="00F21086"/>
    <w:rsid w:val="00F22187"/>
    <w:rsid w:val="00F222EE"/>
    <w:rsid w:val="00F2329B"/>
    <w:rsid w:val="00F24CF4"/>
    <w:rsid w:val="00F25168"/>
    <w:rsid w:val="00F25856"/>
    <w:rsid w:val="00F25BC2"/>
    <w:rsid w:val="00F262AB"/>
    <w:rsid w:val="00F26C71"/>
    <w:rsid w:val="00F3043F"/>
    <w:rsid w:val="00F30B36"/>
    <w:rsid w:val="00F30CC3"/>
    <w:rsid w:val="00F30F29"/>
    <w:rsid w:val="00F31413"/>
    <w:rsid w:val="00F31992"/>
    <w:rsid w:val="00F323FD"/>
    <w:rsid w:val="00F328BA"/>
    <w:rsid w:val="00F3447A"/>
    <w:rsid w:val="00F34AD2"/>
    <w:rsid w:val="00F35097"/>
    <w:rsid w:val="00F353C7"/>
    <w:rsid w:val="00F35FBA"/>
    <w:rsid w:val="00F36443"/>
    <w:rsid w:val="00F36591"/>
    <w:rsid w:val="00F368FE"/>
    <w:rsid w:val="00F36E3A"/>
    <w:rsid w:val="00F3795D"/>
    <w:rsid w:val="00F40F06"/>
    <w:rsid w:val="00F415E9"/>
    <w:rsid w:val="00F4169D"/>
    <w:rsid w:val="00F4229A"/>
    <w:rsid w:val="00F43FFC"/>
    <w:rsid w:val="00F4444E"/>
    <w:rsid w:val="00F444A5"/>
    <w:rsid w:val="00F455BC"/>
    <w:rsid w:val="00F45DE5"/>
    <w:rsid w:val="00F4603D"/>
    <w:rsid w:val="00F46304"/>
    <w:rsid w:val="00F46908"/>
    <w:rsid w:val="00F469B8"/>
    <w:rsid w:val="00F477E6"/>
    <w:rsid w:val="00F47EC4"/>
    <w:rsid w:val="00F5002F"/>
    <w:rsid w:val="00F502A7"/>
    <w:rsid w:val="00F502C0"/>
    <w:rsid w:val="00F50688"/>
    <w:rsid w:val="00F5171B"/>
    <w:rsid w:val="00F51740"/>
    <w:rsid w:val="00F529D8"/>
    <w:rsid w:val="00F52C30"/>
    <w:rsid w:val="00F52DD2"/>
    <w:rsid w:val="00F53196"/>
    <w:rsid w:val="00F53483"/>
    <w:rsid w:val="00F54392"/>
    <w:rsid w:val="00F54C4C"/>
    <w:rsid w:val="00F54EBF"/>
    <w:rsid w:val="00F55C59"/>
    <w:rsid w:val="00F55F8E"/>
    <w:rsid w:val="00F56A67"/>
    <w:rsid w:val="00F57174"/>
    <w:rsid w:val="00F575BD"/>
    <w:rsid w:val="00F57CDA"/>
    <w:rsid w:val="00F6033C"/>
    <w:rsid w:val="00F60447"/>
    <w:rsid w:val="00F60A71"/>
    <w:rsid w:val="00F61CE8"/>
    <w:rsid w:val="00F61E1A"/>
    <w:rsid w:val="00F62227"/>
    <w:rsid w:val="00F62713"/>
    <w:rsid w:val="00F62C36"/>
    <w:rsid w:val="00F63284"/>
    <w:rsid w:val="00F63890"/>
    <w:rsid w:val="00F63984"/>
    <w:rsid w:val="00F63A9A"/>
    <w:rsid w:val="00F6408E"/>
    <w:rsid w:val="00F64518"/>
    <w:rsid w:val="00F652C1"/>
    <w:rsid w:val="00F66138"/>
    <w:rsid w:val="00F664CF"/>
    <w:rsid w:val="00F6690E"/>
    <w:rsid w:val="00F66A6D"/>
    <w:rsid w:val="00F66F6E"/>
    <w:rsid w:val="00F674DC"/>
    <w:rsid w:val="00F675AF"/>
    <w:rsid w:val="00F67602"/>
    <w:rsid w:val="00F67737"/>
    <w:rsid w:val="00F705AE"/>
    <w:rsid w:val="00F705D1"/>
    <w:rsid w:val="00F70C77"/>
    <w:rsid w:val="00F70D3D"/>
    <w:rsid w:val="00F70E8B"/>
    <w:rsid w:val="00F71341"/>
    <w:rsid w:val="00F7135C"/>
    <w:rsid w:val="00F716DA"/>
    <w:rsid w:val="00F717F7"/>
    <w:rsid w:val="00F71956"/>
    <w:rsid w:val="00F723BD"/>
    <w:rsid w:val="00F726E3"/>
    <w:rsid w:val="00F72BF2"/>
    <w:rsid w:val="00F72F75"/>
    <w:rsid w:val="00F72FDA"/>
    <w:rsid w:val="00F734EA"/>
    <w:rsid w:val="00F73D06"/>
    <w:rsid w:val="00F73E96"/>
    <w:rsid w:val="00F73F54"/>
    <w:rsid w:val="00F74E4E"/>
    <w:rsid w:val="00F75389"/>
    <w:rsid w:val="00F7553E"/>
    <w:rsid w:val="00F75C99"/>
    <w:rsid w:val="00F760CF"/>
    <w:rsid w:val="00F7634B"/>
    <w:rsid w:val="00F76372"/>
    <w:rsid w:val="00F76700"/>
    <w:rsid w:val="00F76B8B"/>
    <w:rsid w:val="00F77004"/>
    <w:rsid w:val="00F7712D"/>
    <w:rsid w:val="00F77AFC"/>
    <w:rsid w:val="00F800A6"/>
    <w:rsid w:val="00F803A7"/>
    <w:rsid w:val="00F80F42"/>
    <w:rsid w:val="00F819CD"/>
    <w:rsid w:val="00F823BB"/>
    <w:rsid w:val="00F83490"/>
    <w:rsid w:val="00F834FA"/>
    <w:rsid w:val="00F83835"/>
    <w:rsid w:val="00F83A85"/>
    <w:rsid w:val="00F83E55"/>
    <w:rsid w:val="00F84830"/>
    <w:rsid w:val="00F84ACB"/>
    <w:rsid w:val="00F84B16"/>
    <w:rsid w:val="00F85901"/>
    <w:rsid w:val="00F85B32"/>
    <w:rsid w:val="00F85C5E"/>
    <w:rsid w:val="00F866C5"/>
    <w:rsid w:val="00F86A72"/>
    <w:rsid w:val="00F86C52"/>
    <w:rsid w:val="00F86F1E"/>
    <w:rsid w:val="00F870C4"/>
    <w:rsid w:val="00F872D2"/>
    <w:rsid w:val="00F87567"/>
    <w:rsid w:val="00F876B9"/>
    <w:rsid w:val="00F87ADC"/>
    <w:rsid w:val="00F9088C"/>
    <w:rsid w:val="00F90ED7"/>
    <w:rsid w:val="00F9101D"/>
    <w:rsid w:val="00F9232B"/>
    <w:rsid w:val="00F92E59"/>
    <w:rsid w:val="00F92E7B"/>
    <w:rsid w:val="00F93046"/>
    <w:rsid w:val="00F955E7"/>
    <w:rsid w:val="00F95847"/>
    <w:rsid w:val="00F95906"/>
    <w:rsid w:val="00F95A0B"/>
    <w:rsid w:val="00F95B13"/>
    <w:rsid w:val="00F95B47"/>
    <w:rsid w:val="00F95D01"/>
    <w:rsid w:val="00F95D92"/>
    <w:rsid w:val="00F95FD2"/>
    <w:rsid w:val="00F96038"/>
    <w:rsid w:val="00F96C4A"/>
    <w:rsid w:val="00F96CD0"/>
    <w:rsid w:val="00F972E3"/>
    <w:rsid w:val="00FA027B"/>
    <w:rsid w:val="00FA04A5"/>
    <w:rsid w:val="00FA13E1"/>
    <w:rsid w:val="00FA15DC"/>
    <w:rsid w:val="00FA1B4C"/>
    <w:rsid w:val="00FA1DE4"/>
    <w:rsid w:val="00FA2251"/>
    <w:rsid w:val="00FA2497"/>
    <w:rsid w:val="00FA2BD4"/>
    <w:rsid w:val="00FA2C37"/>
    <w:rsid w:val="00FA2D3A"/>
    <w:rsid w:val="00FA2E7E"/>
    <w:rsid w:val="00FA2F7A"/>
    <w:rsid w:val="00FA33BB"/>
    <w:rsid w:val="00FA3464"/>
    <w:rsid w:val="00FA3686"/>
    <w:rsid w:val="00FA3817"/>
    <w:rsid w:val="00FA4804"/>
    <w:rsid w:val="00FA48BB"/>
    <w:rsid w:val="00FA4DD9"/>
    <w:rsid w:val="00FA550C"/>
    <w:rsid w:val="00FA5988"/>
    <w:rsid w:val="00FA5BEA"/>
    <w:rsid w:val="00FA5C26"/>
    <w:rsid w:val="00FA603E"/>
    <w:rsid w:val="00FA696D"/>
    <w:rsid w:val="00FA6BEC"/>
    <w:rsid w:val="00FA7673"/>
    <w:rsid w:val="00FA795F"/>
    <w:rsid w:val="00FA7DE6"/>
    <w:rsid w:val="00FB0199"/>
    <w:rsid w:val="00FB0EE0"/>
    <w:rsid w:val="00FB0F69"/>
    <w:rsid w:val="00FB22CD"/>
    <w:rsid w:val="00FB2626"/>
    <w:rsid w:val="00FB293D"/>
    <w:rsid w:val="00FB32AF"/>
    <w:rsid w:val="00FB33CC"/>
    <w:rsid w:val="00FB4329"/>
    <w:rsid w:val="00FB43AE"/>
    <w:rsid w:val="00FB4DAC"/>
    <w:rsid w:val="00FB4E44"/>
    <w:rsid w:val="00FB4E8B"/>
    <w:rsid w:val="00FB4EE5"/>
    <w:rsid w:val="00FB53E3"/>
    <w:rsid w:val="00FB5B39"/>
    <w:rsid w:val="00FB5F44"/>
    <w:rsid w:val="00FB6884"/>
    <w:rsid w:val="00FB6C41"/>
    <w:rsid w:val="00FB6D2F"/>
    <w:rsid w:val="00FB7C2A"/>
    <w:rsid w:val="00FC036B"/>
    <w:rsid w:val="00FC0BAE"/>
    <w:rsid w:val="00FC1030"/>
    <w:rsid w:val="00FC1206"/>
    <w:rsid w:val="00FC1563"/>
    <w:rsid w:val="00FC1583"/>
    <w:rsid w:val="00FC185C"/>
    <w:rsid w:val="00FC1B48"/>
    <w:rsid w:val="00FC30C7"/>
    <w:rsid w:val="00FC373A"/>
    <w:rsid w:val="00FC3F91"/>
    <w:rsid w:val="00FC49DB"/>
    <w:rsid w:val="00FC4F42"/>
    <w:rsid w:val="00FC5322"/>
    <w:rsid w:val="00FC556B"/>
    <w:rsid w:val="00FC6650"/>
    <w:rsid w:val="00FC6A3A"/>
    <w:rsid w:val="00FC6BEA"/>
    <w:rsid w:val="00FC6C29"/>
    <w:rsid w:val="00FC7599"/>
    <w:rsid w:val="00FC7662"/>
    <w:rsid w:val="00FC7920"/>
    <w:rsid w:val="00FD0889"/>
    <w:rsid w:val="00FD0A61"/>
    <w:rsid w:val="00FD1FC9"/>
    <w:rsid w:val="00FD2585"/>
    <w:rsid w:val="00FD4CEA"/>
    <w:rsid w:val="00FD4F7C"/>
    <w:rsid w:val="00FD4FFB"/>
    <w:rsid w:val="00FD504F"/>
    <w:rsid w:val="00FD558F"/>
    <w:rsid w:val="00FD5B65"/>
    <w:rsid w:val="00FD65AB"/>
    <w:rsid w:val="00FD6FCA"/>
    <w:rsid w:val="00FD7031"/>
    <w:rsid w:val="00FD7048"/>
    <w:rsid w:val="00FD773C"/>
    <w:rsid w:val="00FD7940"/>
    <w:rsid w:val="00FE038B"/>
    <w:rsid w:val="00FE03B6"/>
    <w:rsid w:val="00FE05D8"/>
    <w:rsid w:val="00FE0716"/>
    <w:rsid w:val="00FE0968"/>
    <w:rsid w:val="00FE1D3D"/>
    <w:rsid w:val="00FE1D85"/>
    <w:rsid w:val="00FE2E53"/>
    <w:rsid w:val="00FE4282"/>
    <w:rsid w:val="00FE4368"/>
    <w:rsid w:val="00FE53E8"/>
    <w:rsid w:val="00FE637B"/>
    <w:rsid w:val="00FE65C1"/>
    <w:rsid w:val="00FE6EB3"/>
    <w:rsid w:val="00FE73A2"/>
    <w:rsid w:val="00FE7E04"/>
    <w:rsid w:val="00FF0178"/>
    <w:rsid w:val="00FF08B4"/>
    <w:rsid w:val="00FF0E7E"/>
    <w:rsid w:val="00FF1C01"/>
    <w:rsid w:val="00FF1E96"/>
    <w:rsid w:val="00FF28CB"/>
    <w:rsid w:val="00FF296F"/>
    <w:rsid w:val="00FF2D61"/>
    <w:rsid w:val="00FF335B"/>
    <w:rsid w:val="00FF36C9"/>
    <w:rsid w:val="00FF382B"/>
    <w:rsid w:val="00FF3B03"/>
    <w:rsid w:val="00FF4391"/>
    <w:rsid w:val="00FF4A71"/>
    <w:rsid w:val="00FF58B0"/>
    <w:rsid w:val="00FF651E"/>
    <w:rsid w:val="00FF7368"/>
    <w:rsid w:val="00FF7788"/>
    <w:rsid w:val="00FF7CBB"/>
    <w:rsid w:val="00FF7F8A"/>
    <w:rsid w:val="05C658E2"/>
    <w:rsid w:val="064FCE06"/>
    <w:rsid w:val="07C4BBA7"/>
    <w:rsid w:val="092AEEA6"/>
    <w:rsid w:val="0B8C9255"/>
    <w:rsid w:val="1058A36E"/>
    <w:rsid w:val="130A2810"/>
    <w:rsid w:val="1614EA0E"/>
    <w:rsid w:val="1BB8D395"/>
    <w:rsid w:val="2327C0A6"/>
    <w:rsid w:val="26F9099E"/>
    <w:rsid w:val="29D59492"/>
    <w:rsid w:val="3120AD34"/>
    <w:rsid w:val="325E5E49"/>
    <w:rsid w:val="36364FBF"/>
    <w:rsid w:val="45821094"/>
    <w:rsid w:val="45D3349D"/>
    <w:rsid w:val="49E0AA98"/>
    <w:rsid w:val="541445C3"/>
    <w:rsid w:val="5616913A"/>
    <w:rsid w:val="6579E471"/>
    <w:rsid w:val="71214CC1"/>
    <w:rsid w:val="7883E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D5AFB7"/>
  <w15:chartTrackingRefBased/>
  <w15:docId w15:val="{B88A4C20-E4EF-443E-9A76-3782149F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516D"/>
    <w:pPr>
      <w:spacing w:after="120" w:line="276" w:lineRule="auto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CD6A04"/>
    <w:pPr>
      <w:keepNext/>
      <w:numPr>
        <w:numId w:val="2"/>
      </w:numPr>
      <w:spacing w:before="360" w:after="240" w:line="271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26401"/>
    <w:pPr>
      <w:keepNext/>
      <w:numPr>
        <w:ilvl w:val="1"/>
        <w:numId w:val="2"/>
      </w:numPr>
      <w:spacing w:before="360"/>
      <w:ind w:left="709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17D7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B17D7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B17D7"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B17D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5B17D7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5B17D7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5B17D7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D6A04"/>
    <w:rPr>
      <w:rFonts w:ascii="Arial" w:eastAsia="Times New Roman" w:hAnsi="Arial" w:cs="Arial"/>
      <w:b/>
      <w:bCs/>
      <w:kern w:val="32"/>
      <w:sz w:val="32"/>
      <w:szCs w:val="3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rsid w:val="00826401"/>
    <w:rPr>
      <w:rFonts w:ascii="Arial" w:eastAsia="Times New Roman" w:hAnsi="Arial" w:cs="Arial"/>
      <w:b/>
      <w:bCs/>
      <w:iCs/>
      <w:szCs w:val="28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5B17D7"/>
    <w:rPr>
      <w:rFonts w:ascii="Arial" w:eastAsia="Times New Roman" w:hAnsi="Arial" w:cs="Arial"/>
      <w:b/>
      <w:bCs/>
      <w:sz w:val="20"/>
      <w:szCs w:val="26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rsid w:val="005B17D7"/>
    <w:rPr>
      <w:rFonts w:ascii="Arial" w:eastAsia="Times New Roman" w:hAnsi="Arial" w:cs="Times New Roman"/>
      <w:b/>
      <w:bCs/>
      <w:sz w:val="20"/>
      <w:szCs w:val="28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rsid w:val="005B17D7"/>
    <w:rPr>
      <w:rFonts w:ascii="Arial" w:eastAsia="Times New Roman" w:hAnsi="Arial" w:cs="Times New Roman"/>
      <w:b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rsid w:val="005B17D7"/>
    <w:rPr>
      <w:rFonts w:ascii="Arial" w:eastAsia="Times New Roman" w:hAnsi="Arial" w:cs="Times New Roman"/>
      <w:b/>
      <w:bCs/>
      <w:sz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rsid w:val="005B17D7"/>
    <w:rPr>
      <w:rFonts w:ascii="Arial" w:eastAsia="Times New Roman" w:hAnsi="Arial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rsid w:val="005B17D7"/>
    <w:rPr>
      <w:rFonts w:ascii="Arial" w:eastAsia="Times New Roman" w:hAnsi="Arial" w:cs="Times New Roman"/>
      <w:i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rsid w:val="005B17D7"/>
    <w:rPr>
      <w:rFonts w:ascii="Arial" w:eastAsia="Times New Roman" w:hAnsi="Arial" w:cs="Arial"/>
      <w:sz w:val="20"/>
      <w:lang w:val="de-CH" w:eastAsia="de-CH"/>
    </w:rPr>
  </w:style>
  <w:style w:type="paragraph" w:styleId="Kopfzeile">
    <w:name w:val="header"/>
    <w:basedOn w:val="Standard"/>
    <w:link w:val="KopfzeileZchn"/>
    <w:uiPriority w:val="99"/>
    <w:rsid w:val="005B17D7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5B17D7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styleId="Fuzeile">
    <w:name w:val="footer"/>
    <w:basedOn w:val="Standard"/>
    <w:link w:val="FuzeileZchn"/>
    <w:uiPriority w:val="99"/>
    <w:rsid w:val="005B17D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B17D7"/>
    <w:rPr>
      <w:rFonts w:ascii="Arial" w:eastAsia="Times New Roman" w:hAnsi="Arial" w:cs="Times New Roman"/>
      <w:noProof/>
      <w:sz w:val="15"/>
      <w:szCs w:val="15"/>
      <w:lang w:val="de-CH" w:eastAsia="de-CH"/>
    </w:rPr>
  </w:style>
  <w:style w:type="paragraph" w:customStyle="1" w:styleId="KopfFett">
    <w:name w:val="KopfFett"/>
    <w:basedOn w:val="Kopfzeile"/>
    <w:next w:val="Kopfzeile"/>
    <w:rsid w:val="005B17D7"/>
    <w:rPr>
      <w:b/>
    </w:rPr>
  </w:style>
  <w:style w:type="paragraph" w:customStyle="1" w:styleId="KopfDept">
    <w:name w:val="KopfDept"/>
    <w:basedOn w:val="Kopfzeile"/>
    <w:next w:val="KopfFett"/>
    <w:rsid w:val="005B17D7"/>
    <w:pPr>
      <w:spacing w:after="100"/>
      <w:contextualSpacing/>
    </w:pPr>
  </w:style>
  <w:style w:type="paragraph" w:customStyle="1" w:styleId="Logo">
    <w:name w:val="Logo"/>
    <w:rsid w:val="005B17D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Pfad">
    <w:name w:val="Pfad"/>
    <w:next w:val="Fuzeile"/>
    <w:rsid w:val="005B17D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val="de-CH" w:eastAsia="de-CH"/>
    </w:rPr>
  </w:style>
  <w:style w:type="paragraph" w:styleId="Titel">
    <w:name w:val="Title"/>
    <w:basedOn w:val="Standard"/>
    <w:next w:val="Standard"/>
    <w:link w:val="TitelZchn"/>
    <w:qFormat/>
    <w:rsid w:val="005B17D7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5B17D7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paragraph" w:customStyle="1" w:styleId="Seite">
    <w:name w:val="Seite"/>
    <w:basedOn w:val="Standard"/>
    <w:rsid w:val="005B17D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rsid w:val="005B17D7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link w:val="UntertitelZchn"/>
    <w:qFormat/>
    <w:rsid w:val="005B17D7"/>
    <w:pPr>
      <w:outlineLvl w:val="1"/>
    </w:pPr>
    <w:rPr>
      <w:b w:val="0"/>
      <w:szCs w:val="24"/>
    </w:rPr>
  </w:style>
  <w:style w:type="character" w:customStyle="1" w:styleId="UntertitelZchn">
    <w:name w:val="Untertitel Zchn"/>
    <w:basedOn w:val="Absatz-Standardschriftart"/>
    <w:link w:val="Untertitel"/>
    <w:rsid w:val="005B17D7"/>
    <w:rPr>
      <w:rFonts w:ascii="Arial" w:eastAsia="Times New Roman" w:hAnsi="Arial" w:cs="Arial"/>
      <w:bCs/>
      <w:kern w:val="28"/>
      <w:sz w:val="42"/>
      <w:szCs w:val="24"/>
      <w:lang w:val="de-CH" w:eastAsia="de-CH"/>
    </w:rPr>
  </w:style>
  <w:style w:type="paragraph" w:customStyle="1" w:styleId="Ref">
    <w:name w:val="Ref"/>
    <w:basedOn w:val="Standard"/>
    <w:next w:val="Standard"/>
    <w:rsid w:val="005B17D7"/>
    <w:pPr>
      <w:spacing w:line="200" w:lineRule="exact"/>
    </w:pPr>
    <w:rPr>
      <w:sz w:val="15"/>
    </w:rPr>
  </w:style>
  <w:style w:type="paragraph" w:customStyle="1" w:styleId="Form">
    <w:name w:val="Form"/>
    <w:basedOn w:val="Standard"/>
    <w:rsid w:val="005B17D7"/>
    <w:rPr>
      <w:sz w:val="15"/>
    </w:rPr>
  </w:style>
  <w:style w:type="paragraph" w:customStyle="1" w:styleId="Platzhalter">
    <w:name w:val="Platzhalter"/>
    <w:basedOn w:val="Standard"/>
    <w:next w:val="Standard"/>
    <w:rsid w:val="005B17D7"/>
    <w:pPr>
      <w:spacing w:line="240" w:lineRule="auto"/>
    </w:pPr>
    <w:rPr>
      <w:sz w:val="2"/>
      <w:szCs w:val="2"/>
    </w:rPr>
  </w:style>
  <w:style w:type="paragraph" w:customStyle="1" w:styleId="Antragstext">
    <w:name w:val="Antragstext"/>
    <w:basedOn w:val="Standard"/>
    <w:rsid w:val="005B17D7"/>
    <w:pPr>
      <w:spacing w:before="120"/>
      <w:ind w:left="454" w:hanging="454"/>
    </w:pPr>
  </w:style>
  <w:style w:type="paragraph" w:customStyle="1" w:styleId="Begrndung">
    <w:name w:val="Begründung"/>
    <w:basedOn w:val="Standard"/>
    <w:rsid w:val="005B17D7"/>
    <w:pPr>
      <w:ind w:left="720"/>
    </w:pPr>
    <w:rPr>
      <w:i/>
    </w:rPr>
  </w:style>
  <w:style w:type="paragraph" w:customStyle="1" w:styleId="Standard6v">
    <w:name w:val="Standard 6v"/>
    <w:basedOn w:val="Standard"/>
    <w:rsid w:val="005B17D7"/>
    <w:pPr>
      <w:spacing w:before="120"/>
    </w:pPr>
  </w:style>
  <w:style w:type="paragraph" w:customStyle="1" w:styleId="Strich6v">
    <w:name w:val="Strich 6v"/>
    <w:basedOn w:val="Standard"/>
    <w:rsid w:val="005B17D7"/>
    <w:pPr>
      <w:numPr>
        <w:numId w:val="1"/>
      </w:numPr>
      <w:spacing w:before="120"/>
    </w:pPr>
  </w:style>
  <w:style w:type="paragraph" w:customStyle="1" w:styleId="TitelohneNr">
    <w:name w:val="Titel ohne Nr"/>
    <w:basedOn w:val="Standard"/>
    <w:rsid w:val="005B17D7"/>
    <w:pPr>
      <w:keepNext/>
      <w:spacing w:before="240"/>
    </w:pPr>
    <w:rPr>
      <w:b/>
    </w:rPr>
  </w:style>
  <w:style w:type="table" w:styleId="Tabellenraster">
    <w:name w:val="Table Grid"/>
    <w:basedOn w:val="NormaleTabelle"/>
    <w:uiPriority w:val="39"/>
    <w:rsid w:val="005B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2-Akzent11">
    <w:name w:val="Mittlere Schattierung 2 - Akzent 11"/>
    <w:basedOn w:val="NormaleTabelle"/>
    <w:uiPriority w:val="64"/>
    <w:rsid w:val="005B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5B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arzeichen">
    <w:name w:val="annotation reference"/>
    <w:uiPriority w:val="99"/>
    <w:rsid w:val="005B17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B17D7"/>
    <w:rPr>
      <w:lang w:val="x-none" w:eastAsia="x-non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17D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chn"/>
    <w:rsid w:val="005B17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B17D7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Sprechblasentext">
    <w:name w:val="Balloon Text"/>
    <w:basedOn w:val="Standard"/>
    <w:link w:val="SprechblasentextZchn"/>
    <w:rsid w:val="005B17D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rsid w:val="005B17D7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HelleListe-Akzent11">
    <w:name w:val="Helle Liste - Akzent 11"/>
    <w:basedOn w:val="NormaleTabelle"/>
    <w:uiPriority w:val="61"/>
    <w:rsid w:val="005B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enabsatz">
    <w:name w:val="List Paragraph"/>
    <w:basedOn w:val="Standard"/>
    <w:link w:val="ListenabsatzZchn"/>
    <w:uiPriority w:val="34"/>
    <w:qFormat/>
    <w:rsid w:val="005B17D7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B17D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qFormat/>
    <w:rsid w:val="00026EF6"/>
    <w:pPr>
      <w:tabs>
        <w:tab w:val="left" w:pos="400"/>
        <w:tab w:val="right" w:leader="dot" w:pos="9061"/>
      </w:tabs>
      <w:spacing w:before="240" w:line="240" w:lineRule="auto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qFormat/>
    <w:rsid w:val="00BD32B4"/>
    <w:pPr>
      <w:tabs>
        <w:tab w:val="left" w:pos="851"/>
        <w:tab w:val="right" w:leader="dot" w:pos="9061"/>
      </w:tabs>
      <w:spacing w:before="60" w:line="240" w:lineRule="auto"/>
      <w:ind w:left="850" w:right="453" w:hanging="425"/>
    </w:pPr>
  </w:style>
  <w:style w:type="character" w:styleId="Hyperlink">
    <w:name w:val="Hyperlink"/>
    <w:uiPriority w:val="99"/>
    <w:unhideWhenUsed/>
    <w:rsid w:val="005B17D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rsid w:val="005B17D7"/>
    <w:rPr>
      <w:sz w:val="24"/>
      <w:szCs w:val="24"/>
      <w:lang w:val="x-none" w:eastAsia="x-non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B17D7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Funotenzeichen">
    <w:name w:val="footnote reference"/>
    <w:qFormat/>
    <w:rsid w:val="005B17D7"/>
    <w:rPr>
      <w:vertAlign w:val="superscript"/>
    </w:rPr>
  </w:style>
  <w:style w:type="paragraph" w:customStyle="1" w:styleId="Absatz">
    <w:name w:val="Absatz"/>
    <w:rsid w:val="005B17D7"/>
    <w:pPr>
      <w:spacing w:after="20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ennummer3">
    <w:name w:val="List Number 3"/>
    <w:basedOn w:val="Standard"/>
    <w:rsid w:val="005B17D7"/>
    <w:pPr>
      <w:numPr>
        <w:numId w:val="3"/>
      </w:numPr>
      <w:spacing w:line="260" w:lineRule="exact"/>
    </w:pPr>
  </w:style>
  <w:style w:type="paragraph" w:customStyle="1" w:styleId="FormatvorlageAbsatzNach2ptKastenEinfacheeinfarbigeLinieAut">
    <w:name w:val="Formatvorlage Absatz + Nach:  2 pt Kasten: (Einfache einfarbige Linie Aut..."/>
    <w:basedOn w:val="Absatz"/>
    <w:rsid w:val="005B17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spacing w:after="40"/>
    </w:pPr>
  </w:style>
  <w:style w:type="paragraph" w:customStyle="1" w:styleId="Formatvorlage8ptLinks0cmHngend1cm">
    <w:name w:val="Formatvorlage 8 pt Links:  0 cm Hängend:  1 cm"/>
    <w:basedOn w:val="Standard"/>
    <w:rsid w:val="005B17D7"/>
    <w:pPr>
      <w:spacing w:before="80" w:line="220" w:lineRule="exact"/>
      <w:ind w:left="567" w:hanging="567"/>
    </w:pPr>
    <w:rPr>
      <w:sz w:val="16"/>
    </w:rPr>
  </w:style>
  <w:style w:type="table" w:customStyle="1" w:styleId="MittlereSchattierung2-Akzent12">
    <w:name w:val="Mittlere Schattierung 2 - Akzent 12"/>
    <w:basedOn w:val="NormaleTabelle"/>
    <w:uiPriority w:val="64"/>
    <w:rsid w:val="005B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Buchtitel">
    <w:name w:val="Book Title"/>
    <w:uiPriority w:val="33"/>
    <w:qFormat/>
    <w:rsid w:val="005B17D7"/>
    <w:rPr>
      <w:b/>
      <w:bCs/>
      <w:smallCaps/>
      <w:spacing w:val="5"/>
    </w:rPr>
  </w:style>
  <w:style w:type="paragraph" w:customStyle="1" w:styleId="ListeAlphabet">
    <w:name w:val="Liste Alphabet"/>
    <w:basedOn w:val="berschrift1"/>
    <w:rsid w:val="005B17D7"/>
    <w:pPr>
      <w:widowControl w:val="0"/>
      <w:numPr>
        <w:numId w:val="4"/>
      </w:numPr>
      <w:tabs>
        <w:tab w:val="left" w:pos="737"/>
      </w:tabs>
      <w:spacing w:line="260" w:lineRule="exact"/>
    </w:pPr>
    <w:rPr>
      <w:rFonts w:cs="Times New Roman"/>
      <w:b w:val="0"/>
    </w:rPr>
  </w:style>
  <w:style w:type="paragraph" w:customStyle="1" w:styleId="Punkt">
    <w:name w:val="Punkt"/>
    <w:rsid w:val="005B17D7"/>
    <w:pPr>
      <w:numPr>
        <w:numId w:val="5"/>
      </w:numPr>
      <w:spacing w:after="24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erschrift40">
    <w:name w:val="Überschrift4"/>
    <w:basedOn w:val="Listennummer3"/>
    <w:link w:val="berschrift4Zchn0"/>
    <w:rsid w:val="005B17D7"/>
    <w:pPr>
      <w:numPr>
        <w:numId w:val="0"/>
      </w:numPr>
    </w:pPr>
    <w:rPr>
      <w:b/>
    </w:rPr>
  </w:style>
  <w:style w:type="character" w:customStyle="1" w:styleId="berschrift4Zchn0">
    <w:name w:val="Überschrift4 Zchn"/>
    <w:link w:val="berschrift40"/>
    <w:rsid w:val="005B17D7"/>
    <w:rPr>
      <w:rFonts w:ascii="Arial" w:eastAsia="Times New Roman" w:hAnsi="Arial" w:cs="Times New Roman"/>
      <w:b/>
      <w:sz w:val="20"/>
      <w:szCs w:val="20"/>
      <w:lang w:val="de-CH" w:eastAsia="de-CH"/>
    </w:rPr>
  </w:style>
  <w:style w:type="character" w:customStyle="1" w:styleId="TabTextZchn">
    <w:name w:val="Tab Text Zchn"/>
    <w:link w:val="TabText"/>
    <w:rsid w:val="005B17D7"/>
    <w:rPr>
      <w:rFonts w:ascii="Arial Narrow" w:hAnsi="Arial Narrow" w:cs="Arial"/>
      <w:sz w:val="18"/>
      <w:lang w:val="de-CH"/>
    </w:rPr>
  </w:style>
  <w:style w:type="paragraph" w:customStyle="1" w:styleId="TabText">
    <w:name w:val="Tab Text"/>
    <w:link w:val="TabTextZchn"/>
    <w:rsid w:val="005B17D7"/>
    <w:pPr>
      <w:spacing w:after="0" w:line="220" w:lineRule="exact"/>
    </w:pPr>
    <w:rPr>
      <w:rFonts w:ascii="Arial Narrow" w:hAnsi="Arial Narrow" w:cs="Arial"/>
      <w:sz w:val="18"/>
      <w:lang w:val="de-CH"/>
    </w:rPr>
  </w:style>
  <w:style w:type="paragraph" w:customStyle="1" w:styleId="TabTitel">
    <w:name w:val="Tab Titel"/>
    <w:basedOn w:val="TabText"/>
    <w:link w:val="TabTitelZchn"/>
    <w:rsid w:val="005B17D7"/>
    <w:rPr>
      <w:b/>
      <w:bCs/>
    </w:rPr>
  </w:style>
  <w:style w:type="character" w:customStyle="1" w:styleId="TabTitelZchn">
    <w:name w:val="Tab Titel Zchn"/>
    <w:link w:val="TabTitel"/>
    <w:rsid w:val="005B17D7"/>
    <w:rPr>
      <w:rFonts w:ascii="Arial Narrow" w:hAnsi="Arial Narrow" w:cs="Arial"/>
      <w:b/>
      <w:bCs/>
      <w:sz w:val="18"/>
      <w:lang w:val="de-CH"/>
    </w:rPr>
  </w:style>
  <w:style w:type="paragraph" w:customStyle="1" w:styleId="Tabtextnum">
    <w:name w:val="Tab text num"/>
    <w:basedOn w:val="TabText"/>
    <w:rsid w:val="005B17D7"/>
    <w:pPr>
      <w:tabs>
        <w:tab w:val="left" w:pos="284"/>
      </w:tabs>
      <w:ind w:left="284" w:hanging="284"/>
    </w:pPr>
  </w:style>
  <w:style w:type="paragraph" w:customStyle="1" w:styleId="FormatvorlagePunktKastenEinfacheeinfarbigeLinieAutomatisch05">
    <w:name w:val="Formatvorlage Punkt + Kasten: (Einfache einfarbige Linie Automatisch  0.5..."/>
    <w:basedOn w:val="Punkt"/>
    <w:rsid w:val="005B17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</w:pPr>
  </w:style>
  <w:style w:type="paragraph" w:customStyle="1" w:styleId="FormatvorlagePunktNach2ptKastenEinfacheeinfarbigeLinieAuto">
    <w:name w:val="Formatvorlage Punkt + Nach:  2 pt Kasten: (Einfache einfarbige Linie Auto..."/>
    <w:basedOn w:val="Punkt"/>
    <w:rsid w:val="005B17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spacing w:after="40"/>
    </w:pPr>
  </w:style>
  <w:style w:type="paragraph" w:customStyle="1" w:styleId="FormatvorlageTabTitelVor5ptNach5ptMusterTransparentGra">
    <w:name w:val="Formatvorlage Tab Titel + Vor:  5 pt Nach:  5 pt Muster: Transparent (Gra..."/>
    <w:basedOn w:val="TabTitel"/>
    <w:rsid w:val="005B17D7"/>
    <w:pPr>
      <w:shd w:val="clear" w:color="auto" w:fill="F2F2F2"/>
      <w:spacing w:before="100" w:after="120"/>
    </w:pPr>
    <w:rPr>
      <w:rFonts w:cs="Times New Roman"/>
    </w:rPr>
  </w:style>
  <w:style w:type="paragraph" w:styleId="Verzeichnis3">
    <w:name w:val="toc 3"/>
    <w:basedOn w:val="Standard"/>
    <w:next w:val="Standard"/>
    <w:autoRedefine/>
    <w:uiPriority w:val="39"/>
    <w:qFormat/>
    <w:rsid w:val="00AD2CA5"/>
    <w:pPr>
      <w:tabs>
        <w:tab w:val="left" w:pos="1418"/>
        <w:tab w:val="right" w:leader="dot" w:pos="9061"/>
      </w:tabs>
      <w:ind w:left="1701" w:hanging="850"/>
    </w:pPr>
    <w:rPr>
      <w:noProof/>
      <w:sz w:val="19"/>
      <w:szCs w:val="19"/>
    </w:rPr>
  </w:style>
  <w:style w:type="paragraph" w:customStyle="1" w:styleId="Struktur1">
    <w:name w:val="Struktur 1"/>
    <w:rsid w:val="005B17D7"/>
    <w:pPr>
      <w:tabs>
        <w:tab w:val="left" w:pos="567"/>
      </w:tabs>
      <w:spacing w:before="80" w:after="0" w:line="200" w:lineRule="exact"/>
      <w:ind w:left="567" w:hanging="357"/>
      <w:jc w:val="both"/>
    </w:pPr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paragraph" w:customStyle="1" w:styleId="Problemstellung">
    <w:name w:val="Problemstellung"/>
    <w:basedOn w:val="Standard"/>
    <w:rsid w:val="005B17D7"/>
    <w:pPr>
      <w:tabs>
        <w:tab w:val="left" w:pos="284"/>
      </w:tabs>
    </w:pPr>
  </w:style>
  <w:style w:type="paragraph" w:styleId="berarbeitung">
    <w:name w:val="Revision"/>
    <w:hidden/>
    <w:uiPriority w:val="99"/>
    <w:semiHidden/>
    <w:rsid w:val="005B17D7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CH"/>
    </w:rPr>
  </w:style>
  <w:style w:type="table" w:styleId="MittlereSchattierung2-Akzent1">
    <w:name w:val="Medium Shading 2 Accent 1"/>
    <w:basedOn w:val="NormaleTabelle"/>
    <w:uiPriority w:val="64"/>
    <w:rsid w:val="005B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schriftung">
    <w:name w:val="caption"/>
    <w:basedOn w:val="Standard"/>
    <w:next w:val="Standard"/>
    <w:unhideWhenUsed/>
    <w:qFormat/>
    <w:rsid w:val="003E2D1F"/>
    <w:rPr>
      <w:bCs/>
    </w:rPr>
  </w:style>
  <w:style w:type="paragraph" w:styleId="Endnotentext">
    <w:name w:val="endnote text"/>
    <w:basedOn w:val="Standard"/>
    <w:link w:val="EndnotentextZchn"/>
    <w:rsid w:val="005B17D7"/>
  </w:style>
  <w:style w:type="character" w:customStyle="1" w:styleId="EndnotentextZchn">
    <w:name w:val="Endnotentext Zchn"/>
    <w:basedOn w:val="Absatz-Standardschriftart"/>
    <w:link w:val="Endnotentext"/>
    <w:rsid w:val="005B17D7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rsid w:val="005B17D7"/>
    <w:rPr>
      <w:vertAlign w:val="superscript"/>
    </w:rPr>
  </w:style>
  <w:style w:type="paragraph" w:customStyle="1" w:styleId="Default">
    <w:name w:val="Default"/>
    <w:rsid w:val="005B17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ePunkt">
    <w:name w:val="Liste_Punkt"/>
    <w:basedOn w:val="Standard"/>
    <w:rsid w:val="00EB407A"/>
    <w:pPr>
      <w:numPr>
        <w:numId w:val="6"/>
      </w:numPr>
      <w:tabs>
        <w:tab w:val="clear" w:pos="785"/>
      </w:tabs>
      <w:spacing w:after="240" w:line="280" w:lineRule="atLeast"/>
      <w:ind w:left="680" w:hanging="340"/>
    </w:pPr>
    <w:rPr>
      <w:sz w:val="22"/>
      <w:lang w:eastAsia="de-DE"/>
    </w:rPr>
  </w:style>
  <w:style w:type="paragraph" w:customStyle="1" w:styleId="Tabellenkopf">
    <w:name w:val="Tabellenkopf"/>
    <w:basedOn w:val="Standard"/>
    <w:rsid w:val="00EB407A"/>
    <w:pPr>
      <w:spacing w:before="60" w:after="60" w:line="240" w:lineRule="auto"/>
    </w:pPr>
    <w:rPr>
      <w:b/>
      <w:lang w:eastAsia="de-DE"/>
    </w:rPr>
  </w:style>
  <w:style w:type="paragraph" w:customStyle="1" w:styleId="Tabellenkrper">
    <w:name w:val="Tabellenkörper"/>
    <w:basedOn w:val="Standard"/>
    <w:rsid w:val="00EB407A"/>
    <w:pPr>
      <w:spacing w:before="60" w:after="60" w:line="240" w:lineRule="auto"/>
    </w:pPr>
    <w:rPr>
      <w:lang w:eastAsia="de-DE"/>
    </w:rPr>
  </w:style>
  <w:style w:type="table" w:styleId="Gitternetztabelle3">
    <w:name w:val="Grid Table 3"/>
    <w:basedOn w:val="NormaleTabelle"/>
    <w:uiPriority w:val="48"/>
    <w:rsid w:val="00B06B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1536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DE26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Abbildung">
    <w:name w:val="Abbildung"/>
    <w:basedOn w:val="Standard"/>
    <w:link w:val="AbbildungCarattere"/>
    <w:qFormat/>
    <w:rsid w:val="0030777D"/>
    <w:pPr>
      <w:spacing w:before="60" w:line="271" w:lineRule="auto"/>
      <w:jc w:val="both"/>
    </w:pPr>
    <w:rPr>
      <w:sz w:val="16"/>
    </w:rPr>
  </w:style>
  <w:style w:type="paragraph" w:customStyle="1" w:styleId="UntertitelohneNummerierung">
    <w:name w:val="Untertitel ohne Nummerierung"/>
    <w:basedOn w:val="Listenabsatz"/>
    <w:link w:val="UntertitelohneNummerierungCarattere"/>
    <w:qFormat/>
    <w:rsid w:val="00F803A7"/>
    <w:pPr>
      <w:widowControl w:val="0"/>
      <w:spacing w:before="180" w:after="60"/>
      <w:ind w:left="0"/>
      <w:jc w:val="both"/>
    </w:pPr>
    <w:rPr>
      <w:b/>
      <w:i/>
    </w:rPr>
  </w:style>
  <w:style w:type="character" w:customStyle="1" w:styleId="AbbildungCarattere">
    <w:name w:val="Abbildung Carattere"/>
    <w:basedOn w:val="Absatz-Standardschriftart"/>
    <w:link w:val="Abbildung"/>
    <w:rsid w:val="0030777D"/>
    <w:rPr>
      <w:rFonts w:ascii="Arial" w:eastAsia="Times New Roman" w:hAnsi="Arial" w:cs="Times New Roman"/>
      <w:sz w:val="16"/>
      <w:szCs w:val="20"/>
      <w:lang w:val="de-CH" w:eastAsia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803A7"/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UntertitelohneNummerierungCarattere">
    <w:name w:val="Untertitel ohne Nummerierung Carattere"/>
    <w:basedOn w:val="ListenabsatzZchn"/>
    <w:link w:val="UntertitelohneNummerierung"/>
    <w:rsid w:val="00F803A7"/>
    <w:rPr>
      <w:rFonts w:ascii="Arial" w:eastAsia="Times New Roman" w:hAnsi="Arial" w:cs="Times New Roman"/>
      <w:b/>
      <w:i/>
      <w:sz w:val="20"/>
      <w:szCs w:val="20"/>
      <w:lang w:val="de-CH"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CD7C7B"/>
    <w:rPr>
      <w:color w:val="954F72" w:themeColor="followedHyperlink"/>
      <w:u w:val="single"/>
    </w:rPr>
  </w:style>
  <w:style w:type="character" w:customStyle="1" w:styleId="st1">
    <w:name w:val="st1"/>
    <w:basedOn w:val="Absatz-Standardschriftart"/>
    <w:rsid w:val="00FE0716"/>
  </w:style>
  <w:style w:type="character" w:customStyle="1" w:styleId="webteasertext2">
    <w:name w:val="webteasertext2"/>
    <w:basedOn w:val="Absatz-Standardschriftart"/>
    <w:rsid w:val="00E15585"/>
    <w:rPr>
      <w:b w:val="0"/>
      <w:bCs w:val="0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79752F"/>
    <w:rPr>
      <w:rFonts w:ascii="Times New Roman" w:hAnsi="Times New Roman"/>
      <w:sz w:val="24"/>
      <w:szCs w:val="24"/>
    </w:rPr>
  </w:style>
  <w:style w:type="character" w:customStyle="1" w:styleId="trn">
    <w:name w:val="trn"/>
    <w:basedOn w:val="Absatz-Standardschriftart"/>
    <w:rsid w:val="001D244A"/>
  </w:style>
  <w:style w:type="paragraph" w:styleId="Aufzhlungszeichen">
    <w:name w:val="List Bullet"/>
    <w:basedOn w:val="Standard"/>
    <w:uiPriority w:val="99"/>
    <w:unhideWhenUsed/>
    <w:rsid w:val="00BD4DF2"/>
    <w:pPr>
      <w:numPr>
        <w:numId w:val="7"/>
      </w:numPr>
      <w:contextualSpacing/>
    </w:pPr>
  </w:style>
  <w:style w:type="paragraph" w:styleId="Blocktext">
    <w:name w:val="Block Text"/>
    <w:basedOn w:val="Standard"/>
    <w:qFormat/>
    <w:rsid w:val="00664DCD"/>
    <w:pPr>
      <w:adjustRightInd w:val="0"/>
      <w:snapToGrid w:val="0"/>
      <w:spacing w:after="140" w:line="280" w:lineRule="atLeast"/>
    </w:pPr>
    <w:rPr>
      <w:szCs w:val="24"/>
    </w:rPr>
  </w:style>
  <w:style w:type="paragraph" w:styleId="Liste">
    <w:name w:val="List"/>
    <w:basedOn w:val="Standard"/>
    <w:uiPriority w:val="99"/>
    <w:semiHidden/>
    <w:unhideWhenUsed/>
    <w:rsid w:val="000B144E"/>
    <w:pPr>
      <w:ind w:left="283" w:hanging="283"/>
      <w:contextualSpacing/>
    </w:pPr>
  </w:style>
  <w:style w:type="paragraph" w:styleId="KeinLeerraum">
    <w:name w:val="No Spacing"/>
    <w:uiPriority w:val="1"/>
    <w:qFormat/>
    <w:rsid w:val="004D1C36"/>
    <w:pPr>
      <w:widowControl w:val="0"/>
      <w:spacing w:after="60" w:line="276" w:lineRule="auto"/>
      <w:ind w:left="227" w:hanging="227"/>
    </w:pPr>
    <w:rPr>
      <w:rFonts w:ascii="Arial" w:eastAsia="Calibri" w:hAnsi="Arial" w:cs="Times New Roman"/>
      <w:sz w:val="18"/>
      <w:lang w:val="de-CH"/>
    </w:rPr>
  </w:style>
  <w:style w:type="paragraph" w:customStyle="1" w:styleId="ListWithLetters">
    <w:name w:val="ListWithLetters"/>
    <w:basedOn w:val="Standard"/>
    <w:rsid w:val="006413F9"/>
    <w:pPr>
      <w:numPr>
        <w:numId w:val="17"/>
      </w:numPr>
      <w:adjustRightInd w:val="0"/>
      <w:snapToGrid w:val="0"/>
      <w:spacing w:after="0" w:line="240" w:lineRule="auto"/>
    </w:pPr>
    <w:rPr>
      <w:rFonts w:cs="Arial"/>
      <w:szCs w:val="24"/>
    </w:rPr>
  </w:style>
  <w:style w:type="character" w:customStyle="1" w:styleId="normaltextrun1">
    <w:name w:val="normaltextrun1"/>
    <w:basedOn w:val="Absatz-Standardschriftart"/>
    <w:rsid w:val="002731D1"/>
  </w:style>
  <w:style w:type="character" w:styleId="Fett">
    <w:name w:val="Strong"/>
    <w:basedOn w:val="Absatz-Standardschriftart"/>
    <w:uiPriority w:val="22"/>
    <w:qFormat/>
    <w:rsid w:val="0082258D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91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7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1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76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5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44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4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84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91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7397">
          <w:marLeft w:val="547"/>
          <w:marRight w:val="0"/>
          <w:marTop w:val="8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40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41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0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5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3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5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90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7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3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83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65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0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8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24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grarbericht.ch/it/azienda/strutture/superficie-agricola-utile" TargetMode="External"/><Relationship Id="rId1" Type="http://schemas.openxmlformats.org/officeDocument/2006/relationships/hyperlink" Target="https://www.bfs.admin.ch/bfs/fr/home/statistiques/espace-environnement/utilisation-couverture-sol.assetdetail.34899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612DF438B5A47B14598812F0FBE46" ma:contentTypeVersion="0" ma:contentTypeDescription="Ein neues Dokument erstellen." ma:contentTypeScope="" ma:versionID="89e8cd02937708299a66b9aafcdbae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 ref="">
    <f:field ref="objname" par="" edit="true" text="Konzept Windenergie DE [27.06.2017]"/>
    <f:field ref="objsubject" par="" edit="true" text=""/>
    <f:field ref="objcreatedby" par="" text="Cattaneo, Mattia (ARE - CAM)"/>
    <f:field ref="objcreatedat" par="" text="27.06.2017 09:39:52"/>
    <f:field ref="objchangedby" par="" text="Cattaneo, Mattia (ARE - CAM)"/>
    <f:field ref="objmodifiedat" par="" text="27.06.2017 09:39:55"/>
    <f:field ref="doc_FSCFOLIO_1_1001_FieldDocumentNumber" par="" text=""/>
    <f:field ref="doc_FSCFOLIO_1_1001_FieldSubject" par="" edit="true" text=""/>
    <f:field ref="FSCFOLIO_1_1001_FieldCurrentUser" par="" text="Mattia Cattaneo"/>
    <f:field ref="CCAPRECONFIG_15_1001_Objektname" par="" edit="true" text="Konzept Windenergie DE [27.06.2017]"/>
    <f:field ref="CHPRECONFIG_1_1001_Objektname" par="" edit="true" text="Konzept Windenergie DE [27.06.2017]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Courrier B"/>
    <f:field ref="CCAPRECONFIG_15_1001_Kategorie" par="" text="Destinataire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Posta B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&gt; Destinataires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zH" text="à l'att. de"/>
    <f:field ref="CCAPRECONFIG_15_1001_Adresse" text="Adresse"/>
    <f:field ref="CHPRECONFIG_1_1001_EMailAdresse" text="Adresse e-mail"/>
    <f:field ref="CCAPRECONFIG_15_1001_Postalische_Adresse" text="Adresse postale"/>
    <f:field ref="BAVCFG_15_1700_Adresse1_AP" text="Adresse1_AP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CAPRECONFIG_15_1001_Postfach" text="Case postale"/>
    <f:field ref="CCAPRECONFIG_15_1001_Postleitzahl" text="Code postal"/>
    <f:field ref="CCAPRECONFIG_15_1001_Organisationskurzname" text="Diminutif de l'organisation"/>
    <f:field ref="CCAPRECONFIG_15_1001_Email" text="E-Mail"/>
    <f:field ref="BAVCFG_15_1700_EMail_AP" text="E-Mail_AP"/>
    <f:field ref="CCAPRECONFIG_15_1001_Stiege" text="Escalier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HPRECONFIG_1_1001_Anrede" text="Formule d'appel"/>
    <f:field ref="CCAPRECONFIG_15_1001_Anrede" text="Formule d'appel"/>
    <f:field ref="CCAPRECONFIG_15_1001_Funktionsbezeichnung" text="Funktionsbezeichnung"/>
    <f:field ref="CCAPRECONFIG_15_1001_Geburtsdatum" text="Geburtsdatum"/>
    <f:field ref="CCAPRECONFIG_15_1001_Geschlecht_Anrede" text="Geschlecht_Anrede"/>
    <f:field ref="CCAPRECONFIG_15_1001_Nachgestellter_Titel" text="Intitulé du poste"/>
    <f:field ref="CCAPRECONFIG_15_1001_Kategorie" text="Kategorie"/>
    <f:field ref="CHPRECONFIG_1_1001_Ort" text="Localité"/>
    <f:field ref="CCAPRECONFIG_15_1001_Ort" text="Localité"/>
    <f:field ref="BAVCFG_15_1700_Nachname_AP" text="Nachname_AP"/>
    <f:field ref="CCAPRECONFIG_15_1001_Nachname" text="Nom"/>
    <f:field ref="CHPRECONFIG_1_1001_Nachname" text="Nom"/>
    <f:field ref="CCAPRECONFIG_15_1001_Organisationsname" text="Nom de l'organisation"/>
    <f:field ref="CCAPRECONFIG_15_1001_Name_Zeile_2" text="Nom_Ligne_2"/>
    <f:field ref="CCAPRECONFIG_15_1001_Name_Zeile_3" text="Nom_Ligne_3"/>
    <f:field ref="CHPRECONFIG_1_1001_Postleitzahl" text="NPA"/>
    <f:field ref="CCAPRECONFIG_15_1001_Hausnummer" text="Numéro"/>
    <f:field ref="BAVCFG_15_1700_Ort_AP" text="Ort_AP"/>
    <f:field ref="CCAPRECONFIG_15_1001_Land" text="Pays"/>
    <f:field ref="CCAPRECONFIG_15_1001_Tuer" text="Porte"/>
    <f:field ref="BAVCFG_15_1700_Posfach_AP" text="Posfach_AP"/>
    <f:field ref="BAVCFG_15_1700_Postleitzahl_AP" text="Postleitzahl_AP"/>
    <f:field ref="CCAPRECONFIG_15_1001_Vorname" text="Prénom"/>
    <f:field ref="CHPRECONFIG_1_1001_Vorname" text="Prénom"/>
    <f:field ref="CCAPRECONFIG_15_1001_Rechtsform" text="Rechtsform"/>
    <f:field ref="CCAPRECONFIG_15_1001_Abschriftsbemerkung" text="Remarque de l'expéditeur"/>
    <f:field ref="CHPRECONFIG_1_1001_Strasse" text="Rue"/>
    <f:field ref="CCAPRECONFIG_15_1001_Strasse" text="Rue"/>
    <f:field ref="CCAPRECONFIG_15_1001_Geschlecht" text="Sexe"/>
    <f:field ref="CCAPRECONFIG_15_1001_Sozialversicherungsnummer" text="Sozialversicherungsnummer"/>
    <f:field ref="CCAPRECONFIG_15_1001_Stock" text="Stock"/>
    <f:field ref="BAVCFG_15_1700_Strasse2_AP" text="Strasse2_AP"/>
    <f:field ref="BAVCFG_15_1700_Strasse_AP" text="Strasse_AP"/>
    <f:field ref="CCAPRECONFIG_15_1001_Telefon" text="Telefon"/>
    <f:field ref="BAVCFG_15_1700_Titel_AP" text="Titel_AP"/>
    <f:field ref="CCAPRECONFIG_15_1001_Titel" text="Titre"/>
    <f:field ref="CHPRECONFIG_1_1001_Titel" text="Titre"/>
    <f:field ref="CCAPRECONFIG_15_1001_Versandart" text="Type d'envoi"/>
    <f:field ref="BAVCFG_15_1700_Vorname_AP" text="Vorname_AP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Publipostage">
    <f:field ref="doc_FSCFOLIO_1_1001_FieldDocumentNumber" text="Numéro de document"/>
    <f:field ref="doc_FSCFOLIO_1_1001_FieldSubject" text="Obj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ADCD-4F54-4DF0-BA92-C04EA7763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57BE50-9235-457B-BF39-D8846916D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42F03D9B-2D19-40C5-9BF5-EC11E61F2D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CD7CF9-F505-491A-9579-1CC77000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7297</Words>
  <Characters>45978</Characters>
  <Application>Microsoft Office Word</Application>
  <DocSecurity>0</DocSecurity>
  <Lines>383</Lines>
  <Paragraphs>106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Piano settoriale SAC</vt:lpstr>
      <vt:lpstr/>
    </vt:vector>
  </TitlesOfParts>
  <Company>Bundesamt für Raumentwicklung ARE</Company>
  <LinksUpToDate>false</LinksUpToDate>
  <CharactersWithSpaces>53169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settoriale SAC</dc:title>
  <dc:subject/>
  <dc:creator>Bundesamt für Raumentwicklung ARE</dc:creator>
  <cp:keywords/>
  <dc:description/>
  <cp:lastModifiedBy>Grimm Olivia ARE</cp:lastModifiedBy>
  <cp:revision>38</cp:revision>
  <cp:lastPrinted>2018-12-05T14:40:00Z</cp:lastPrinted>
  <dcterms:created xsi:type="dcterms:W3CDTF">2018-12-01T13:46:00Z</dcterms:created>
  <dcterms:modified xsi:type="dcterms:W3CDTF">2018-12-20T06:09:00Z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ARECFG@100.2000:Doc_Dossier">
    <vt:lpwstr>00 - Verabschiedung BR</vt:lpwstr>
  </property>
  <property fmtid="{D5CDD505-2E9C-101B-9397-08002B2CF9AE}" pid="3" name="FSC#ARECFG@100.2000:Doc_Rubrik">
    <vt:lpwstr>341.3 Konzept Windenergie</vt:lpwstr>
  </property>
  <property fmtid="{D5CDD505-2E9C-101B-9397-08002B2CF9AE}" pid="4" name="FSC#ARECFG@100.2000:Doc_Ordnungspos_1">
    <vt:lpwstr>3 Koordination Mobilität und Infrastrukturen_x000d_
34 Koordination Versorgung und Energie_x000d_
341 Konzepte und Sachpläne Versorgung + Energie</vt:lpwstr>
  </property>
  <property fmtid="{D5CDD505-2E9C-101B-9397-08002B2CF9AE}" pid="5" name="FSC#ARECFG@100.2000:Doc_Ordnungspos_2">
    <vt:lpwstr>00 - Verabschiedung BR</vt:lpwstr>
  </property>
  <property fmtid="{D5CDD505-2E9C-101B-9397-08002B2CF9AE}" pid="6" name="FSC#ARECFG@100.2000:Doc_Ordnungspos_3">
    <vt:lpwstr>00 - Verabschiedung BR</vt:lpwstr>
  </property>
  <property fmtid="{D5CDD505-2E9C-101B-9397-08002B2CF9AE}" pid="7" name="FSC#ARECFG@100.2000:Doc_Ordnungspos_4">
    <vt:lpwstr>00 - Verabschiedung BR</vt:lpwstr>
  </property>
  <property fmtid="{D5CDD505-2E9C-101B-9397-08002B2CF9AE}" pid="8" name="FSC#ARECFG@100.2000:Rec_Contactpers">
    <vt:lpwstr/>
  </property>
  <property fmtid="{D5CDD505-2E9C-101B-9397-08002B2CF9AE}" pid="9" name="FSC#ARECFG@100.2000:Rec_FullName">
    <vt:lpwstr/>
  </property>
  <property fmtid="{D5CDD505-2E9C-101B-9397-08002B2CF9AE}" pid="10" name="FSC#ARECFG@100.2000:Rec_CompleteAddress">
    <vt:lpwstr/>
  </property>
  <property fmtid="{D5CDD505-2E9C-101B-9397-08002B2CF9AE}" pid="11" name="FSC#ARECFG@100.2000:Rec_Email">
    <vt:lpwstr/>
  </property>
  <property fmtid="{D5CDD505-2E9C-101B-9397-08002B2CF9AE}" pid="12" name="FSC#ARECFG@100.2000:Rec_Introduction">
    <vt:lpwstr/>
  </property>
  <property fmtid="{D5CDD505-2E9C-101B-9397-08002B2CF9AE}" pid="13" name="FSC#ARECFG@100.2000:Rec_TransMedia">
    <vt:lpwstr/>
  </property>
  <property fmtid="{D5CDD505-2E9C-101B-9397-08002B2CF9AE}" pid="14" name="FSC#ARECFG@100.2000:Subfile_FileRespOrg">
    <vt:lpwstr>Planifications fédérales</vt:lpwstr>
  </property>
  <property fmtid="{D5CDD505-2E9C-101B-9397-08002B2CF9AE}" pid="15" name="FSC#ARECFG@100.2000:Subfile_FileResponsible">
    <vt:lpwstr>Mattia Cattaneo</vt:lpwstr>
  </property>
  <property fmtid="{D5CDD505-2E9C-101B-9397-08002B2CF9AE}" pid="16" name="FSC#ARECFG@100.2000:Subfile_Sektionschef">
    <vt:lpwstr>Dr. Lena Poschet</vt:lpwstr>
  </property>
  <property fmtid="{D5CDD505-2E9C-101B-9397-08002B2CF9AE}" pid="17" name="FSC#ARECFG@100.2000:Doc_cooAddress">
    <vt:lpwstr>COO.2093.100.5.697158</vt:lpwstr>
  </property>
  <property fmtid="{D5CDD505-2E9C-101B-9397-08002B2CF9AE}" pid="18" name="FSC#ARECFG@100.2000:Doc_FileReference">
    <vt:lpwstr>341.3-00004/00014/00001/00008</vt:lpwstr>
  </property>
  <property fmtid="{D5CDD505-2E9C-101B-9397-08002B2CF9AE}" pid="19" name="FSC#ARECFG@100.2000:Subfile_Titel">
    <vt:lpwstr/>
  </property>
  <property fmtid="{D5CDD505-2E9C-101B-9397-08002B2CF9AE}" pid="20" name="FSC#ARECFG@100.2000:Proj_Number">
    <vt:lpwstr/>
  </property>
  <property fmtid="{D5CDD505-2E9C-101B-9397-08002B2CF9AE}" pid="21" name="FSC#ARECFG@100.2000:Proj_Total">
    <vt:lpwstr/>
  </property>
  <property fmtid="{D5CDD505-2E9C-101B-9397-08002B2CF9AE}" pid="22" name="FSC#ARECFG@100.2000:Proj_Start">
    <vt:lpwstr/>
  </property>
  <property fmtid="{D5CDD505-2E9C-101B-9397-08002B2CF9AE}" pid="23" name="FSC#ARECFG@100.2000:Proj_Ende">
    <vt:lpwstr/>
  </property>
  <property fmtid="{D5CDD505-2E9C-101B-9397-08002B2CF9AE}" pid="24" name="FSC#ARECFG@100.2000:Proj_Ziele">
    <vt:lpwstr/>
  </property>
  <property fmtid="{D5CDD505-2E9C-101B-9397-08002B2CF9AE}" pid="25" name="FSC#ARECFG@100.2000:Proj_Kurzbeschr">
    <vt:lpwstr/>
  </property>
  <property fmtid="{D5CDD505-2E9C-101B-9397-08002B2CF9AE}" pid="26" name="FSC#ARECFG@100.2000:Proj_Schwerpunkt">
    <vt:lpwstr/>
  </property>
  <property fmtid="{D5CDD505-2E9C-101B-9397-08002B2CF9AE}" pid="27" name="FSC#ARECFG@100.2000:Proj_Jahr_1">
    <vt:lpwstr>0</vt:lpwstr>
  </property>
  <property fmtid="{D5CDD505-2E9C-101B-9397-08002B2CF9AE}" pid="28" name="FSC#ARECFG@100.2000:Proj_Jahr_2">
    <vt:lpwstr>1</vt:lpwstr>
  </property>
  <property fmtid="{D5CDD505-2E9C-101B-9397-08002B2CF9AE}" pid="29" name="FSC#ARECFG@100.2000:Proj_Jahr_3">
    <vt:lpwstr>2</vt:lpwstr>
  </property>
  <property fmtid="{D5CDD505-2E9C-101B-9397-08002B2CF9AE}" pid="30" name="FSC#ARECFG@100.2000:Proj_Jahr_4">
    <vt:lpwstr>3</vt:lpwstr>
  </property>
  <property fmtid="{D5CDD505-2E9C-101B-9397-08002B2CF9AE}" pid="31" name="FSC#ARECFG@100.2000:Proj_Jahr_5">
    <vt:lpwstr>4</vt:lpwstr>
  </property>
  <property fmtid="{D5CDD505-2E9C-101B-9397-08002B2CF9AE}" pid="32" name="FSC#ARECFG@100.2000:Proj_Betrag_1">
    <vt:lpwstr/>
  </property>
  <property fmtid="{D5CDD505-2E9C-101B-9397-08002B2CF9AE}" pid="33" name="FSC#ARECFG@100.2000:Proj_Betrag_2">
    <vt:lpwstr/>
  </property>
  <property fmtid="{D5CDD505-2E9C-101B-9397-08002B2CF9AE}" pid="34" name="FSC#ARECFG@100.2000:Proj_Betrag_3">
    <vt:lpwstr/>
  </property>
  <property fmtid="{D5CDD505-2E9C-101B-9397-08002B2CF9AE}" pid="35" name="FSC#ARECFG@100.2000:Proj_Betrag_4">
    <vt:lpwstr/>
  </property>
  <property fmtid="{D5CDD505-2E9C-101B-9397-08002B2CF9AE}" pid="36" name="FSC#ARECFG@100.2000:Proj_Betrag_5">
    <vt:lpwstr/>
  </property>
  <property fmtid="{D5CDD505-2E9C-101B-9397-08002B2CF9AE}" pid="37" name="FSC#ARECFG@100.2000:Proj_Anteil_ARE">
    <vt:lpwstr/>
  </property>
  <property fmtid="{D5CDD505-2E9C-101B-9397-08002B2CF9AE}" pid="38" name="FSC#ARECFG@100.2000:Proj_Herkunft_Geld">
    <vt:lpwstr/>
  </property>
  <property fmtid="{D5CDD505-2E9C-101B-9397-08002B2CF9AE}" pid="39" name="FSC#ARECFG@100.2000:Proj_Kreditart">
    <vt:lpwstr/>
  </property>
  <property fmtid="{D5CDD505-2E9C-101B-9397-08002B2CF9AE}" pid="40" name="FSC#ARECFG@100.2000:Proj_Beschaffung">
    <vt:lpwstr/>
  </property>
  <property fmtid="{D5CDD505-2E9C-101B-9397-08002B2CF9AE}" pid="41" name="FSC#ARECFG@100.2000:Proj_Beschaffung_Bemerk">
    <vt:lpwstr/>
  </property>
  <property fmtid="{D5CDD505-2E9C-101B-9397-08002B2CF9AE}" pid="42" name="FSC#ARECFG@100.2000:Vert_Jahr_1">
    <vt:lpwstr>0</vt:lpwstr>
  </property>
  <property fmtid="{D5CDD505-2E9C-101B-9397-08002B2CF9AE}" pid="43" name="FSC#ARECFG@100.2000:Vert_Jahr_2">
    <vt:lpwstr>1</vt:lpwstr>
  </property>
  <property fmtid="{D5CDD505-2E9C-101B-9397-08002B2CF9AE}" pid="44" name="FSC#ARECFG@100.2000:Vert_Jahr_3">
    <vt:lpwstr>2</vt:lpwstr>
  </property>
  <property fmtid="{D5CDD505-2E9C-101B-9397-08002B2CF9AE}" pid="45" name="FSC#ARECFG@100.2000:Vert_Jahr_4">
    <vt:lpwstr>3</vt:lpwstr>
  </property>
  <property fmtid="{D5CDD505-2E9C-101B-9397-08002B2CF9AE}" pid="46" name="FSC#ARECFG@100.2000:Vert_Jahr_5">
    <vt:lpwstr>4</vt:lpwstr>
  </property>
  <property fmtid="{D5CDD505-2E9C-101B-9397-08002B2CF9AE}" pid="47" name="FSC#ARECFG@100.2000:Vert_Betrag_1">
    <vt:lpwstr/>
  </property>
  <property fmtid="{D5CDD505-2E9C-101B-9397-08002B2CF9AE}" pid="48" name="FSC#ARECFG@100.2000:Vert_Betrag_2">
    <vt:lpwstr/>
  </property>
  <property fmtid="{D5CDD505-2E9C-101B-9397-08002B2CF9AE}" pid="49" name="FSC#ARECFG@100.2000:Vert_Betrag_3">
    <vt:lpwstr/>
  </property>
  <property fmtid="{D5CDD505-2E9C-101B-9397-08002B2CF9AE}" pid="50" name="FSC#ARECFG@100.2000:Vert_Betrag_4">
    <vt:lpwstr/>
  </property>
  <property fmtid="{D5CDD505-2E9C-101B-9397-08002B2CF9AE}" pid="51" name="FSC#ARECFG@100.2000:Vert_Betrag_5">
    <vt:lpwstr/>
  </property>
  <property fmtid="{D5CDD505-2E9C-101B-9397-08002B2CF9AE}" pid="52" name="FSC#ARECFG@100.2000:Vert_Selbstaendig">
    <vt:lpwstr/>
  </property>
  <property fmtid="{D5CDD505-2E9C-101B-9397-08002B2CF9AE}" pid="53" name="FSC#ARECFG@100.2000:Vert_Total">
    <vt:lpwstr/>
  </property>
  <property fmtid="{D5CDD505-2E9C-101B-9397-08002B2CF9AE}" pid="54" name="FSC#ARECFG@100.2000:Proj_Genehmiger">
    <vt:lpwstr/>
  </property>
  <property fmtid="{D5CDD505-2E9C-101B-9397-08002B2CF9AE}" pid="55" name="FSC#ARECFG@100.2000:Vert_Genehmiger">
    <vt:lpwstr/>
  </property>
  <property fmtid="{D5CDD505-2E9C-101B-9397-08002B2CF9AE}" pid="56" name="FSC#UVEKCFG@15.1700:Function">
    <vt:lpwstr/>
  </property>
  <property fmtid="{D5CDD505-2E9C-101B-9397-08002B2CF9AE}" pid="57" name="FSC#UVEKCFG@15.1700:FileRespOrg">
    <vt:lpwstr>Planifications fédérales</vt:lpwstr>
  </property>
  <property fmtid="{D5CDD505-2E9C-101B-9397-08002B2CF9AE}" pid="58" name="FSC#UVEKCFG@15.1700:DefaultGroupFileResponsible">
    <vt:lpwstr/>
  </property>
  <property fmtid="{D5CDD505-2E9C-101B-9397-08002B2CF9AE}" pid="59" name="FSC#UVEKCFG@15.1700:FileRespFunction">
    <vt:lpwstr/>
  </property>
  <property fmtid="{D5CDD505-2E9C-101B-9397-08002B2CF9AE}" pid="60" name="FSC#UVEKCFG@15.1700:AssignedClassification">
    <vt:lpwstr/>
  </property>
  <property fmtid="{D5CDD505-2E9C-101B-9397-08002B2CF9AE}" pid="61" name="FSC#UVEKCFG@15.1700:AssignedClassificationCode">
    <vt:lpwstr/>
  </property>
  <property fmtid="{D5CDD505-2E9C-101B-9397-08002B2CF9AE}" pid="62" name="FSC#UVEKCFG@15.1700:FileResponsible">
    <vt:lpwstr/>
  </property>
  <property fmtid="{D5CDD505-2E9C-101B-9397-08002B2CF9AE}" pid="63" name="FSC#UVEKCFG@15.1700:FileResponsibleTel">
    <vt:lpwstr/>
  </property>
  <property fmtid="{D5CDD505-2E9C-101B-9397-08002B2CF9AE}" pid="64" name="FSC#UVEKCFG@15.1700:FileResponsibleEmail">
    <vt:lpwstr/>
  </property>
  <property fmtid="{D5CDD505-2E9C-101B-9397-08002B2CF9AE}" pid="65" name="FSC#UVEKCFG@15.1700:FileResponsibleFax">
    <vt:lpwstr/>
  </property>
  <property fmtid="{D5CDD505-2E9C-101B-9397-08002B2CF9AE}" pid="66" name="FSC#UVEKCFG@15.1700:FileResponsibleAddress">
    <vt:lpwstr/>
  </property>
  <property fmtid="{D5CDD505-2E9C-101B-9397-08002B2CF9AE}" pid="67" name="FSC#UVEKCFG@15.1700:FileResponsibleStreet">
    <vt:lpwstr/>
  </property>
  <property fmtid="{D5CDD505-2E9C-101B-9397-08002B2CF9AE}" pid="68" name="FSC#UVEKCFG@15.1700:FileResponsiblezipcode">
    <vt:lpwstr/>
  </property>
  <property fmtid="{D5CDD505-2E9C-101B-9397-08002B2CF9AE}" pid="69" name="FSC#UVEKCFG@15.1700:FileResponsiblecity">
    <vt:lpwstr/>
  </property>
  <property fmtid="{D5CDD505-2E9C-101B-9397-08002B2CF9AE}" pid="70" name="FSC#UVEKCFG@15.1700:FileResponsibleAbbreviation">
    <vt:lpwstr/>
  </property>
  <property fmtid="{D5CDD505-2E9C-101B-9397-08002B2CF9AE}" pid="71" name="FSC#UVEKCFG@15.1700:FileRespOrgHome">
    <vt:lpwstr>Worblentalstrasse 66, 3063 Ittigen</vt:lpwstr>
  </property>
  <property fmtid="{D5CDD505-2E9C-101B-9397-08002B2CF9AE}" pid="72" name="FSC#UVEKCFG@15.1700:CurrUserAbbreviation">
    <vt:lpwstr>CAM</vt:lpwstr>
  </property>
  <property fmtid="{D5CDD505-2E9C-101B-9397-08002B2CF9AE}" pid="73" name="FSC#UVEKCFG@15.1700:CategoryReference">
    <vt:lpwstr>341.3</vt:lpwstr>
  </property>
  <property fmtid="{D5CDD505-2E9C-101B-9397-08002B2CF9AE}" pid="74" name="FSC#UVEKCFG@15.1700:cooAddress">
    <vt:lpwstr>COO.2093.100.5.697156</vt:lpwstr>
  </property>
  <property fmtid="{D5CDD505-2E9C-101B-9397-08002B2CF9AE}" pid="75" name="FSC#UVEKCFG@15.1700:sleeveFileReference">
    <vt:lpwstr/>
  </property>
  <property fmtid="{D5CDD505-2E9C-101B-9397-08002B2CF9AE}" pid="76" name="FSC#UVEKCFG@15.1700:BureauName">
    <vt:lpwstr/>
  </property>
  <property fmtid="{D5CDD505-2E9C-101B-9397-08002B2CF9AE}" pid="77" name="FSC#UVEKCFG@15.1700:BureauShortName">
    <vt:lpwstr/>
  </property>
  <property fmtid="{D5CDD505-2E9C-101B-9397-08002B2CF9AE}" pid="78" name="FSC#UVEKCFG@15.1700:BureauWebsite">
    <vt:lpwstr/>
  </property>
  <property fmtid="{D5CDD505-2E9C-101B-9397-08002B2CF9AE}" pid="79" name="FSC#UVEKCFG@15.1700:SubFileTitle">
    <vt:lpwstr>Konzept Windenergie DE [27.06.2017]</vt:lpwstr>
  </property>
  <property fmtid="{D5CDD505-2E9C-101B-9397-08002B2CF9AE}" pid="80" name="FSC#UVEKCFG@15.1700:ForeignNumber">
    <vt:lpwstr/>
  </property>
  <property fmtid="{D5CDD505-2E9C-101B-9397-08002B2CF9AE}" pid="81" name="FSC#UVEKCFG@15.1700:Amtstitel">
    <vt:lpwstr/>
  </property>
  <property fmtid="{D5CDD505-2E9C-101B-9397-08002B2CF9AE}" pid="82" name="FSC#UVEKCFG@15.1700:ZusendungAm">
    <vt:lpwstr/>
  </property>
  <property fmtid="{D5CDD505-2E9C-101B-9397-08002B2CF9AE}" pid="83" name="FSC#UVEKCFG@15.1700:SignerLeft">
    <vt:lpwstr/>
  </property>
  <property fmtid="{D5CDD505-2E9C-101B-9397-08002B2CF9AE}" pid="84" name="FSC#UVEKCFG@15.1700:SignerRight">
    <vt:lpwstr/>
  </property>
  <property fmtid="{D5CDD505-2E9C-101B-9397-08002B2CF9AE}" pid="85" name="FSC#UVEKCFG@15.1700:SignerLeftJobTitle">
    <vt:lpwstr/>
  </property>
  <property fmtid="{D5CDD505-2E9C-101B-9397-08002B2CF9AE}" pid="86" name="FSC#UVEKCFG@15.1700:SignerRightJobTitle">
    <vt:lpwstr/>
  </property>
  <property fmtid="{D5CDD505-2E9C-101B-9397-08002B2CF9AE}" pid="87" name="FSC#UVEKCFG@15.1700:SignerLeftFunction">
    <vt:lpwstr/>
  </property>
  <property fmtid="{D5CDD505-2E9C-101B-9397-08002B2CF9AE}" pid="88" name="FSC#UVEKCFG@15.1700:SignerRightFunction">
    <vt:lpwstr/>
  </property>
  <property fmtid="{D5CDD505-2E9C-101B-9397-08002B2CF9AE}" pid="89" name="FSC#UVEKCFG@15.1700:SignerLeftUserRoleGroup">
    <vt:lpwstr/>
  </property>
  <property fmtid="{D5CDD505-2E9C-101B-9397-08002B2CF9AE}" pid="90" name="FSC#UVEKCFG@15.1700:SignerRightUserRoleGroup">
    <vt:lpwstr/>
  </property>
  <property fmtid="{D5CDD505-2E9C-101B-9397-08002B2CF9AE}" pid="91" name="FSC#COOELAK@1.1001:Subject">
    <vt:lpwstr/>
  </property>
  <property fmtid="{D5CDD505-2E9C-101B-9397-08002B2CF9AE}" pid="92" name="FSC#COOELAK@1.1001:FileReference">
    <vt:lpwstr>341.3-00004</vt:lpwstr>
  </property>
  <property fmtid="{D5CDD505-2E9C-101B-9397-08002B2CF9AE}" pid="93" name="FSC#COOELAK@1.1001:FileRefYear">
    <vt:lpwstr>2017</vt:lpwstr>
  </property>
  <property fmtid="{D5CDD505-2E9C-101B-9397-08002B2CF9AE}" pid="94" name="FSC#COOELAK@1.1001:FileRefOrdinal">
    <vt:lpwstr>4</vt:lpwstr>
  </property>
  <property fmtid="{D5CDD505-2E9C-101B-9397-08002B2CF9AE}" pid="95" name="FSC#COOELAK@1.1001:FileRefOU">
    <vt:lpwstr>BP</vt:lpwstr>
  </property>
  <property fmtid="{D5CDD505-2E9C-101B-9397-08002B2CF9AE}" pid="96" name="FSC#COOELAK@1.1001:Organization">
    <vt:lpwstr/>
  </property>
  <property fmtid="{D5CDD505-2E9C-101B-9397-08002B2CF9AE}" pid="97" name="FSC#COOELAK@1.1001:Owner">
    <vt:lpwstr>Cattaneo Mattia</vt:lpwstr>
  </property>
  <property fmtid="{D5CDD505-2E9C-101B-9397-08002B2CF9AE}" pid="98" name="FSC#COOELAK@1.1001:OwnerExtension">
    <vt:lpwstr>+41 58 462 89 25</vt:lpwstr>
  </property>
  <property fmtid="{D5CDD505-2E9C-101B-9397-08002B2CF9AE}" pid="99" name="FSC#COOELAK@1.1001:OwnerFaxExtension">
    <vt:lpwstr>+ 41 58 463 18 86</vt:lpwstr>
  </property>
  <property fmtid="{D5CDD505-2E9C-101B-9397-08002B2CF9AE}" pid="100" name="FSC#COOELAK@1.1001:DispatchedBy">
    <vt:lpwstr/>
  </property>
  <property fmtid="{D5CDD505-2E9C-101B-9397-08002B2CF9AE}" pid="101" name="FSC#COOELAK@1.1001:DispatchedAt">
    <vt:lpwstr/>
  </property>
  <property fmtid="{D5CDD505-2E9C-101B-9397-08002B2CF9AE}" pid="102" name="FSC#COOELAK@1.1001:ApprovedBy">
    <vt:lpwstr/>
  </property>
  <property fmtid="{D5CDD505-2E9C-101B-9397-08002B2CF9AE}" pid="103" name="FSC#COOELAK@1.1001:ApprovedAt">
    <vt:lpwstr/>
  </property>
  <property fmtid="{D5CDD505-2E9C-101B-9397-08002B2CF9AE}" pid="104" name="FSC#COOELAK@1.1001:Department">
    <vt:lpwstr>Planifications fédérales (ARE)</vt:lpwstr>
  </property>
  <property fmtid="{D5CDD505-2E9C-101B-9397-08002B2CF9AE}" pid="105" name="FSC#COOELAK@1.1001:CreatedAt">
    <vt:lpwstr>27.06.2017</vt:lpwstr>
  </property>
  <property fmtid="{D5CDD505-2E9C-101B-9397-08002B2CF9AE}" pid="106" name="FSC#COOELAK@1.1001:OU">
    <vt:lpwstr>Planifications fédérales (ARE)</vt:lpwstr>
  </property>
  <property fmtid="{D5CDD505-2E9C-101B-9397-08002B2CF9AE}" pid="107" name="FSC#COOELAK@1.1001:Priority">
    <vt:lpwstr> ()</vt:lpwstr>
  </property>
  <property fmtid="{D5CDD505-2E9C-101B-9397-08002B2CF9AE}" pid="108" name="FSC#COOELAK@1.1001:ObjBarCode">
    <vt:lpwstr>*COO.2093.100.5.697156*</vt:lpwstr>
  </property>
  <property fmtid="{D5CDD505-2E9C-101B-9397-08002B2CF9AE}" pid="109" name="FSC#COOELAK@1.1001:RefBarCode">
    <vt:lpwstr>*COO.2093.100.5.697158*</vt:lpwstr>
  </property>
  <property fmtid="{D5CDD505-2E9C-101B-9397-08002B2CF9AE}" pid="110" name="FSC#COOELAK@1.1001:FileRefBarCode">
    <vt:lpwstr>*341.3-00004*</vt:lpwstr>
  </property>
  <property fmtid="{D5CDD505-2E9C-101B-9397-08002B2CF9AE}" pid="111" name="FSC#COOELAK@1.1001:ExternalRef">
    <vt:lpwstr/>
  </property>
  <property fmtid="{D5CDD505-2E9C-101B-9397-08002B2CF9AE}" pid="112" name="FSC#COOELAK@1.1001:IncomingNumber">
    <vt:lpwstr/>
  </property>
  <property fmtid="{D5CDD505-2E9C-101B-9397-08002B2CF9AE}" pid="113" name="FSC#COOELAK@1.1001:IncomingSubject">
    <vt:lpwstr/>
  </property>
  <property fmtid="{D5CDD505-2E9C-101B-9397-08002B2CF9AE}" pid="114" name="FSC#COOELAK@1.1001:ProcessResponsible">
    <vt:lpwstr/>
  </property>
  <property fmtid="{D5CDD505-2E9C-101B-9397-08002B2CF9AE}" pid="115" name="FSC#COOELAK@1.1001:ProcessResponsiblePhone">
    <vt:lpwstr/>
  </property>
  <property fmtid="{D5CDD505-2E9C-101B-9397-08002B2CF9AE}" pid="116" name="FSC#COOELAK@1.1001:ProcessResponsibleMail">
    <vt:lpwstr/>
  </property>
  <property fmtid="{D5CDD505-2E9C-101B-9397-08002B2CF9AE}" pid="117" name="FSC#COOELAK@1.1001:ProcessResponsibleFax">
    <vt:lpwstr/>
  </property>
  <property fmtid="{D5CDD505-2E9C-101B-9397-08002B2CF9AE}" pid="118" name="FSC#COOELAK@1.1001:ApproverFirstName">
    <vt:lpwstr/>
  </property>
  <property fmtid="{D5CDD505-2E9C-101B-9397-08002B2CF9AE}" pid="119" name="FSC#COOELAK@1.1001:ApproverSurName">
    <vt:lpwstr/>
  </property>
  <property fmtid="{D5CDD505-2E9C-101B-9397-08002B2CF9AE}" pid="120" name="FSC#COOELAK@1.1001:ApproverTitle">
    <vt:lpwstr/>
  </property>
  <property fmtid="{D5CDD505-2E9C-101B-9397-08002B2CF9AE}" pid="121" name="FSC#COOELAK@1.1001:ExternalDate">
    <vt:lpwstr/>
  </property>
  <property fmtid="{D5CDD505-2E9C-101B-9397-08002B2CF9AE}" pid="122" name="FSC#COOELAK@1.1001:SettlementApprovedAt">
    <vt:lpwstr/>
  </property>
  <property fmtid="{D5CDD505-2E9C-101B-9397-08002B2CF9AE}" pid="123" name="FSC#COOELAK@1.1001:BaseNumber">
    <vt:lpwstr>341.3</vt:lpwstr>
  </property>
  <property fmtid="{D5CDD505-2E9C-101B-9397-08002B2CF9AE}" pid="124" name="FSC#COOELAK@1.1001:CurrentUserRolePos">
    <vt:lpwstr>Collaborateur, -trice spécialisé(e)</vt:lpwstr>
  </property>
  <property fmtid="{D5CDD505-2E9C-101B-9397-08002B2CF9AE}" pid="125" name="FSC#COOELAK@1.1001:CurrentUserEmail">
    <vt:lpwstr>mattia.cattaneo@are.admin.ch</vt:lpwstr>
  </property>
  <property fmtid="{D5CDD505-2E9C-101B-9397-08002B2CF9AE}" pid="126" name="FSC#ELAKGOV@1.1001:PersonalSubjGender">
    <vt:lpwstr/>
  </property>
  <property fmtid="{D5CDD505-2E9C-101B-9397-08002B2CF9AE}" pid="127" name="FSC#ELAKGOV@1.1001:PersonalSubjFirstName">
    <vt:lpwstr/>
  </property>
  <property fmtid="{D5CDD505-2E9C-101B-9397-08002B2CF9AE}" pid="128" name="FSC#ELAKGOV@1.1001:PersonalSubjSurName">
    <vt:lpwstr/>
  </property>
  <property fmtid="{D5CDD505-2E9C-101B-9397-08002B2CF9AE}" pid="129" name="FSC#ELAKGOV@1.1001:PersonalSubjSalutation">
    <vt:lpwstr/>
  </property>
  <property fmtid="{D5CDD505-2E9C-101B-9397-08002B2CF9AE}" pid="130" name="FSC#ELAKGOV@1.1001:PersonalSubjAddress">
    <vt:lpwstr/>
  </property>
  <property fmtid="{D5CDD505-2E9C-101B-9397-08002B2CF9AE}" pid="131" name="FSC#ATSTATECFG@1.1001:Office">
    <vt:lpwstr/>
  </property>
  <property fmtid="{D5CDD505-2E9C-101B-9397-08002B2CF9AE}" pid="132" name="FSC#ATSTATECFG@1.1001:Agent">
    <vt:lpwstr/>
  </property>
  <property fmtid="{D5CDD505-2E9C-101B-9397-08002B2CF9AE}" pid="133" name="FSC#ATSTATECFG@1.1001:AgentPhone">
    <vt:lpwstr/>
  </property>
  <property fmtid="{D5CDD505-2E9C-101B-9397-08002B2CF9AE}" pid="134" name="FSC#ATSTATECFG@1.1001:DepartmentFax">
    <vt:lpwstr>+ 41  58 463 18 86</vt:lpwstr>
  </property>
  <property fmtid="{D5CDD505-2E9C-101B-9397-08002B2CF9AE}" pid="135" name="FSC#ATSTATECFG@1.1001:DepartmentEmail">
    <vt:lpwstr>info@are.admin.ch</vt:lpwstr>
  </property>
  <property fmtid="{D5CDD505-2E9C-101B-9397-08002B2CF9AE}" pid="136" name="FSC#ATSTATECFG@1.1001:SubfileDate">
    <vt:lpwstr/>
  </property>
  <property fmtid="{D5CDD505-2E9C-101B-9397-08002B2CF9AE}" pid="137" name="FSC#ATSTATECFG@1.1001:SubfileSubject">
    <vt:lpwstr>Konzept Windenergie DE [27.06.2017]</vt:lpwstr>
  </property>
  <property fmtid="{D5CDD505-2E9C-101B-9397-08002B2CF9AE}" pid="138" name="FSC#ATSTATECFG@1.1001:DepartmentZipCode">
    <vt:lpwstr>3063</vt:lpwstr>
  </property>
  <property fmtid="{D5CDD505-2E9C-101B-9397-08002B2CF9AE}" pid="139" name="FSC#ATSTATECFG@1.1001:DepartmentCountry">
    <vt:lpwstr/>
  </property>
  <property fmtid="{D5CDD505-2E9C-101B-9397-08002B2CF9AE}" pid="140" name="FSC#ATSTATECFG@1.1001:DepartmentCity">
    <vt:lpwstr>Ittigen</vt:lpwstr>
  </property>
  <property fmtid="{D5CDD505-2E9C-101B-9397-08002B2CF9AE}" pid="141" name="FSC#ATSTATECFG@1.1001:DepartmentStreet">
    <vt:lpwstr>Worblentalstrasse 66</vt:lpwstr>
  </property>
  <property fmtid="{D5CDD505-2E9C-101B-9397-08002B2CF9AE}" pid="142" name="FSC#ATSTATECFG@1.1001:DepartmentDVR">
    <vt:lpwstr/>
  </property>
  <property fmtid="{D5CDD505-2E9C-101B-9397-08002B2CF9AE}" pid="143" name="FSC#ATSTATECFG@1.1001:DepartmentUID">
    <vt:lpwstr/>
  </property>
  <property fmtid="{D5CDD505-2E9C-101B-9397-08002B2CF9AE}" pid="144" name="FSC#ATSTATECFG@1.1001:SubfileReference">
    <vt:lpwstr>341.3-00004/00014/00001/00008</vt:lpwstr>
  </property>
  <property fmtid="{D5CDD505-2E9C-101B-9397-08002B2CF9AE}" pid="145" name="FSC#ATSTATECFG@1.1001:Clause">
    <vt:lpwstr/>
  </property>
  <property fmtid="{D5CDD505-2E9C-101B-9397-08002B2CF9AE}" pid="146" name="FSC#ATSTATECFG@1.1001:ApprovedSignature">
    <vt:lpwstr/>
  </property>
  <property fmtid="{D5CDD505-2E9C-101B-9397-08002B2CF9AE}" pid="147" name="FSC#ATSTATECFG@1.1001:BankAccount">
    <vt:lpwstr/>
  </property>
  <property fmtid="{D5CDD505-2E9C-101B-9397-08002B2CF9AE}" pid="148" name="FSC#ATSTATECFG@1.1001:BankAccountOwner">
    <vt:lpwstr/>
  </property>
  <property fmtid="{D5CDD505-2E9C-101B-9397-08002B2CF9AE}" pid="149" name="FSC#ATSTATECFG@1.1001:BankInstitute">
    <vt:lpwstr/>
  </property>
  <property fmtid="{D5CDD505-2E9C-101B-9397-08002B2CF9AE}" pid="150" name="FSC#ATSTATECFG@1.1001:BankAccountID">
    <vt:lpwstr/>
  </property>
  <property fmtid="{D5CDD505-2E9C-101B-9397-08002B2CF9AE}" pid="151" name="FSC#ATSTATECFG@1.1001:BankAccountIBAN">
    <vt:lpwstr/>
  </property>
  <property fmtid="{D5CDD505-2E9C-101B-9397-08002B2CF9AE}" pid="152" name="FSC#ATSTATECFG@1.1001:BankAccountBIC">
    <vt:lpwstr/>
  </property>
  <property fmtid="{D5CDD505-2E9C-101B-9397-08002B2CF9AE}" pid="153" name="FSC#ATSTATECFG@1.1001:BankName">
    <vt:lpwstr/>
  </property>
  <property fmtid="{D5CDD505-2E9C-101B-9397-08002B2CF9AE}" pid="154" name="FSC#COOSYSTEM@1.1:Container">
    <vt:lpwstr>COO.2093.100.5.697156</vt:lpwstr>
  </property>
  <property fmtid="{D5CDD505-2E9C-101B-9397-08002B2CF9AE}" pid="155" name="FSC#FSCFOLIO@1.1001:docpropproject">
    <vt:lpwstr/>
  </property>
  <property fmtid="{D5CDD505-2E9C-101B-9397-08002B2CF9AE}" pid="156" name="FSC$NOPARSEFILE">
    <vt:bool>false</vt:bool>
  </property>
  <property fmtid="{D5CDD505-2E9C-101B-9397-08002B2CF9AE}" pid="157" name="FSC#ARECFG@100.2000:Doc_SubDossier_Last">
    <vt:lpwstr>Word Dok.</vt:lpwstr>
  </property>
  <property fmtid="{D5CDD505-2E9C-101B-9397-08002B2CF9AE}" pid="158" name="FSC#ARECFG@100.2000:Doc_SubDossier_Location">
    <vt:lpwstr/>
  </property>
  <property fmtid="{D5CDD505-2E9C-101B-9397-08002B2CF9AE}" pid="159" name="FSC#ARECFG@100.2000:Doc_SubDossier_Path">
    <vt:lpwstr>Publikation KW - Dokumente DE</vt:lpwstr>
  </property>
  <property fmtid="{D5CDD505-2E9C-101B-9397-08002B2CF9AE}" pid="160" name="FSC#HonorarAnsatzPro">
    <vt:lpwstr/>
  </property>
  <property fmtid="{D5CDD505-2E9C-101B-9397-08002B2CF9AE}" pid="161" name="FSC#HonorarAnsatz">
    <vt:lpwstr/>
  </property>
  <property fmtid="{D5CDD505-2E9C-101B-9397-08002B2CF9AE}" pid="162" name="FSC#MWST">
    <vt:lpwstr/>
  </property>
  <property fmtid="{D5CDD505-2E9C-101B-9397-08002B2CF9AE}" pid="163" name="FSC#ARECFG@100.2000:Doc_Sprache">
    <vt:lpwstr>SUBLANG_FRENCH_UVEK</vt:lpwstr>
  </property>
  <property fmtid="{D5CDD505-2E9C-101B-9397-08002B2CF9AE}" pid="164" name="FSC#ARECFG@100.2000:Proj_Anteil_1">
    <vt:lpwstr/>
  </property>
  <property fmtid="{D5CDD505-2E9C-101B-9397-08002B2CF9AE}" pid="165" name="FSC#ARECFG@100.2000:Proj_Anteil_2">
    <vt:lpwstr/>
  </property>
  <property fmtid="{D5CDD505-2E9C-101B-9397-08002B2CF9AE}" pid="166" name="FSC#ARECFG@100.2000:Proj_Anteil_3">
    <vt:lpwstr/>
  </property>
  <property fmtid="{D5CDD505-2E9C-101B-9397-08002B2CF9AE}" pid="167" name="FSC#ARECFG@100.2000:Proj_Anteil_4">
    <vt:lpwstr/>
  </property>
  <property fmtid="{D5CDD505-2E9C-101B-9397-08002B2CF9AE}" pid="168" name="FSC#ARECFG@100.2000:Proj_Anteil_5">
    <vt:lpwstr/>
  </property>
  <property fmtid="{D5CDD505-2E9C-101B-9397-08002B2CF9AE}" pid="169" name="FSC#ARECFG@100.2000:Vert_Anteil_ARE_1">
    <vt:lpwstr/>
  </property>
  <property fmtid="{D5CDD505-2E9C-101B-9397-08002B2CF9AE}" pid="170" name="FSC#ARECFG@100.2000:Vert_Anteil_ARE_2">
    <vt:lpwstr/>
  </property>
  <property fmtid="{D5CDD505-2E9C-101B-9397-08002B2CF9AE}" pid="171" name="FSC#ARECFG@100.2000:Vert_Anteil_ARE_3">
    <vt:lpwstr/>
  </property>
  <property fmtid="{D5CDD505-2E9C-101B-9397-08002B2CF9AE}" pid="172" name="FSC#ARECFG@100.2000:Vert_Anteil_ARE_4">
    <vt:lpwstr/>
  </property>
  <property fmtid="{D5CDD505-2E9C-101B-9397-08002B2CF9AE}" pid="173" name="FSC#ARECFG@100.2000:Vert_Anteil_ARE_5">
    <vt:lpwstr/>
  </property>
  <property fmtid="{D5CDD505-2E9C-101B-9397-08002B2CF9AE}" pid="174" name="FSC#UVEKCFG@15.1700:DocumentNumber">
    <vt:lpwstr>2017-06-27-0046</vt:lpwstr>
  </property>
  <property fmtid="{D5CDD505-2E9C-101B-9397-08002B2CF9AE}" pid="175" name="FSC#UVEKCFG@15.1700:AssignmentNumber">
    <vt:lpwstr/>
  </property>
  <property fmtid="{D5CDD505-2E9C-101B-9397-08002B2CF9AE}" pid="176" name="FSC#UVEKCFG@15.1700:EM_Personal">
    <vt:lpwstr/>
  </property>
  <property fmtid="{D5CDD505-2E9C-101B-9397-08002B2CF9AE}" pid="177" name="FSC#UVEKCFG@15.1700:EM_Geschlecht">
    <vt:lpwstr/>
  </property>
  <property fmtid="{D5CDD505-2E9C-101B-9397-08002B2CF9AE}" pid="178" name="FSC#UVEKCFG@15.1700:EM_GebDatum">
    <vt:lpwstr/>
  </property>
  <property fmtid="{D5CDD505-2E9C-101B-9397-08002B2CF9AE}" pid="179" name="FSC#UVEKCFG@15.1700:EM_Funktion">
    <vt:lpwstr/>
  </property>
  <property fmtid="{D5CDD505-2E9C-101B-9397-08002B2CF9AE}" pid="180" name="FSC#UVEKCFG@15.1700:EM_Beruf">
    <vt:lpwstr/>
  </property>
  <property fmtid="{D5CDD505-2E9C-101B-9397-08002B2CF9AE}" pid="181" name="FSC#UVEKCFG@15.1700:EM_SVNR">
    <vt:lpwstr/>
  </property>
  <property fmtid="{D5CDD505-2E9C-101B-9397-08002B2CF9AE}" pid="182" name="FSC#UVEKCFG@15.1700:EM_Familienstand">
    <vt:lpwstr/>
  </property>
  <property fmtid="{D5CDD505-2E9C-101B-9397-08002B2CF9AE}" pid="183" name="FSC#UVEKCFG@15.1700:EM_Muttersprache">
    <vt:lpwstr/>
  </property>
  <property fmtid="{D5CDD505-2E9C-101B-9397-08002B2CF9AE}" pid="184" name="FSC#UVEKCFG@15.1700:EM_Geboren_in">
    <vt:lpwstr/>
  </property>
  <property fmtid="{D5CDD505-2E9C-101B-9397-08002B2CF9AE}" pid="185" name="FSC#UVEKCFG@15.1700:EM_Briefanrede">
    <vt:lpwstr/>
  </property>
  <property fmtid="{D5CDD505-2E9C-101B-9397-08002B2CF9AE}" pid="186" name="FSC#UVEKCFG@15.1700:EM_Kommunikationssprache">
    <vt:lpwstr/>
  </property>
  <property fmtid="{D5CDD505-2E9C-101B-9397-08002B2CF9AE}" pid="187" name="FSC#UVEKCFG@15.1700:EM_Webseite">
    <vt:lpwstr/>
  </property>
  <property fmtid="{D5CDD505-2E9C-101B-9397-08002B2CF9AE}" pid="188" name="FSC#UVEKCFG@15.1700:EM_TelNr_Business">
    <vt:lpwstr/>
  </property>
  <property fmtid="{D5CDD505-2E9C-101B-9397-08002B2CF9AE}" pid="189" name="FSC#UVEKCFG@15.1700:EM_TelNr_Private">
    <vt:lpwstr/>
  </property>
  <property fmtid="{D5CDD505-2E9C-101B-9397-08002B2CF9AE}" pid="190" name="FSC#UVEKCFG@15.1700:EM_TelNr_Mobile">
    <vt:lpwstr/>
  </property>
  <property fmtid="{D5CDD505-2E9C-101B-9397-08002B2CF9AE}" pid="191" name="FSC#UVEKCFG@15.1700:EM_TelNr_Other">
    <vt:lpwstr/>
  </property>
  <property fmtid="{D5CDD505-2E9C-101B-9397-08002B2CF9AE}" pid="192" name="FSC#UVEKCFG@15.1700:EM_EMail1">
    <vt:lpwstr/>
  </property>
  <property fmtid="{D5CDD505-2E9C-101B-9397-08002B2CF9AE}" pid="193" name="FSC#UVEKCFG@15.1700:EM_EMail2">
    <vt:lpwstr/>
  </property>
  <property fmtid="{D5CDD505-2E9C-101B-9397-08002B2CF9AE}" pid="194" name="FSC#UVEKCFG@15.1700:EM_EMail3">
    <vt:lpwstr/>
  </property>
  <property fmtid="{D5CDD505-2E9C-101B-9397-08002B2CF9AE}" pid="195" name="FSC#UVEKCFG@15.1700:EM_Name">
    <vt:lpwstr/>
  </property>
  <property fmtid="{D5CDD505-2E9C-101B-9397-08002B2CF9AE}" pid="196" name="FSC#UVEKCFG@15.1700:EM_UID">
    <vt:lpwstr/>
  </property>
  <property fmtid="{D5CDD505-2E9C-101B-9397-08002B2CF9AE}" pid="197" name="FSC#UVEKCFG@15.1700:EM_Rechtsform">
    <vt:lpwstr/>
  </property>
  <property fmtid="{D5CDD505-2E9C-101B-9397-08002B2CF9AE}" pid="198" name="FSC#UVEKCFG@15.1700:EM_Klassifizierung">
    <vt:lpwstr/>
  </property>
  <property fmtid="{D5CDD505-2E9C-101B-9397-08002B2CF9AE}" pid="199" name="FSC#UVEKCFG@15.1700:EM_Gruendungsjahr">
    <vt:lpwstr/>
  </property>
  <property fmtid="{D5CDD505-2E9C-101B-9397-08002B2CF9AE}" pid="200" name="FSC#UVEKCFG@15.1700:EM_Versandart">
    <vt:lpwstr>Posta B</vt:lpwstr>
  </property>
  <property fmtid="{D5CDD505-2E9C-101B-9397-08002B2CF9AE}" pid="201" name="FSC#UVEKCFG@15.1700:EM_Versandvermek">
    <vt:lpwstr/>
  </property>
  <property fmtid="{D5CDD505-2E9C-101B-9397-08002B2CF9AE}" pid="202" name="FSC#UVEKCFG@15.1700:EM_Anrede">
    <vt:lpwstr/>
  </property>
  <property fmtid="{D5CDD505-2E9C-101B-9397-08002B2CF9AE}" pid="203" name="FSC#UVEKCFG@15.1700:EM_Titel">
    <vt:lpwstr/>
  </property>
  <property fmtid="{D5CDD505-2E9C-101B-9397-08002B2CF9AE}" pid="204" name="FSC#UVEKCFG@15.1700:EM_Nachgestellter_Titel">
    <vt:lpwstr/>
  </property>
  <property fmtid="{D5CDD505-2E9C-101B-9397-08002B2CF9AE}" pid="205" name="FSC#UVEKCFG@15.1700:EM_Vorname">
    <vt:lpwstr/>
  </property>
  <property fmtid="{D5CDD505-2E9C-101B-9397-08002B2CF9AE}" pid="206" name="FSC#UVEKCFG@15.1700:EM_Nachname">
    <vt:lpwstr/>
  </property>
  <property fmtid="{D5CDD505-2E9C-101B-9397-08002B2CF9AE}" pid="207" name="FSC#UVEKCFG@15.1700:EM_Kurzbezeichnung">
    <vt:lpwstr/>
  </property>
  <property fmtid="{D5CDD505-2E9C-101B-9397-08002B2CF9AE}" pid="208" name="FSC#UVEKCFG@15.1700:EM_Organisations_Zeile_1">
    <vt:lpwstr/>
  </property>
  <property fmtid="{D5CDD505-2E9C-101B-9397-08002B2CF9AE}" pid="209" name="FSC#UVEKCFG@15.1700:EM_Organisations_Zeile_2">
    <vt:lpwstr/>
  </property>
  <property fmtid="{D5CDD505-2E9C-101B-9397-08002B2CF9AE}" pid="210" name="FSC#UVEKCFG@15.1700:EM_Organisations_Zeile_3">
    <vt:lpwstr/>
  </property>
  <property fmtid="{D5CDD505-2E9C-101B-9397-08002B2CF9AE}" pid="211" name="FSC#UVEKCFG@15.1700:EM_Strasse">
    <vt:lpwstr/>
  </property>
  <property fmtid="{D5CDD505-2E9C-101B-9397-08002B2CF9AE}" pid="212" name="FSC#UVEKCFG@15.1700:EM_Hausnummer">
    <vt:lpwstr/>
  </property>
  <property fmtid="{D5CDD505-2E9C-101B-9397-08002B2CF9AE}" pid="213" name="FSC#UVEKCFG@15.1700:EM_Strasse2">
    <vt:lpwstr/>
  </property>
  <property fmtid="{D5CDD505-2E9C-101B-9397-08002B2CF9AE}" pid="214" name="FSC#UVEKCFG@15.1700:EM_Hausnummer_Zusatz">
    <vt:lpwstr/>
  </property>
  <property fmtid="{D5CDD505-2E9C-101B-9397-08002B2CF9AE}" pid="215" name="FSC#UVEKCFG@15.1700:EM_Postfach">
    <vt:lpwstr/>
  </property>
  <property fmtid="{D5CDD505-2E9C-101B-9397-08002B2CF9AE}" pid="216" name="FSC#UVEKCFG@15.1700:EM_PLZ">
    <vt:lpwstr/>
  </property>
  <property fmtid="{D5CDD505-2E9C-101B-9397-08002B2CF9AE}" pid="217" name="FSC#UVEKCFG@15.1700:EM_Ort">
    <vt:lpwstr/>
  </property>
  <property fmtid="{D5CDD505-2E9C-101B-9397-08002B2CF9AE}" pid="218" name="FSC#UVEKCFG@15.1700:EM_Land">
    <vt:lpwstr/>
  </property>
  <property fmtid="{D5CDD505-2E9C-101B-9397-08002B2CF9AE}" pid="219" name="FSC#UVEKCFG@15.1700:EM_E_Mail_Adresse">
    <vt:lpwstr/>
  </property>
  <property fmtid="{D5CDD505-2E9C-101B-9397-08002B2CF9AE}" pid="220" name="FSC#UVEKCFG@15.1700:EM_Funktionsbezeichnung">
    <vt:lpwstr/>
  </property>
  <property fmtid="{D5CDD505-2E9C-101B-9397-08002B2CF9AE}" pid="221" name="FSC#UVEKCFG@15.1700:EM_Serienbrieffeld_1">
    <vt:lpwstr/>
  </property>
  <property fmtid="{D5CDD505-2E9C-101B-9397-08002B2CF9AE}" pid="222" name="FSC#UVEKCFG@15.1700:EM_Serienbrieffeld_2">
    <vt:lpwstr/>
  </property>
  <property fmtid="{D5CDD505-2E9C-101B-9397-08002B2CF9AE}" pid="223" name="FSC#UVEKCFG@15.1700:EM_Serienbrieffeld_3">
    <vt:lpwstr/>
  </property>
  <property fmtid="{D5CDD505-2E9C-101B-9397-08002B2CF9AE}" pid="224" name="FSC#UVEKCFG@15.1700:EM_Serienbrieffeld_4">
    <vt:lpwstr/>
  </property>
  <property fmtid="{D5CDD505-2E9C-101B-9397-08002B2CF9AE}" pid="225" name="FSC#UVEKCFG@15.1700:EM_Serienbrieffeld_5">
    <vt:lpwstr/>
  </property>
  <property fmtid="{D5CDD505-2E9C-101B-9397-08002B2CF9AE}" pid="226" name="FSC#UVEKCFG@15.1700:EM_Addresse_CH">
    <vt:lpwstr/>
  </property>
  <property fmtid="{D5CDD505-2E9C-101B-9397-08002B2CF9AE}" pid="227" name="FSC#UVEKCFG@15.1700:EM_Addresse_EU">
    <vt:lpwstr/>
  </property>
  <property fmtid="{D5CDD505-2E9C-101B-9397-08002B2CF9AE}" pid="228" name="FSC#UVEKCFG@15.1700:EM_Addresse_UK">
    <vt:lpwstr/>
  </property>
  <property fmtid="{D5CDD505-2E9C-101B-9397-08002B2CF9AE}" pid="229" name="FSC#UVEKCFG@15.1700:EM_Addresse_US">
    <vt:lpwstr/>
  </property>
  <property fmtid="{D5CDD505-2E9C-101B-9397-08002B2CF9AE}" pid="230" name="FSC#UVEKCFG@15.1700:EM_TelNr_Fax">
    <vt:lpwstr/>
  </property>
  <property fmtid="{D5CDD505-2E9C-101B-9397-08002B2CF9AE}" pid="231" name="FSC#UVEKCFG@15.1700:EM_Address">
    <vt:lpwstr/>
  </property>
  <property fmtid="{D5CDD505-2E9C-101B-9397-08002B2CF9AE}" pid="232" name="FSC#UVEKCFG@15.1700:Abs_Nachname">
    <vt:lpwstr/>
  </property>
  <property fmtid="{D5CDD505-2E9C-101B-9397-08002B2CF9AE}" pid="233" name="FSC#UVEKCFG@15.1700:Abs_Vorname">
    <vt:lpwstr/>
  </property>
  <property fmtid="{D5CDD505-2E9C-101B-9397-08002B2CF9AE}" pid="234" name="FSC#UVEKCFG@15.1700:Abs_Zeichen">
    <vt:lpwstr/>
  </property>
  <property fmtid="{D5CDD505-2E9C-101B-9397-08002B2CF9AE}" pid="235" name="FSC#UVEKCFG@15.1700:Anrede">
    <vt:lpwstr/>
  </property>
  <property fmtid="{D5CDD505-2E9C-101B-9397-08002B2CF9AE}" pid="236" name="FSC#UVEKCFG@15.1700:EM_Versandartspez">
    <vt:lpwstr/>
  </property>
  <property fmtid="{D5CDD505-2E9C-101B-9397-08002B2CF9AE}" pid="237" name="FSC#UVEKCFG@15.1700:Briefdatum">
    <vt:lpwstr>03.04.2018</vt:lpwstr>
  </property>
  <property fmtid="{D5CDD505-2E9C-101B-9397-08002B2CF9AE}" pid="238" name="FSC#UVEKCFG@15.1700:Empf_Zeichen">
    <vt:lpwstr/>
  </property>
  <property fmtid="{D5CDD505-2E9C-101B-9397-08002B2CF9AE}" pid="239" name="FSC#UVEKCFG@15.1700:FilialePLZ">
    <vt:lpwstr/>
  </property>
  <property fmtid="{D5CDD505-2E9C-101B-9397-08002B2CF9AE}" pid="240" name="FSC#UVEKCFG@15.1700:Gegenstand">
    <vt:lpwstr>Konzept Windenergie DE [27.06.2017]</vt:lpwstr>
  </property>
  <property fmtid="{D5CDD505-2E9C-101B-9397-08002B2CF9AE}" pid="241" name="FSC#UVEKCFG@15.1700:Nummer">
    <vt:lpwstr>2017-06-27-0046</vt:lpwstr>
  </property>
  <property fmtid="{D5CDD505-2E9C-101B-9397-08002B2CF9AE}" pid="242" name="FSC#UVEKCFG@15.1700:Unterschrift_Nachname">
    <vt:lpwstr/>
  </property>
  <property fmtid="{D5CDD505-2E9C-101B-9397-08002B2CF9AE}" pid="243" name="FSC#UVEKCFG@15.1700:Unterschrift_Vorname">
    <vt:lpwstr/>
  </property>
  <property fmtid="{D5CDD505-2E9C-101B-9397-08002B2CF9AE}" pid="244" name="ContentTypeId">
    <vt:lpwstr>0x0101005F9612DF438B5A47B14598812F0FBE46</vt:lpwstr>
  </property>
</Properties>
</file>